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BA5D" w14:textId="77777777" w:rsidR="003B4033" w:rsidRDefault="003B4033" w:rsidP="003B40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40" w:after="40" w:line="480" w:lineRule="auto"/>
        <w:ind w:right="40"/>
        <w:rPr>
          <w:rFonts w:ascii="Times New Roman" w:hAnsi="Times New Roman" w:cs="Times New Roman"/>
          <w:b/>
          <w:bCs/>
          <w:szCs w:val="24"/>
          <w:lang w:val="en-US"/>
        </w:rPr>
      </w:pPr>
      <w:r>
        <w:rPr>
          <w:rFonts w:ascii="Times New Roman" w:hAnsi="Times New Roman" w:cs="Times New Roman"/>
          <w:b/>
          <w:bCs/>
          <w:szCs w:val="24"/>
        </w:rPr>
        <w:t xml:space="preserve">Supplementary figure </w:t>
      </w:r>
      <w:r>
        <w:rPr>
          <w:rFonts w:ascii="Times New Roman" w:hAnsi="Times New Roman" w:cs="Times New Roman"/>
          <w:b/>
          <w:bCs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Cs w:val="24"/>
        </w:rPr>
        <w:instrText xml:space="preserve"> SEQ Supplementary_figure \* ARABIC </w:instrText>
      </w:r>
      <w:r>
        <w:rPr>
          <w:rFonts w:ascii="Times New Roman" w:hAnsi="Times New Roman" w:cs="Times New Roman"/>
          <w:b/>
          <w:bCs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szCs w:val="24"/>
        </w:rPr>
        <w:t>1</w:t>
      </w:r>
      <w:r>
        <w:rPr>
          <w:rFonts w:ascii="Times New Roman" w:hAnsi="Times New Roman" w:cs="Times New Roman"/>
          <w:b/>
          <w:bCs/>
          <w:szCs w:val="24"/>
        </w:rPr>
        <w:fldChar w:fldCharType="end"/>
      </w:r>
      <w:r>
        <w:rPr>
          <w:rFonts w:ascii="Times New Roman" w:hAnsi="Times New Roman" w:cs="Times New Roman" w:hint="eastAsia"/>
          <w:b/>
          <w:bCs/>
          <w:szCs w:val="24"/>
          <w:lang w:val="en-US"/>
        </w:rPr>
        <w:t>.</w:t>
      </w:r>
      <w:r>
        <w:rPr>
          <w:rFonts w:ascii="Times New Roman" w:hAnsi="Times New Roman" w:cs="Times New Roman" w:hint="eastAsia"/>
          <w:szCs w:val="24"/>
          <w:lang w:val="en-US"/>
        </w:rPr>
        <w:t xml:space="preserve">A corresponding bar chart comparing prognosis between </w:t>
      </w:r>
      <w:r>
        <w:rPr>
          <w:rFonts w:ascii="Times New Roman" w:hAnsi="Times New Roman" w:cs="Times New Roman" w:hint="eastAsia"/>
          <w:i/>
          <w:iCs/>
          <w:szCs w:val="24"/>
          <w:lang w:val="en-US"/>
        </w:rPr>
        <w:t>S. aureus</w:t>
      </w:r>
      <w:r>
        <w:rPr>
          <w:rFonts w:ascii="Times New Roman" w:hAnsi="Times New Roman" w:cs="Times New Roman" w:hint="eastAsia"/>
          <w:szCs w:val="24"/>
          <w:lang w:val="en-US"/>
        </w:rPr>
        <w:t xml:space="preserve"> CAP and non-</w:t>
      </w:r>
      <w:r>
        <w:rPr>
          <w:rFonts w:ascii="Times New Roman" w:hAnsi="Times New Roman" w:cs="Times New Roman" w:hint="eastAsia"/>
          <w:i/>
          <w:iCs/>
          <w:szCs w:val="24"/>
          <w:lang w:val="en-US"/>
        </w:rPr>
        <w:t xml:space="preserve">S. aureus </w:t>
      </w:r>
      <w:proofErr w:type="gramStart"/>
      <w:r>
        <w:rPr>
          <w:rFonts w:ascii="Times New Roman" w:hAnsi="Times New Roman" w:cs="Times New Roman" w:hint="eastAsia"/>
          <w:szCs w:val="24"/>
          <w:lang w:val="en-US"/>
        </w:rPr>
        <w:t>CAP .</w:t>
      </w:r>
      <w:proofErr w:type="gramEnd"/>
    </w:p>
    <w:p w14:paraId="7EFC666B" w14:textId="4D448C24" w:rsidR="003B4033" w:rsidRDefault="003B4033">
      <w:pPr>
        <w:rPr>
          <w:rFonts w:hint="eastAsia"/>
          <w:lang w:val="en-US"/>
        </w:rPr>
      </w:pPr>
      <w:r>
        <w:rPr>
          <w:noProof/>
        </w:rPr>
        <w:drawing>
          <wp:inline distT="0" distB="0" distL="114300" distR="114300" wp14:anchorId="093065D6" wp14:editId="20BF8761">
            <wp:extent cx="5098415" cy="3865880"/>
            <wp:effectExtent l="0" t="0" r="6985" b="127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8415" cy="386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24991" w14:textId="77777777" w:rsidR="003B4033" w:rsidRDefault="003B4033" w:rsidP="003B40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40" w:after="40" w:line="480" w:lineRule="auto"/>
        <w:ind w:right="4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 w:hint="eastAsia"/>
          <w:b/>
          <w:bCs/>
          <w:color w:val="000000"/>
          <w:sz w:val="16"/>
          <w:szCs w:val="16"/>
        </w:rPr>
        <w:t>*</w:t>
      </w:r>
      <w:r>
        <w:rPr>
          <w:rFonts w:ascii="Times New Roman" w:eastAsia="Times New Roman" w:hAnsi="Times New Roman" w:cs="Times New Roman" w:hint="eastAsia"/>
          <w:b/>
          <w:bCs/>
          <w:i/>
          <w:iCs/>
          <w:color w:val="000000"/>
          <w:sz w:val="16"/>
          <w:szCs w:val="16"/>
        </w:rPr>
        <w:t>p</w:t>
      </w:r>
      <w:r>
        <w:rPr>
          <w:rFonts w:ascii="Times New Roman" w:eastAsia="Times New Roman" w:hAnsi="Times New Roman" w:cs="Times New Roman" w:hint="eastAsia"/>
          <w:b/>
          <w:bCs/>
          <w:color w:val="000000"/>
          <w:sz w:val="16"/>
          <w:szCs w:val="16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  <w:sz w:val="16"/>
          <w:szCs w:val="16"/>
        </w:rPr>
        <w:t>＜</w:t>
      </w:r>
      <w:r>
        <w:rPr>
          <w:rFonts w:ascii="Times New Roman" w:eastAsia="Times New Roman" w:hAnsi="Times New Roman" w:cs="Times New Roman" w:hint="eastAsia"/>
          <w:b/>
          <w:bCs/>
          <w:color w:val="000000"/>
          <w:sz w:val="16"/>
          <w:szCs w:val="16"/>
        </w:rPr>
        <w:t xml:space="preserve"> 0.05</w:t>
      </w:r>
      <w:r>
        <w:rPr>
          <w:rFonts w:ascii="宋体" w:eastAsia="宋体" w:hAnsi="宋体" w:cs="宋体" w:hint="eastAsia"/>
          <w:b/>
          <w:bCs/>
          <w:color w:val="000000"/>
          <w:sz w:val="16"/>
          <w:szCs w:val="16"/>
        </w:rPr>
        <w:t>、</w:t>
      </w:r>
      <w:r>
        <w:rPr>
          <w:rFonts w:ascii="Times New Roman" w:eastAsia="Times New Roman" w:hAnsi="Times New Roman" w:cs="Times New Roman" w:hint="eastAsia"/>
          <w:b/>
          <w:bCs/>
          <w:color w:val="000000"/>
          <w:sz w:val="16"/>
          <w:szCs w:val="16"/>
        </w:rPr>
        <w:t>**</w:t>
      </w:r>
      <w:r>
        <w:rPr>
          <w:rFonts w:ascii="Times New Roman" w:eastAsia="Times New Roman" w:hAnsi="Times New Roman" w:cs="Times New Roman" w:hint="eastAsia"/>
          <w:b/>
          <w:bCs/>
          <w:i/>
          <w:iCs/>
          <w:color w:val="000000"/>
          <w:sz w:val="16"/>
          <w:szCs w:val="16"/>
        </w:rPr>
        <w:t>p</w:t>
      </w:r>
      <w:r>
        <w:rPr>
          <w:rFonts w:ascii="Times New Roman" w:eastAsia="Times New Roman" w:hAnsi="Times New Roman" w:cs="Times New Roman" w:hint="eastAsia"/>
          <w:b/>
          <w:bCs/>
          <w:color w:val="000000"/>
          <w:sz w:val="16"/>
          <w:szCs w:val="16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  <w:sz w:val="16"/>
          <w:szCs w:val="16"/>
        </w:rPr>
        <w:t>＜</w:t>
      </w:r>
      <w:r>
        <w:rPr>
          <w:rFonts w:ascii="Times New Roman" w:eastAsia="Times New Roman" w:hAnsi="Times New Roman" w:cs="Times New Roman" w:hint="eastAsia"/>
          <w:b/>
          <w:bCs/>
          <w:color w:val="000000"/>
          <w:sz w:val="16"/>
          <w:szCs w:val="16"/>
        </w:rPr>
        <w:t xml:space="preserve"> 0.01</w:t>
      </w:r>
      <w:r>
        <w:rPr>
          <w:rFonts w:ascii="宋体" w:eastAsia="宋体" w:hAnsi="宋体" w:cs="宋体" w:hint="eastAsia"/>
          <w:b/>
          <w:bCs/>
          <w:color w:val="000000"/>
          <w:sz w:val="16"/>
          <w:szCs w:val="16"/>
        </w:rPr>
        <w:t>、</w:t>
      </w:r>
      <w:r>
        <w:rPr>
          <w:rFonts w:ascii="Times New Roman" w:eastAsia="Times New Roman" w:hAnsi="Times New Roman" w:cs="Times New Roman" w:hint="eastAsia"/>
          <w:b/>
          <w:bCs/>
          <w:color w:val="000000"/>
          <w:sz w:val="16"/>
          <w:szCs w:val="16"/>
        </w:rPr>
        <w:t>***</w:t>
      </w:r>
      <w:r>
        <w:rPr>
          <w:rFonts w:ascii="Times New Roman" w:eastAsia="Times New Roman" w:hAnsi="Times New Roman" w:cs="Times New Roman" w:hint="eastAsia"/>
          <w:b/>
          <w:bCs/>
          <w:i/>
          <w:iCs/>
          <w:color w:val="000000"/>
          <w:sz w:val="16"/>
          <w:szCs w:val="16"/>
        </w:rPr>
        <w:t>p</w:t>
      </w:r>
      <w:r>
        <w:rPr>
          <w:rFonts w:ascii="Times New Roman" w:eastAsia="Times New Roman" w:hAnsi="Times New Roman" w:cs="Times New Roman" w:hint="eastAsia"/>
          <w:b/>
          <w:bCs/>
          <w:color w:val="000000"/>
          <w:sz w:val="16"/>
          <w:szCs w:val="16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  <w:sz w:val="16"/>
          <w:szCs w:val="16"/>
        </w:rPr>
        <w:t>＜</w:t>
      </w:r>
      <w:r>
        <w:rPr>
          <w:rFonts w:ascii="Times New Roman" w:eastAsia="Times New Roman" w:hAnsi="Times New Roman" w:cs="Times New Roman" w:hint="eastAsia"/>
          <w:b/>
          <w:bCs/>
          <w:color w:val="000000"/>
          <w:sz w:val="16"/>
          <w:szCs w:val="16"/>
        </w:rPr>
        <w:t xml:space="preserve"> 0.001</w:t>
      </w:r>
      <w:r>
        <w:rPr>
          <w:rFonts w:ascii="Times New Roman" w:hAnsi="Times New Roman" w:cs="Times New Roman" w:hint="eastAsia"/>
          <w:b/>
          <w:bCs/>
          <w:color w:val="000000"/>
          <w:sz w:val="16"/>
          <w:szCs w:val="16"/>
        </w:rPr>
        <w:t xml:space="preserve">  </w:t>
      </w:r>
    </w:p>
    <w:p w14:paraId="6760DD2F" w14:textId="4723FFD5" w:rsidR="003B4033" w:rsidRPr="00D618C7" w:rsidRDefault="00D618C7" w:rsidP="00D618C7">
      <w:pPr>
        <w:rPr>
          <w:rFonts w:ascii="Times New Roman" w:hAnsi="Times New Roman" w:cs="Times New Roman" w:hint="eastAsia"/>
          <w:szCs w:val="24"/>
          <w:lang w:val="en-US"/>
        </w:rPr>
      </w:pPr>
      <w:r w:rsidRPr="00D618C7">
        <w:rPr>
          <w:rFonts w:ascii="Times New Roman" w:hAnsi="Times New Roman" w:cs="Times New Roman" w:hint="eastAsia"/>
          <w:szCs w:val="24"/>
          <w:lang w:val="en-US"/>
        </w:rPr>
        <w:t>Compared with the non-S. aureus group, the S. aureus group showed elevated rates of ICU admission, intubation, and mortality.</w:t>
      </w:r>
    </w:p>
    <w:sectPr w:rsidR="003B4033" w:rsidRPr="00D61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33"/>
    <w:rsid w:val="0028441E"/>
    <w:rsid w:val="003B4033"/>
    <w:rsid w:val="005C5652"/>
    <w:rsid w:val="009A3F35"/>
    <w:rsid w:val="00BF2D9B"/>
    <w:rsid w:val="00D6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D69D"/>
  <w15:chartTrackingRefBased/>
  <w15:docId w15:val="{924E497E-C356-4F10-9D8F-29E081AA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33"/>
    <w:pPr>
      <w:spacing w:after="160" w:line="278" w:lineRule="auto"/>
    </w:pPr>
    <w:rPr>
      <w:sz w:val="24"/>
      <w:szCs w:val="30"/>
      <w:lang w:val="en-AU" w:bidi="th-TH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3B4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3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3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3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3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3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3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0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03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03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403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0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琪 盛</dc:creator>
  <cp:keywords/>
  <dc:description/>
  <cp:lastModifiedBy>琪 盛</cp:lastModifiedBy>
  <cp:revision>2</cp:revision>
  <dcterms:created xsi:type="dcterms:W3CDTF">2025-07-11T06:46:00Z</dcterms:created>
  <dcterms:modified xsi:type="dcterms:W3CDTF">2025-07-11T06:49:00Z</dcterms:modified>
</cp:coreProperties>
</file>