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315D4" w14:textId="77777777" w:rsidR="00AC7D90" w:rsidRPr="00AC7D90" w:rsidRDefault="00AC7D90" w:rsidP="00A62140">
      <w:pPr>
        <w:pStyle w:val="Heading1"/>
        <w:jc w:val="both"/>
        <w:rPr>
          <w:rFonts w:cs="Arial"/>
          <w:color w:val="auto"/>
          <w:lang w:val="en-US"/>
        </w:rPr>
      </w:pPr>
      <w:bookmarkStart w:id="0" w:name="_Hlk202862462"/>
      <w:r w:rsidRPr="00AC7D90">
        <w:rPr>
          <w:rFonts w:cs="Arial"/>
          <w:color w:val="auto"/>
          <w:lang w:val="en-US"/>
        </w:rPr>
        <w:t>Impact of homologous recombination deficiency on CDK4/6 inhibitor sensitivity in HR+/HER2- breast cancer</w:t>
      </w:r>
      <w:bookmarkEnd w:id="0"/>
    </w:p>
    <w:p w14:paraId="342FCEB6" w14:textId="63F358A1" w:rsidR="00AC7D90" w:rsidRPr="00AC7D90" w:rsidRDefault="00AC7D90" w:rsidP="00A62140">
      <w:pPr>
        <w:rPr>
          <w:rFonts w:cs="Arial"/>
          <w:lang w:val="en-US"/>
        </w:rPr>
      </w:pPr>
      <w:r w:rsidRPr="00AC7D90">
        <w:rPr>
          <w:rFonts w:cs="Arial"/>
          <w:lang w:val="en-US"/>
        </w:rPr>
        <w:t>Daniela Haas</w:t>
      </w:r>
      <w:r w:rsidRPr="00AC7D90">
        <w:rPr>
          <w:rFonts w:cs="Arial"/>
          <w:vertAlign w:val="superscript"/>
          <w:lang w:val="en-US"/>
        </w:rPr>
        <w:t>1</w:t>
      </w:r>
      <w:r w:rsidRPr="00AC7D90">
        <w:rPr>
          <w:rFonts w:cs="Arial"/>
          <w:lang w:val="en-US"/>
        </w:rPr>
        <w:t>, Selina Wolf</w:t>
      </w:r>
      <w:r w:rsidRPr="00AC7D90">
        <w:rPr>
          <w:rFonts w:cs="Arial"/>
          <w:vertAlign w:val="superscript"/>
          <w:lang w:val="en-US"/>
        </w:rPr>
        <w:t>1</w:t>
      </w:r>
      <w:r w:rsidRPr="00AC7D90">
        <w:rPr>
          <w:rFonts w:cs="Arial"/>
          <w:lang w:val="en-US"/>
        </w:rPr>
        <w:t>, Urte Stankute</w:t>
      </w:r>
      <w:r w:rsidRPr="00AC7D90">
        <w:rPr>
          <w:rFonts w:cs="Arial"/>
          <w:vertAlign w:val="superscript"/>
          <w:lang w:val="en-US"/>
        </w:rPr>
        <w:t>1</w:t>
      </w:r>
      <w:r w:rsidRPr="00AC7D90">
        <w:rPr>
          <w:rFonts w:cs="Arial"/>
          <w:lang w:val="en-US"/>
        </w:rPr>
        <w:t>, Ethan S. Sokol</w:t>
      </w:r>
      <w:r w:rsidRPr="00AC7D90">
        <w:rPr>
          <w:rFonts w:cs="Arial"/>
          <w:vertAlign w:val="superscript"/>
          <w:lang w:val="en-US"/>
        </w:rPr>
        <w:t>2</w:t>
      </w:r>
      <w:r w:rsidRPr="00AC7D90">
        <w:rPr>
          <w:rFonts w:cs="Arial"/>
          <w:lang w:val="en-US"/>
        </w:rPr>
        <w:t>, Meagan Montesion</w:t>
      </w:r>
      <w:r w:rsidRPr="00AC7D90">
        <w:rPr>
          <w:rFonts w:cs="Arial"/>
          <w:vertAlign w:val="superscript"/>
          <w:lang w:val="en-US"/>
        </w:rPr>
        <w:t>2</w:t>
      </w:r>
      <w:r w:rsidRPr="00AC7D90">
        <w:rPr>
          <w:rFonts w:cs="Arial"/>
          <w:lang w:val="en-US"/>
        </w:rPr>
        <w:t>,</w:t>
      </w:r>
      <w:r w:rsidRPr="00AC7D90">
        <w:rPr>
          <w:rFonts w:cs="Arial"/>
          <w:vertAlign w:val="superscript"/>
          <w:lang w:val="en-US"/>
        </w:rPr>
        <w:t xml:space="preserve"> </w:t>
      </w:r>
      <w:r w:rsidRPr="00AC7D90">
        <w:rPr>
          <w:rFonts w:cs="Arial"/>
          <w:lang w:val="en-US"/>
        </w:rPr>
        <w:t>Magdalena Kröll</w:t>
      </w:r>
      <w:r w:rsidRPr="00AC7D90">
        <w:rPr>
          <w:rFonts w:cs="Arial"/>
          <w:vertAlign w:val="superscript"/>
          <w:lang w:val="en-US"/>
        </w:rPr>
        <w:t>1</w:t>
      </w:r>
      <w:r w:rsidRPr="00AC7D90">
        <w:rPr>
          <w:rFonts w:cs="Arial"/>
          <w:lang w:val="en-US"/>
        </w:rPr>
        <w:t>, Steffi</w:t>
      </w:r>
      <w:r w:rsidRPr="00AC7D90">
        <w:rPr>
          <w:rFonts w:cs="Arial"/>
          <w:vertAlign w:val="superscript"/>
          <w:lang w:val="en-US"/>
        </w:rPr>
        <w:t xml:space="preserve"> </w:t>
      </w:r>
      <w:r w:rsidRPr="00AC7D90">
        <w:rPr>
          <w:rFonts w:cs="Arial"/>
          <w:lang w:val="en-US"/>
        </w:rPr>
        <w:t>Oesterreich</w:t>
      </w:r>
      <w:r w:rsidRPr="00AC7D90">
        <w:rPr>
          <w:rFonts w:cs="Arial"/>
          <w:vertAlign w:val="superscript"/>
          <w:lang w:val="en-US"/>
        </w:rPr>
        <w:t>3,4,5</w:t>
      </w:r>
      <w:r w:rsidRPr="00AC7D90">
        <w:rPr>
          <w:rFonts w:cs="Arial"/>
          <w:lang w:val="en-US"/>
        </w:rPr>
        <w:t>, Adrian V. Lee</w:t>
      </w:r>
      <w:r w:rsidRPr="00AC7D90">
        <w:rPr>
          <w:rFonts w:cs="Arial"/>
          <w:vertAlign w:val="superscript"/>
          <w:lang w:val="en-US"/>
        </w:rPr>
        <w:t>3,4,5</w:t>
      </w:r>
      <w:r w:rsidRPr="00AC7D90">
        <w:rPr>
          <w:rFonts w:cs="Arial"/>
          <w:lang w:val="en-US"/>
        </w:rPr>
        <w:t>, Charles E. Geyer Jr.</w:t>
      </w:r>
      <w:r w:rsidRPr="00AC7D90">
        <w:rPr>
          <w:rFonts w:cs="Arial"/>
          <w:vertAlign w:val="superscript"/>
          <w:lang w:val="en-US"/>
        </w:rPr>
        <w:t>5</w:t>
      </w:r>
      <w:r w:rsidRPr="00AC7D90">
        <w:rPr>
          <w:rFonts w:cs="Arial"/>
          <w:lang w:val="en-US"/>
        </w:rPr>
        <w:t>,</w:t>
      </w:r>
      <w:r w:rsidRPr="00AC7D90">
        <w:rPr>
          <w:rFonts w:cs="Arial"/>
          <w:vertAlign w:val="superscript"/>
          <w:lang w:val="en-US"/>
        </w:rPr>
        <w:t xml:space="preserve"> </w:t>
      </w:r>
      <w:r w:rsidRPr="00AC7D90">
        <w:rPr>
          <w:rFonts w:cs="Arial"/>
          <w:lang w:val="en-US"/>
        </w:rPr>
        <w:t>Philipp J. Jost</w:t>
      </w:r>
      <w:r w:rsidRPr="00AC7D90">
        <w:rPr>
          <w:rFonts w:cs="Arial"/>
          <w:vertAlign w:val="superscript"/>
          <w:lang w:val="en-US"/>
        </w:rPr>
        <w:t>1,6</w:t>
      </w:r>
      <w:r w:rsidRPr="00AC7D90">
        <w:rPr>
          <w:rFonts w:cs="Arial"/>
          <w:lang w:val="en-US"/>
        </w:rPr>
        <w:t>, Nadia Dandachi</w:t>
      </w:r>
      <w:r w:rsidRPr="00AC7D90">
        <w:rPr>
          <w:rFonts w:cs="Arial"/>
          <w:vertAlign w:val="superscript"/>
          <w:lang w:val="en-US"/>
        </w:rPr>
        <w:t>1</w:t>
      </w:r>
      <w:r w:rsidRPr="00AC7D90">
        <w:rPr>
          <w:rFonts w:cs="Arial"/>
          <w:lang w:val="en-US"/>
        </w:rPr>
        <w:t>, Michael A. Dengler</w:t>
      </w:r>
      <w:proofErr w:type="gramStart"/>
      <w:r w:rsidRPr="00AC7D90">
        <w:rPr>
          <w:rFonts w:cs="Arial"/>
          <w:vertAlign w:val="superscript"/>
          <w:lang w:val="en-US"/>
        </w:rPr>
        <w:t>1,</w:t>
      </w:r>
      <w:r w:rsidRPr="00AC7D90">
        <w:rPr>
          <w:rFonts w:cs="Arial"/>
          <w:sz w:val="22"/>
          <w:vertAlign w:val="superscript"/>
          <w:lang w:val="en-US"/>
        </w:rPr>
        <w:t>#</w:t>
      </w:r>
      <w:proofErr w:type="gramEnd"/>
      <w:r w:rsidRPr="00AC7D90">
        <w:rPr>
          <w:rFonts w:cs="Arial"/>
          <w:sz w:val="22"/>
          <w:vertAlign w:val="superscript"/>
          <w:lang w:val="en-US"/>
        </w:rPr>
        <w:t>,*</w:t>
      </w:r>
      <w:r w:rsidRPr="00AC7D90">
        <w:rPr>
          <w:rFonts w:cs="Arial"/>
          <w:lang w:val="en-US"/>
        </w:rPr>
        <w:t>,</w:t>
      </w:r>
      <w:r w:rsidRPr="00AC7D90">
        <w:rPr>
          <w:rFonts w:cs="Arial"/>
          <w:vertAlign w:val="superscript"/>
          <w:lang w:val="en-US"/>
        </w:rPr>
        <w:t xml:space="preserve"> </w:t>
      </w:r>
      <w:r w:rsidRPr="00AC7D90">
        <w:rPr>
          <w:rFonts w:cs="Arial"/>
          <w:lang w:val="en-US"/>
        </w:rPr>
        <w:t>Marija Balic</w:t>
      </w:r>
      <w:r w:rsidRPr="00AC7D90">
        <w:rPr>
          <w:rFonts w:cs="Arial"/>
          <w:vertAlign w:val="superscript"/>
          <w:lang w:val="en-US"/>
        </w:rPr>
        <w:t>1,3,5,</w:t>
      </w:r>
      <w:r w:rsidRPr="00AC7D90">
        <w:rPr>
          <w:rFonts w:cs="Arial"/>
          <w:sz w:val="22"/>
          <w:vertAlign w:val="superscript"/>
          <w:lang w:val="en-US"/>
        </w:rPr>
        <w:t>#,*</w:t>
      </w:r>
    </w:p>
    <w:p w14:paraId="360AC5C5" w14:textId="2F974F0F" w:rsidR="00AC7D90" w:rsidRDefault="00AC7D90" w:rsidP="00AC7D90">
      <w:pPr>
        <w:pStyle w:val="Heading1"/>
        <w:suppressAutoHyphens/>
        <w:spacing w:before="0" w:after="40" w:line="240" w:lineRule="auto"/>
        <w:jc w:val="both"/>
        <w:rPr>
          <w:rFonts w:ascii="Arial" w:hAnsi="Arial" w:cs="Arial"/>
          <w:b/>
          <w:bCs/>
          <w:color w:val="auto"/>
          <w:kern w:val="0"/>
          <w:sz w:val="24"/>
          <w:szCs w:val="24"/>
          <w:lang w:val="en-US"/>
          <w14:ligatures w14:val="none"/>
        </w:rPr>
      </w:pPr>
      <w:r>
        <w:rPr>
          <w:rFonts w:ascii="Arial" w:hAnsi="Arial" w:cs="Arial"/>
          <w:b/>
          <w:bCs/>
          <w:color w:val="auto"/>
          <w:kern w:val="0"/>
          <w:sz w:val="24"/>
          <w:szCs w:val="24"/>
          <w:lang w:val="en-US"/>
          <w14:ligatures w14:val="none"/>
        </w:rPr>
        <w:t xml:space="preserve">Supplemental information: </w:t>
      </w:r>
    </w:p>
    <w:p w14:paraId="6A6DC29B" w14:textId="77777777" w:rsidR="00AC7D90" w:rsidRDefault="00AC7D90" w:rsidP="00AC7D90">
      <w:pPr>
        <w:spacing w:line="240" w:lineRule="auto"/>
        <w:rPr>
          <w:b/>
          <w:bCs/>
          <w:lang w:val="en-US"/>
        </w:rPr>
      </w:pPr>
    </w:p>
    <w:p w14:paraId="48F4B73C" w14:textId="17D1E5E8" w:rsidR="00AC7D90" w:rsidRPr="00AC7D90" w:rsidRDefault="00AC7D90" w:rsidP="00AC7D90">
      <w:pPr>
        <w:spacing w:line="240" w:lineRule="auto"/>
        <w:rPr>
          <w:b/>
          <w:bCs/>
          <w:lang w:val="en-US"/>
        </w:rPr>
      </w:pPr>
      <w:r w:rsidRPr="00AC7D90">
        <w:rPr>
          <w:b/>
          <w:bCs/>
          <w:lang w:val="en-US"/>
        </w:rPr>
        <w:t xml:space="preserve">Supplementary Figures </w:t>
      </w:r>
    </w:p>
    <w:p w14:paraId="0C99AC79" w14:textId="55D3FA60" w:rsidR="00AC7D90" w:rsidRDefault="00AC7D90" w:rsidP="00AC7D90">
      <w:pPr>
        <w:spacing w:line="240" w:lineRule="auto"/>
        <w:rPr>
          <w:lang w:val="en-US"/>
        </w:rPr>
      </w:pPr>
      <w:r>
        <w:rPr>
          <w:lang w:val="en-US"/>
        </w:rPr>
        <w:t>Fig. S1-S5</w:t>
      </w:r>
    </w:p>
    <w:p w14:paraId="3608B917" w14:textId="77777777" w:rsidR="00AC7D90" w:rsidRDefault="00AC7D90" w:rsidP="00AC7D90">
      <w:pPr>
        <w:spacing w:line="240" w:lineRule="auto"/>
        <w:rPr>
          <w:b/>
          <w:bCs/>
          <w:lang w:val="en-US"/>
        </w:rPr>
      </w:pPr>
    </w:p>
    <w:p w14:paraId="3566357D" w14:textId="5071BA66" w:rsidR="00AC7D90" w:rsidRPr="00AC7D90" w:rsidRDefault="00AC7D90" w:rsidP="00AC7D90">
      <w:pPr>
        <w:spacing w:line="240" w:lineRule="auto"/>
        <w:rPr>
          <w:b/>
          <w:bCs/>
          <w:lang w:val="en-US"/>
        </w:rPr>
      </w:pPr>
      <w:r w:rsidRPr="00AC7D90">
        <w:rPr>
          <w:b/>
          <w:bCs/>
          <w:lang w:val="en-US"/>
        </w:rPr>
        <w:t xml:space="preserve">Supplementary Methods </w:t>
      </w:r>
    </w:p>
    <w:p w14:paraId="7C62C06E" w14:textId="6FB34188" w:rsidR="00AC7D90" w:rsidRDefault="00AC7D90" w:rsidP="00AC7D90">
      <w:pPr>
        <w:spacing w:line="240" w:lineRule="auto"/>
        <w:rPr>
          <w:lang w:val="en-US"/>
        </w:rPr>
      </w:pPr>
      <w:r>
        <w:rPr>
          <w:lang w:val="en-US"/>
        </w:rPr>
        <w:t xml:space="preserve">Material and Methods </w:t>
      </w:r>
    </w:p>
    <w:p w14:paraId="4AE5E429" w14:textId="77777777" w:rsidR="00AC7D90" w:rsidRDefault="00AC7D90">
      <w:pPr>
        <w:suppressAutoHyphens w:val="0"/>
        <w:spacing w:line="278" w:lineRule="auto"/>
        <w:jc w:val="left"/>
        <w:rPr>
          <w:lang w:val="en-US"/>
        </w:rPr>
      </w:pPr>
      <w:r>
        <w:rPr>
          <w:lang w:val="en-US"/>
        </w:rPr>
        <w:br w:type="page"/>
      </w:r>
    </w:p>
    <w:p w14:paraId="07E00D01" w14:textId="19E1E7EB" w:rsidR="00A92C7F" w:rsidRDefault="00A92C7F" w:rsidP="00A92C7F">
      <w:pPr>
        <w:rPr>
          <w:rFonts w:eastAsia="Aptos"/>
          <w:noProof/>
          <w:lang w:val="en-US"/>
        </w:rPr>
      </w:pPr>
      <w:r>
        <w:rPr>
          <w:noProof/>
        </w:rPr>
        <w:lastRenderedPageBreak/>
        <w:drawing>
          <wp:inline distT="0" distB="0" distL="0" distR="0" wp14:anchorId="2D182B13" wp14:editId="0C3EC26C">
            <wp:extent cx="6300000" cy="4464827"/>
            <wp:effectExtent l="0" t="0" r="0" b="0"/>
            <wp:docPr id="1595983278" name="Grafik 1" descr="Ein Bild, das Text, Diagramm, Entwurf, Pla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83278" name="Grafik 1" descr="Ein Bild, das Text, Diagramm, Entwurf, Plan enthält.&#10;&#10;KI-generierte Inhalte können fehlerhaft sei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149" t="1068" r="-6895" b="49993"/>
                    <a:stretch>
                      <a:fillRect/>
                    </a:stretch>
                  </pic:blipFill>
                  <pic:spPr bwMode="auto">
                    <a:xfrm>
                      <a:off x="0" y="0"/>
                      <a:ext cx="6300000" cy="4464827"/>
                    </a:xfrm>
                    <a:prstGeom prst="rect">
                      <a:avLst/>
                    </a:prstGeom>
                    <a:noFill/>
                    <a:ln>
                      <a:noFill/>
                    </a:ln>
                    <a:extLst>
                      <a:ext uri="{53640926-AAD7-44D8-BBD7-CCE9431645EC}">
                        <a14:shadowObscured xmlns:a14="http://schemas.microsoft.com/office/drawing/2010/main"/>
                      </a:ext>
                    </a:extLst>
                  </pic:spPr>
                </pic:pic>
              </a:graphicData>
            </a:graphic>
          </wp:inline>
        </w:drawing>
      </w:r>
    </w:p>
    <w:p w14:paraId="6BD06D91" w14:textId="328DE03B" w:rsidR="00AC7D90" w:rsidRPr="00076161" w:rsidRDefault="00AC7D90" w:rsidP="00434D04">
      <w:pPr>
        <w:pStyle w:val="Heading2"/>
        <w:suppressAutoHyphens/>
        <w:spacing w:before="0" w:after="0" w:line="240" w:lineRule="auto"/>
        <w:jc w:val="both"/>
        <w:rPr>
          <w:rFonts w:ascii="Arial" w:eastAsia="Aptos" w:hAnsi="Arial" w:cs="Arial"/>
          <w:b/>
          <w:color w:val="auto"/>
          <w:kern w:val="0"/>
          <w:sz w:val="24"/>
          <w:szCs w:val="24"/>
          <w:lang w:val="en-US"/>
          <w14:ligatures w14:val="none"/>
        </w:rPr>
      </w:pPr>
      <w:r>
        <w:rPr>
          <w:rFonts w:ascii="Arial" w:eastAsia="Aptos" w:hAnsi="Arial" w:cs="Arial"/>
          <w:b/>
          <w:color w:val="auto"/>
          <w:kern w:val="0"/>
          <w:sz w:val="24"/>
          <w:szCs w:val="24"/>
          <w:lang w:val="en-US"/>
          <w14:ligatures w14:val="none"/>
        </w:rPr>
        <w:t>Fig. S1</w:t>
      </w:r>
      <w:r w:rsidRPr="00076161">
        <w:rPr>
          <w:rFonts w:ascii="Arial" w:eastAsia="Aptos" w:hAnsi="Arial" w:cs="Arial"/>
          <w:b/>
          <w:color w:val="auto"/>
          <w:kern w:val="0"/>
          <w:sz w:val="24"/>
          <w:szCs w:val="24"/>
          <w:lang w:val="en-US"/>
          <w14:ligatures w14:val="none"/>
        </w:rPr>
        <w:t xml:space="preserve">: Generation and characterization of </w:t>
      </w:r>
      <w:r w:rsidRPr="00AC7D90">
        <w:rPr>
          <w:rFonts w:ascii="Arial" w:eastAsia="Aptos" w:hAnsi="Arial" w:cs="Arial"/>
          <w:b/>
          <w:color w:val="auto"/>
          <w:kern w:val="0"/>
          <w:sz w:val="24"/>
          <w:szCs w:val="24"/>
          <w:lang w:val="en-US"/>
          <w14:ligatures w14:val="none"/>
        </w:rPr>
        <w:t>RB1</w:t>
      </w:r>
      <w:r w:rsidRPr="00076161">
        <w:rPr>
          <w:rFonts w:ascii="Arial" w:eastAsia="Aptos" w:hAnsi="Arial" w:cs="Arial"/>
          <w:b/>
          <w:color w:val="auto"/>
          <w:kern w:val="0"/>
          <w:sz w:val="24"/>
          <w:szCs w:val="24"/>
          <w:lang w:val="en-US"/>
          <w14:ligatures w14:val="none"/>
        </w:rPr>
        <w:t xml:space="preserve"> and </w:t>
      </w:r>
      <w:r w:rsidRPr="00AC7D90">
        <w:rPr>
          <w:rFonts w:ascii="Arial" w:eastAsia="Aptos" w:hAnsi="Arial" w:cs="Arial"/>
          <w:b/>
          <w:color w:val="auto"/>
          <w:kern w:val="0"/>
          <w:sz w:val="24"/>
          <w:szCs w:val="24"/>
          <w:lang w:val="en-US"/>
          <w14:ligatures w14:val="none"/>
        </w:rPr>
        <w:t>BRCA2</w:t>
      </w:r>
      <w:r w:rsidRPr="00076161">
        <w:rPr>
          <w:rFonts w:ascii="Arial" w:eastAsia="Aptos" w:hAnsi="Arial" w:cs="Arial"/>
          <w:b/>
          <w:color w:val="auto"/>
          <w:kern w:val="0"/>
          <w:sz w:val="24"/>
          <w:szCs w:val="24"/>
          <w:lang w:val="en-US"/>
          <w14:ligatures w14:val="none"/>
        </w:rPr>
        <w:t xml:space="preserve"> single-and co-mutated T47D cells.</w:t>
      </w:r>
    </w:p>
    <w:p w14:paraId="36083515" w14:textId="4074325A" w:rsidR="00AC7D90" w:rsidRPr="00076161" w:rsidRDefault="00AC7D90" w:rsidP="00434D04">
      <w:pPr>
        <w:spacing w:line="240" w:lineRule="auto"/>
        <w:rPr>
          <w:rFonts w:eastAsia="Aptos" w:cs="Arial"/>
          <w:color w:val="000000" w:themeColor="text1"/>
          <w:kern w:val="2"/>
          <w:szCs w:val="24"/>
          <w:lang w:val="en-US"/>
        </w:rPr>
      </w:pPr>
      <w:r w:rsidRPr="00CC35EB">
        <w:rPr>
          <w:rFonts w:eastAsia="Aptos" w:cs="Arial"/>
          <w:color w:val="000000" w:themeColor="text1"/>
          <w:kern w:val="2"/>
          <w:szCs w:val="24"/>
          <w:lang w:val="en-US"/>
        </w:rPr>
        <w:t xml:space="preserve">Immunoblot of T47D cells expressing gRNAs targeting </w:t>
      </w:r>
      <w:r w:rsidRPr="005A4371">
        <w:rPr>
          <w:rFonts w:eastAsia="Aptos" w:cs="Arial"/>
          <w:i/>
          <w:iCs/>
          <w:color w:val="000000" w:themeColor="text1"/>
          <w:kern w:val="2"/>
          <w:szCs w:val="24"/>
          <w:lang w:val="en-US"/>
        </w:rPr>
        <w:t>RB1</w:t>
      </w:r>
      <w:r w:rsidRPr="00CC35EB">
        <w:rPr>
          <w:rFonts w:eastAsia="Aptos" w:cs="Arial"/>
          <w:color w:val="000000" w:themeColor="text1"/>
          <w:kern w:val="2"/>
          <w:szCs w:val="24"/>
          <w:lang w:val="en-US"/>
        </w:rPr>
        <w:t xml:space="preserve"> (</w:t>
      </w:r>
      <w:r w:rsidRPr="00CC35EB">
        <w:rPr>
          <w:rFonts w:eastAsia="Aptos" w:cs="Arial"/>
          <w:b/>
          <w:color w:val="000000" w:themeColor="text1"/>
          <w:kern w:val="2"/>
          <w:szCs w:val="24"/>
          <w:lang w:val="en-US"/>
        </w:rPr>
        <w:t>a</w:t>
      </w:r>
      <w:r w:rsidRPr="00CC35EB">
        <w:rPr>
          <w:rFonts w:eastAsia="Aptos" w:cs="Arial"/>
          <w:color w:val="000000" w:themeColor="text1"/>
          <w:kern w:val="2"/>
          <w:szCs w:val="24"/>
          <w:lang w:val="en-US"/>
        </w:rPr>
        <w:t xml:space="preserve">) or </w:t>
      </w:r>
      <w:r w:rsidRPr="005A4371">
        <w:rPr>
          <w:rFonts w:eastAsia="Aptos" w:cs="Arial"/>
          <w:i/>
          <w:iCs/>
          <w:color w:val="000000" w:themeColor="text1"/>
          <w:kern w:val="2"/>
          <w:szCs w:val="24"/>
          <w:lang w:val="en-US"/>
        </w:rPr>
        <w:t>BRCA2</w:t>
      </w:r>
      <w:r w:rsidRPr="00CC35EB">
        <w:rPr>
          <w:rFonts w:eastAsia="Aptos" w:cs="Arial"/>
          <w:color w:val="000000" w:themeColor="text1"/>
          <w:kern w:val="2"/>
          <w:szCs w:val="24"/>
          <w:lang w:val="en-US"/>
        </w:rPr>
        <w:t xml:space="preserve"> (</w:t>
      </w:r>
      <w:r w:rsidRPr="00CC35EB">
        <w:rPr>
          <w:rFonts w:eastAsia="Aptos" w:cs="Arial"/>
          <w:b/>
          <w:color w:val="000000" w:themeColor="text1"/>
          <w:kern w:val="2"/>
          <w:szCs w:val="24"/>
          <w:lang w:val="en-US"/>
        </w:rPr>
        <w:t>b</w:t>
      </w:r>
      <w:r w:rsidRPr="00CC35EB">
        <w:rPr>
          <w:rFonts w:eastAsia="Aptos" w:cs="Arial"/>
          <w:color w:val="000000" w:themeColor="text1"/>
          <w:kern w:val="2"/>
          <w:szCs w:val="24"/>
          <w:lang w:val="en-US"/>
        </w:rPr>
        <w:t xml:space="preserve">). </w:t>
      </w:r>
      <w:r w:rsidRPr="00CC35EB">
        <w:rPr>
          <w:rFonts w:eastAsia="Aptos" w:cs="Arial"/>
          <w:b/>
          <w:color w:val="000000" w:themeColor="text1"/>
          <w:kern w:val="2"/>
          <w:szCs w:val="24"/>
          <w:lang w:val="en-US"/>
        </w:rPr>
        <w:t>c</w:t>
      </w:r>
      <w:r w:rsidRPr="00CC35EB">
        <w:rPr>
          <w:rFonts w:eastAsia="Aptos" w:cs="Arial"/>
          <w:color w:val="000000" w:themeColor="text1"/>
          <w:kern w:val="2"/>
          <w:szCs w:val="24"/>
          <w:lang w:val="en-US"/>
        </w:rPr>
        <w:t>: Cell counting experiment</w:t>
      </w:r>
      <w:r>
        <w:rPr>
          <w:rFonts w:eastAsia="Aptos" w:cs="Arial"/>
          <w:color w:val="000000" w:themeColor="text1"/>
          <w:kern w:val="2"/>
          <w:szCs w:val="24"/>
          <w:lang w:val="en-US"/>
        </w:rPr>
        <w:t xml:space="preserve"> (Suppl. Materials and Methods)</w:t>
      </w:r>
      <w:r w:rsidRPr="00CC35EB">
        <w:rPr>
          <w:rFonts w:eastAsia="Aptos" w:cs="Arial"/>
          <w:color w:val="000000" w:themeColor="text1"/>
          <w:kern w:val="2"/>
          <w:szCs w:val="24"/>
          <w:lang w:val="en-US"/>
        </w:rPr>
        <w:t xml:space="preserve"> of T47D </w:t>
      </w:r>
      <w:r w:rsidRPr="00CC35EB">
        <w:rPr>
          <w:rFonts w:eastAsia="Aptos" w:cs="Arial"/>
          <w:i/>
          <w:color w:val="000000" w:themeColor="text1"/>
          <w:kern w:val="2"/>
          <w:szCs w:val="24"/>
          <w:lang w:val="en-US"/>
        </w:rPr>
        <w:t>lacZ</w:t>
      </w:r>
      <w:r w:rsidRPr="00CC35EB">
        <w:rPr>
          <w:rFonts w:eastAsia="Aptos" w:cs="Arial"/>
          <w:color w:val="000000" w:themeColor="text1"/>
          <w:kern w:val="2"/>
          <w:szCs w:val="24"/>
          <w:lang w:val="en-US"/>
        </w:rPr>
        <w:t xml:space="preserve">, </w:t>
      </w:r>
      <w:r w:rsidRPr="00CC35EB">
        <w:rPr>
          <w:rFonts w:eastAsia="Aptos" w:cs="Arial"/>
          <w:i/>
          <w:color w:val="000000" w:themeColor="text1"/>
          <w:kern w:val="2"/>
          <w:szCs w:val="24"/>
          <w:lang w:val="en-US"/>
        </w:rPr>
        <w:t>RB1</w:t>
      </w:r>
      <w:r w:rsidRPr="00CC35EB">
        <w:rPr>
          <w:rFonts w:eastAsia="Aptos" w:cs="Arial"/>
          <w:color w:val="000000" w:themeColor="text1"/>
          <w:kern w:val="2"/>
          <w:szCs w:val="24"/>
          <w:lang w:val="en-US"/>
        </w:rPr>
        <w:t xml:space="preserve"> KO and </w:t>
      </w:r>
      <w:r w:rsidRPr="00CC35EB">
        <w:rPr>
          <w:rFonts w:eastAsia="Aptos" w:cs="Arial"/>
          <w:i/>
          <w:color w:val="000000" w:themeColor="text1"/>
          <w:kern w:val="2"/>
          <w:szCs w:val="24"/>
          <w:lang w:val="en-US"/>
        </w:rPr>
        <w:t>BRCA2</w:t>
      </w:r>
      <w:r w:rsidRPr="00CC35EB">
        <w:rPr>
          <w:rFonts w:eastAsia="Aptos" w:cs="Arial"/>
          <w:color w:val="000000" w:themeColor="text1"/>
          <w:kern w:val="2"/>
          <w:szCs w:val="24"/>
          <w:lang w:val="en-US"/>
        </w:rPr>
        <w:t xml:space="preserve"> KO bulk population after 6 days of gRNA expression. </w:t>
      </w:r>
      <w:r>
        <w:rPr>
          <w:rFonts w:eastAsia="Aptos" w:cs="Arial"/>
          <w:color w:val="000000" w:themeColor="text1"/>
          <w:kern w:val="2"/>
          <w:szCs w:val="24"/>
          <w:lang w:val="en-US"/>
        </w:rPr>
        <w:t>D</w:t>
      </w:r>
      <w:r w:rsidRPr="00CC35EB">
        <w:rPr>
          <w:rFonts w:eastAsia="Aptos" w:cs="Arial"/>
          <w:color w:val="000000" w:themeColor="text1"/>
          <w:kern w:val="2"/>
          <w:szCs w:val="24"/>
          <w:lang w:val="en-US"/>
        </w:rPr>
        <w:t xml:space="preserve">ata represent mean </w:t>
      </w:r>
      <w:r w:rsidR="00437CFC" w:rsidRPr="00CC35EB">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SD, n=3</w:t>
      </w:r>
      <w:r>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Ordinary 2-way ANOVA, </w:t>
      </w:r>
      <w:proofErr w:type="spellStart"/>
      <w:r>
        <w:rPr>
          <w:rFonts w:eastAsia="Aptos" w:cs="Arial"/>
          <w:color w:val="000000" w:themeColor="text1"/>
          <w:kern w:val="2"/>
          <w:szCs w:val="24"/>
          <w:lang w:val="en-US"/>
        </w:rPr>
        <w:t>Šídák’s</w:t>
      </w:r>
      <w:proofErr w:type="spellEnd"/>
      <w:r>
        <w:rPr>
          <w:rFonts w:eastAsia="Aptos" w:cs="Arial"/>
          <w:color w:val="000000" w:themeColor="text1"/>
          <w:kern w:val="2"/>
          <w:szCs w:val="24"/>
          <w:lang w:val="en-US"/>
        </w:rPr>
        <w:t xml:space="preserve"> multiple comparisons test. </w:t>
      </w:r>
      <w:r w:rsidRPr="00CC35EB">
        <w:rPr>
          <w:rFonts w:eastAsia="Aptos" w:cs="Arial"/>
          <w:b/>
          <w:bCs/>
          <w:color w:val="000000" w:themeColor="text1"/>
          <w:kern w:val="2"/>
          <w:szCs w:val="24"/>
          <w:lang w:val="en-US"/>
        </w:rPr>
        <w:t>d</w:t>
      </w:r>
      <w:r w:rsidRPr="00CC35EB">
        <w:rPr>
          <w:rFonts w:eastAsia="Aptos" w:cs="Arial"/>
          <w:color w:val="000000" w:themeColor="text1"/>
          <w:kern w:val="2"/>
          <w:szCs w:val="24"/>
          <w:lang w:val="en-US"/>
        </w:rPr>
        <w:t xml:space="preserve">: Left Panel: T47D </w:t>
      </w:r>
      <w:r w:rsidRPr="00CC35EB">
        <w:rPr>
          <w:rFonts w:eastAsia="Aptos" w:cs="Arial"/>
          <w:i/>
          <w:iCs/>
          <w:color w:val="000000" w:themeColor="text1"/>
          <w:kern w:val="2"/>
          <w:szCs w:val="24"/>
          <w:lang w:val="en-US"/>
        </w:rPr>
        <w:t>RB1</w:t>
      </w:r>
      <w:r w:rsidRPr="00CC35EB">
        <w:rPr>
          <w:rFonts w:eastAsia="Aptos" w:cs="Arial"/>
          <w:color w:val="000000" w:themeColor="text1"/>
          <w:kern w:val="2"/>
          <w:szCs w:val="24"/>
          <w:lang w:val="en-US"/>
        </w:rPr>
        <w:t xml:space="preserve"> or </w:t>
      </w:r>
      <w:r w:rsidRPr="00CC35EB">
        <w:rPr>
          <w:rFonts w:eastAsia="Aptos" w:cs="Arial"/>
          <w:i/>
          <w:iCs/>
          <w:color w:val="000000" w:themeColor="text1"/>
          <w:kern w:val="2"/>
          <w:szCs w:val="24"/>
          <w:lang w:val="en-US"/>
        </w:rPr>
        <w:t>BRCA2</w:t>
      </w:r>
      <w:r w:rsidRPr="00CC35EB">
        <w:rPr>
          <w:rFonts w:eastAsia="Aptos" w:cs="Arial"/>
          <w:color w:val="000000" w:themeColor="text1"/>
          <w:kern w:val="2"/>
          <w:szCs w:val="24"/>
          <w:lang w:val="en-US"/>
        </w:rPr>
        <w:t xml:space="preserve"> KO were mixed with T47D wild-type cells on day 0 at a ratio of 50:50. Changes in ratio of KO vs. wild-type cells were measured on day 4 and day 7 using flow cytometry</w:t>
      </w:r>
      <w:r>
        <w:rPr>
          <w:rFonts w:eastAsia="Aptos" w:cs="Arial"/>
          <w:color w:val="000000" w:themeColor="text1"/>
          <w:kern w:val="2"/>
          <w:szCs w:val="24"/>
          <w:lang w:val="en-US"/>
        </w:rPr>
        <w:t xml:space="preserve"> (Supplementary Materials and Methods)</w:t>
      </w:r>
      <w:r w:rsidRPr="00CC35EB">
        <w:rPr>
          <w:rFonts w:eastAsia="Aptos" w:cs="Arial"/>
          <w:color w:val="000000" w:themeColor="text1"/>
          <w:kern w:val="2"/>
          <w:szCs w:val="24"/>
          <w:lang w:val="en-US"/>
        </w:rPr>
        <w:t xml:space="preserve">. Data represent mean ± SD. Right panel: statistical analysis. </w:t>
      </w:r>
      <w:r>
        <w:rPr>
          <w:rFonts w:eastAsia="Aptos" w:cs="Arial"/>
          <w:color w:val="000000" w:themeColor="text1"/>
          <w:kern w:val="2"/>
          <w:szCs w:val="24"/>
          <w:lang w:val="en-US"/>
        </w:rPr>
        <w:t>Da</w:t>
      </w:r>
      <w:r w:rsidRPr="00CC35EB">
        <w:rPr>
          <w:rFonts w:eastAsia="Aptos" w:cs="Arial"/>
          <w:color w:val="000000" w:themeColor="text1"/>
          <w:kern w:val="2"/>
          <w:szCs w:val="24"/>
          <w:lang w:val="en-US"/>
        </w:rPr>
        <w:t xml:space="preserve">ta represent mean </w:t>
      </w:r>
      <w:r w:rsidR="00437CFC" w:rsidRPr="00CC35EB">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SD</w:t>
      </w:r>
      <w:r>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Ordinary </w:t>
      </w:r>
      <w:r>
        <w:rPr>
          <w:rFonts w:eastAsia="Aptos" w:cs="Arial"/>
          <w:color w:val="000000" w:themeColor="text1"/>
          <w:kern w:val="2"/>
          <w:szCs w:val="24"/>
          <w:lang w:val="en-US"/>
        </w:rPr>
        <w:t>one</w:t>
      </w:r>
      <w:r w:rsidRPr="00CC35EB">
        <w:rPr>
          <w:rFonts w:eastAsia="Aptos" w:cs="Arial"/>
          <w:color w:val="000000" w:themeColor="text1"/>
          <w:kern w:val="2"/>
          <w:szCs w:val="24"/>
          <w:lang w:val="en-US"/>
        </w:rPr>
        <w:t>-way ANOVA,</w:t>
      </w:r>
      <w:r>
        <w:rPr>
          <w:rFonts w:eastAsia="Aptos" w:cs="Arial"/>
          <w:color w:val="000000" w:themeColor="text1"/>
          <w:kern w:val="2"/>
          <w:szCs w:val="24"/>
          <w:lang w:val="en-US"/>
        </w:rPr>
        <w:t xml:space="preserve"> </w:t>
      </w:r>
      <w:proofErr w:type="spellStart"/>
      <w:r>
        <w:rPr>
          <w:rFonts w:eastAsia="Aptos" w:cs="Arial"/>
          <w:color w:val="000000" w:themeColor="text1"/>
          <w:kern w:val="2"/>
          <w:szCs w:val="24"/>
          <w:lang w:val="en-US"/>
        </w:rPr>
        <w:t>Šídák’s</w:t>
      </w:r>
      <w:proofErr w:type="spellEnd"/>
      <w:r>
        <w:rPr>
          <w:rFonts w:eastAsia="Aptos" w:cs="Arial"/>
          <w:color w:val="000000" w:themeColor="text1"/>
          <w:kern w:val="2"/>
          <w:szCs w:val="24"/>
          <w:lang w:val="en-US"/>
        </w:rPr>
        <w:t xml:space="preserve"> multiple comparisons test</w:t>
      </w:r>
      <w:r w:rsidRPr="00CC35EB">
        <w:rPr>
          <w:rFonts w:eastAsia="Aptos" w:cs="Arial"/>
          <w:color w:val="000000" w:themeColor="text1"/>
          <w:kern w:val="2"/>
          <w:szCs w:val="24"/>
          <w:lang w:val="en-US"/>
        </w:rPr>
        <w:t xml:space="preserve">. </w:t>
      </w:r>
      <w:r w:rsidRPr="00CC35EB">
        <w:rPr>
          <w:rFonts w:eastAsia="Aptos" w:cs="Arial"/>
          <w:b/>
          <w:bCs/>
          <w:color w:val="000000" w:themeColor="text1"/>
          <w:kern w:val="2"/>
          <w:szCs w:val="24"/>
          <w:lang w:val="en-US"/>
        </w:rPr>
        <w:t>e</w:t>
      </w:r>
      <w:r w:rsidRPr="00CC35EB">
        <w:rPr>
          <w:rFonts w:eastAsia="Aptos" w:cs="Arial"/>
          <w:color w:val="000000" w:themeColor="text1"/>
          <w:kern w:val="2"/>
          <w:szCs w:val="24"/>
          <w:lang w:val="en-US"/>
        </w:rPr>
        <w:t xml:space="preserve">: Left Panel: T47D </w:t>
      </w:r>
      <w:r w:rsidRPr="00CC35EB">
        <w:rPr>
          <w:rFonts w:eastAsia="Aptos" w:cs="Arial"/>
          <w:i/>
          <w:iCs/>
          <w:color w:val="000000" w:themeColor="text1"/>
          <w:kern w:val="2"/>
          <w:szCs w:val="24"/>
          <w:lang w:val="en-US"/>
        </w:rPr>
        <w:t>RB1</w:t>
      </w:r>
      <w:r w:rsidRPr="00CC35EB">
        <w:rPr>
          <w:rFonts w:eastAsia="Aptos" w:cs="Arial"/>
          <w:color w:val="000000" w:themeColor="text1"/>
          <w:kern w:val="2"/>
          <w:szCs w:val="24"/>
          <w:lang w:val="en-US"/>
        </w:rPr>
        <w:t xml:space="preserve"> or </w:t>
      </w:r>
      <w:r w:rsidRPr="00CC35EB">
        <w:rPr>
          <w:rFonts w:eastAsia="Aptos" w:cs="Arial"/>
          <w:i/>
          <w:iCs/>
          <w:color w:val="000000" w:themeColor="text1"/>
          <w:kern w:val="2"/>
          <w:szCs w:val="24"/>
          <w:lang w:val="en-US"/>
        </w:rPr>
        <w:t>BRCA2</w:t>
      </w:r>
      <w:r w:rsidRPr="00CC35EB">
        <w:rPr>
          <w:rFonts w:eastAsia="Aptos" w:cs="Arial"/>
          <w:color w:val="000000" w:themeColor="text1"/>
          <w:kern w:val="2"/>
          <w:szCs w:val="24"/>
          <w:lang w:val="en-US"/>
        </w:rPr>
        <w:t xml:space="preserve"> KO were mixed with T47D wild-type cells on day 0 at a ratio of 50:50 and treated with </w:t>
      </w:r>
      <w:r>
        <w:rPr>
          <w:rFonts w:eastAsia="Aptos" w:cs="Arial"/>
          <w:color w:val="000000" w:themeColor="text1"/>
          <w:kern w:val="2"/>
          <w:szCs w:val="24"/>
          <w:lang w:val="en-US"/>
        </w:rPr>
        <w:t>p</w:t>
      </w:r>
      <w:r w:rsidRPr="00CC35EB">
        <w:rPr>
          <w:rFonts w:eastAsia="Aptos" w:cs="Arial"/>
          <w:color w:val="000000" w:themeColor="text1"/>
          <w:kern w:val="2"/>
          <w:szCs w:val="24"/>
          <w:lang w:val="en-US"/>
        </w:rPr>
        <w:t>albociclib (250nM) on day 1. Changes in ratio of KO vs. wild-type cells were measured on day 4 and day 7 using flow cytometry</w:t>
      </w:r>
      <w:r>
        <w:rPr>
          <w:rFonts w:eastAsia="Aptos" w:cs="Arial"/>
          <w:color w:val="000000" w:themeColor="text1"/>
          <w:kern w:val="2"/>
          <w:szCs w:val="24"/>
          <w:lang w:val="en-US"/>
        </w:rPr>
        <w:t xml:space="preserve"> (Supplementary Materials and Methods)</w:t>
      </w:r>
      <w:r w:rsidRPr="00CC35EB">
        <w:rPr>
          <w:rFonts w:eastAsia="Aptos" w:cs="Arial"/>
          <w:color w:val="000000" w:themeColor="text1"/>
          <w:kern w:val="2"/>
          <w:szCs w:val="24"/>
          <w:lang w:val="en-US"/>
        </w:rPr>
        <w:t xml:space="preserve">. Data represent mean ± SD. Right panel: statistical analysis. </w:t>
      </w:r>
      <w:r>
        <w:rPr>
          <w:rFonts w:eastAsia="Aptos" w:cs="Arial"/>
          <w:color w:val="000000" w:themeColor="text1"/>
          <w:kern w:val="2"/>
          <w:szCs w:val="24"/>
          <w:lang w:val="en-US"/>
        </w:rPr>
        <w:t>D</w:t>
      </w:r>
      <w:r w:rsidRPr="00CC35EB">
        <w:rPr>
          <w:rFonts w:eastAsia="Aptos" w:cs="Arial"/>
          <w:color w:val="000000" w:themeColor="text1"/>
          <w:kern w:val="2"/>
          <w:szCs w:val="24"/>
          <w:lang w:val="en-US"/>
        </w:rPr>
        <w:t xml:space="preserve">ata represent mean </w:t>
      </w:r>
      <w:r w:rsidR="00437CFC" w:rsidRPr="00CC35EB">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SD, Ordinary </w:t>
      </w:r>
      <w:r>
        <w:rPr>
          <w:rFonts w:eastAsia="Aptos" w:cs="Arial"/>
          <w:color w:val="000000" w:themeColor="text1"/>
          <w:kern w:val="2"/>
          <w:szCs w:val="24"/>
          <w:lang w:val="en-US"/>
        </w:rPr>
        <w:t>one</w:t>
      </w:r>
      <w:r w:rsidRPr="00CC35EB">
        <w:rPr>
          <w:rFonts w:eastAsia="Aptos" w:cs="Arial"/>
          <w:color w:val="000000" w:themeColor="text1"/>
          <w:kern w:val="2"/>
          <w:szCs w:val="24"/>
          <w:lang w:val="en-US"/>
        </w:rPr>
        <w:t>-way ANOVA,</w:t>
      </w:r>
      <w:r>
        <w:rPr>
          <w:rFonts w:eastAsia="Aptos" w:cs="Arial"/>
          <w:color w:val="000000" w:themeColor="text1"/>
          <w:kern w:val="2"/>
          <w:szCs w:val="24"/>
          <w:lang w:val="en-US"/>
        </w:rPr>
        <w:t xml:space="preserve"> </w:t>
      </w:r>
      <w:proofErr w:type="spellStart"/>
      <w:r>
        <w:rPr>
          <w:rFonts w:eastAsia="Aptos" w:cs="Arial"/>
          <w:color w:val="000000" w:themeColor="text1"/>
          <w:kern w:val="2"/>
          <w:szCs w:val="24"/>
          <w:lang w:val="en-US"/>
        </w:rPr>
        <w:t>Šídák’s</w:t>
      </w:r>
      <w:proofErr w:type="spellEnd"/>
      <w:r>
        <w:rPr>
          <w:rFonts w:eastAsia="Aptos" w:cs="Arial"/>
          <w:color w:val="000000" w:themeColor="text1"/>
          <w:kern w:val="2"/>
          <w:szCs w:val="24"/>
          <w:lang w:val="en-US"/>
        </w:rPr>
        <w:t xml:space="preserve"> multiple comparisons test.</w:t>
      </w:r>
    </w:p>
    <w:p w14:paraId="1AC9D8CC" w14:textId="77777777" w:rsidR="00AC7D90" w:rsidRDefault="00AC7D90">
      <w:pPr>
        <w:suppressAutoHyphens w:val="0"/>
        <w:spacing w:line="278" w:lineRule="auto"/>
        <w:jc w:val="left"/>
        <w:rPr>
          <w:rFonts w:eastAsia="Aptos" w:cs="Arial"/>
          <w:b/>
          <w:szCs w:val="24"/>
          <w:lang w:val="en-US"/>
        </w:rPr>
      </w:pPr>
      <w:r>
        <w:rPr>
          <w:rFonts w:eastAsia="Aptos" w:cs="Arial"/>
          <w:b/>
          <w:szCs w:val="24"/>
          <w:lang w:val="en-US"/>
        </w:rPr>
        <w:br w:type="page"/>
      </w:r>
    </w:p>
    <w:p w14:paraId="55B0FB00" w14:textId="61906A11" w:rsidR="00AC7D90" w:rsidRDefault="00A92C7F" w:rsidP="00AC7D90">
      <w:pPr>
        <w:rPr>
          <w:rFonts w:eastAsia="Aptos" w:cs="Arial"/>
          <w:b/>
          <w:szCs w:val="24"/>
          <w:lang w:val="en-US"/>
        </w:rPr>
      </w:pPr>
      <w:r>
        <w:rPr>
          <w:noProof/>
        </w:rPr>
        <w:lastRenderedPageBreak/>
        <w:drawing>
          <wp:inline distT="0" distB="0" distL="0" distR="0" wp14:anchorId="40574685" wp14:editId="4AED4A0D">
            <wp:extent cx="6300000" cy="1757495"/>
            <wp:effectExtent l="0" t="0" r="5715" b="0"/>
            <wp:docPr id="1743337900" name="Grafik 2" descr="Ein Bild, das Text, Screenshot, Diagramm, Entwur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37900" name="Grafik 2" descr="Ein Bild, das Text, Screenshot, Diagramm, Entwurf enthält.&#10;&#10;KI-generierte Inhalte können fehlerhaft sei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82" t="2331" b="78894"/>
                    <a:stretch>
                      <a:fillRect/>
                    </a:stretch>
                  </pic:blipFill>
                  <pic:spPr bwMode="auto">
                    <a:xfrm>
                      <a:off x="0" y="0"/>
                      <a:ext cx="6300000" cy="1757495"/>
                    </a:xfrm>
                    <a:prstGeom prst="rect">
                      <a:avLst/>
                    </a:prstGeom>
                    <a:noFill/>
                    <a:ln>
                      <a:noFill/>
                    </a:ln>
                    <a:extLst>
                      <a:ext uri="{53640926-AAD7-44D8-BBD7-CCE9431645EC}">
                        <a14:shadowObscured xmlns:a14="http://schemas.microsoft.com/office/drawing/2010/main"/>
                      </a:ext>
                    </a:extLst>
                  </pic:spPr>
                </pic:pic>
              </a:graphicData>
            </a:graphic>
          </wp:inline>
        </w:drawing>
      </w:r>
    </w:p>
    <w:p w14:paraId="73E9458F" w14:textId="542D8B7A" w:rsidR="00AC7D90" w:rsidRPr="00076161" w:rsidRDefault="00AC7D90" w:rsidP="00434D04">
      <w:pPr>
        <w:pStyle w:val="Heading2"/>
        <w:suppressAutoHyphens/>
        <w:spacing w:before="0" w:after="0" w:line="240" w:lineRule="auto"/>
        <w:jc w:val="both"/>
        <w:rPr>
          <w:rFonts w:ascii="Arial" w:eastAsia="Aptos" w:hAnsi="Arial" w:cs="Arial"/>
          <w:b/>
          <w:color w:val="auto"/>
          <w:kern w:val="0"/>
          <w:sz w:val="24"/>
          <w:szCs w:val="24"/>
          <w:lang w:val="en-US"/>
          <w14:ligatures w14:val="none"/>
        </w:rPr>
      </w:pPr>
      <w:r>
        <w:rPr>
          <w:rFonts w:ascii="Arial" w:eastAsia="Aptos" w:hAnsi="Arial" w:cs="Arial"/>
          <w:b/>
          <w:color w:val="auto"/>
          <w:kern w:val="0"/>
          <w:sz w:val="24"/>
          <w:szCs w:val="24"/>
          <w:lang w:val="en-US"/>
          <w14:ligatures w14:val="none"/>
        </w:rPr>
        <w:t>Fig. S2</w:t>
      </w:r>
      <w:r w:rsidRPr="00076161">
        <w:rPr>
          <w:rFonts w:ascii="Arial" w:eastAsia="Aptos" w:hAnsi="Arial" w:cs="Arial"/>
          <w:b/>
          <w:color w:val="auto"/>
          <w:kern w:val="0"/>
          <w:sz w:val="24"/>
          <w:szCs w:val="24"/>
          <w:lang w:val="en-US"/>
          <w14:ligatures w14:val="none"/>
        </w:rPr>
        <w:t xml:space="preserve">: </w:t>
      </w:r>
      <w:r w:rsidRPr="005A4371">
        <w:rPr>
          <w:rFonts w:ascii="Arial" w:eastAsia="Aptos" w:hAnsi="Arial" w:cs="Arial"/>
          <w:b/>
          <w:i/>
          <w:iCs/>
          <w:color w:val="auto"/>
          <w:kern w:val="0"/>
          <w:sz w:val="24"/>
          <w:szCs w:val="24"/>
          <w:lang w:val="en-US"/>
          <w14:ligatures w14:val="none"/>
        </w:rPr>
        <w:t>RB1</w:t>
      </w:r>
      <w:r w:rsidRPr="00076161">
        <w:rPr>
          <w:rFonts w:ascii="Arial" w:eastAsia="Aptos" w:hAnsi="Arial" w:cs="Arial"/>
          <w:b/>
          <w:color w:val="auto"/>
          <w:kern w:val="0"/>
          <w:sz w:val="24"/>
          <w:szCs w:val="24"/>
          <w:lang w:val="en-US"/>
          <w14:ligatures w14:val="none"/>
        </w:rPr>
        <w:t>/</w:t>
      </w:r>
      <w:r w:rsidRPr="005A4371">
        <w:rPr>
          <w:rFonts w:ascii="Arial" w:eastAsia="Aptos" w:hAnsi="Arial" w:cs="Arial"/>
          <w:b/>
          <w:i/>
          <w:iCs/>
          <w:color w:val="auto"/>
          <w:kern w:val="0"/>
          <w:sz w:val="24"/>
          <w:szCs w:val="24"/>
          <w:lang w:val="en-US"/>
          <w14:ligatures w14:val="none"/>
        </w:rPr>
        <w:t>BRCA2</w:t>
      </w:r>
      <w:r w:rsidRPr="00076161">
        <w:rPr>
          <w:rFonts w:ascii="Arial" w:eastAsia="Aptos" w:hAnsi="Arial" w:cs="Arial"/>
          <w:b/>
          <w:color w:val="auto"/>
          <w:kern w:val="0"/>
          <w:sz w:val="24"/>
          <w:szCs w:val="24"/>
          <w:lang w:val="en-US"/>
          <w14:ligatures w14:val="none"/>
        </w:rPr>
        <w:t xml:space="preserve"> double knockout in T47D cells leads to reduced cell growth.</w:t>
      </w:r>
    </w:p>
    <w:p w14:paraId="5E082711" w14:textId="584C1DFA" w:rsidR="005D5516" w:rsidRDefault="00AC7D90" w:rsidP="005D5516">
      <w:pPr>
        <w:spacing w:line="240" w:lineRule="auto"/>
        <w:rPr>
          <w:rFonts w:eastAsia="Aptos" w:cs="Arial"/>
          <w:color w:val="000000" w:themeColor="text1"/>
          <w:kern w:val="2"/>
          <w:szCs w:val="24"/>
          <w:lang w:val="en-US"/>
        </w:rPr>
      </w:pPr>
      <w:r w:rsidRPr="00CC35EB">
        <w:rPr>
          <w:rFonts w:eastAsia="Aptos" w:cs="Arial"/>
          <w:b/>
          <w:bCs/>
          <w:kern w:val="2"/>
          <w:szCs w:val="24"/>
          <w:lang w:val="en-US"/>
        </w:rPr>
        <w:t>a</w:t>
      </w:r>
      <w:r w:rsidRPr="00CC35EB">
        <w:rPr>
          <w:rFonts w:eastAsia="Aptos" w:cs="Arial"/>
          <w:kern w:val="2"/>
          <w:szCs w:val="24"/>
          <w:lang w:val="en-US"/>
        </w:rPr>
        <w:t xml:space="preserve">: Immunoblot for determining BRCA2 protein levels in T47D </w:t>
      </w:r>
      <w:r w:rsidRPr="00CC35EB">
        <w:rPr>
          <w:rFonts w:eastAsia="Aptos" w:cs="Arial"/>
          <w:i/>
          <w:iCs/>
          <w:kern w:val="2"/>
          <w:szCs w:val="24"/>
          <w:lang w:val="en-US"/>
        </w:rPr>
        <w:t>RB1</w:t>
      </w:r>
      <w:r w:rsidRPr="00CC35EB">
        <w:rPr>
          <w:rFonts w:eastAsia="Aptos" w:cs="Arial"/>
          <w:kern w:val="2"/>
          <w:szCs w:val="24"/>
          <w:lang w:val="en-US"/>
        </w:rPr>
        <w:t xml:space="preserve"> KO cells. </w:t>
      </w:r>
      <w:r w:rsidRPr="00CC35EB">
        <w:rPr>
          <w:rFonts w:eastAsia="Aptos" w:cs="Arial"/>
          <w:b/>
          <w:bCs/>
          <w:kern w:val="2"/>
          <w:szCs w:val="24"/>
          <w:lang w:val="en-US"/>
        </w:rPr>
        <w:t>b</w:t>
      </w:r>
      <w:r w:rsidRPr="00CC35EB">
        <w:rPr>
          <w:rFonts w:eastAsia="Aptos" w:cs="Arial"/>
          <w:kern w:val="2"/>
          <w:szCs w:val="24"/>
          <w:lang w:val="en-US"/>
        </w:rPr>
        <w:t xml:space="preserve">: Cell counting experiment of T47D </w:t>
      </w:r>
      <w:r w:rsidRPr="00CC35EB">
        <w:rPr>
          <w:rFonts w:eastAsia="Aptos" w:cs="Arial"/>
          <w:i/>
          <w:kern w:val="2"/>
          <w:szCs w:val="24"/>
          <w:lang w:val="en-US"/>
        </w:rPr>
        <w:t>lacZ</w:t>
      </w:r>
      <w:r w:rsidRPr="00CC35EB">
        <w:rPr>
          <w:rFonts w:eastAsia="Aptos" w:cs="Arial"/>
          <w:kern w:val="2"/>
          <w:szCs w:val="24"/>
          <w:lang w:val="en-US"/>
        </w:rPr>
        <w:t xml:space="preserve">, </w:t>
      </w:r>
      <w:r w:rsidRPr="00CC35EB">
        <w:rPr>
          <w:rFonts w:eastAsia="Aptos" w:cs="Arial"/>
          <w:i/>
          <w:kern w:val="2"/>
          <w:szCs w:val="24"/>
          <w:lang w:val="en-US"/>
        </w:rPr>
        <w:t>RB1</w:t>
      </w:r>
      <w:r w:rsidRPr="00CC35EB">
        <w:rPr>
          <w:rFonts w:eastAsia="Aptos" w:cs="Arial"/>
          <w:kern w:val="2"/>
          <w:szCs w:val="24"/>
          <w:lang w:val="en-US"/>
        </w:rPr>
        <w:t xml:space="preserve"> single-KO and </w:t>
      </w:r>
      <w:r w:rsidRPr="00CC35EB">
        <w:rPr>
          <w:rFonts w:eastAsia="Aptos" w:cs="Arial"/>
          <w:i/>
          <w:kern w:val="2"/>
          <w:szCs w:val="24"/>
          <w:lang w:val="en-US"/>
        </w:rPr>
        <w:t>RB1</w:t>
      </w:r>
      <w:r w:rsidRPr="00CC35EB">
        <w:rPr>
          <w:rFonts w:eastAsia="Aptos" w:cs="Arial"/>
          <w:kern w:val="2"/>
          <w:szCs w:val="24"/>
          <w:lang w:val="en-US"/>
        </w:rPr>
        <w:t>+</w:t>
      </w:r>
      <w:r w:rsidRPr="00CC35EB">
        <w:rPr>
          <w:rFonts w:eastAsia="Aptos" w:cs="Arial"/>
          <w:i/>
          <w:kern w:val="2"/>
          <w:szCs w:val="24"/>
          <w:lang w:val="en-US"/>
        </w:rPr>
        <w:t>BRCA2</w:t>
      </w:r>
      <w:r w:rsidRPr="00CC35EB">
        <w:rPr>
          <w:rFonts w:eastAsia="Aptos" w:cs="Arial"/>
          <w:kern w:val="2"/>
          <w:szCs w:val="24"/>
          <w:lang w:val="en-US"/>
        </w:rPr>
        <w:t xml:space="preserve"> KO. </w:t>
      </w:r>
      <w:r>
        <w:rPr>
          <w:rFonts w:eastAsia="Aptos" w:cs="Arial"/>
          <w:kern w:val="2"/>
          <w:szCs w:val="24"/>
          <w:lang w:val="en-US"/>
        </w:rPr>
        <w:t>D</w:t>
      </w:r>
      <w:r w:rsidRPr="00CC35EB">
        <w:rPr>
          <w:rFonts w:eastAsia="Aptos" w:cs="Arial"/>
          <w:kern w:val="2"/>
          <w:szCs w:val="24"/>
          <w:lang w:val="en-US"/>
        </w:rPr>
        <w:t xml:space="preserve">ata represent mean </w:t>
      </w:r>
      <w:r w:rsidR="00437CFC" w:rsidRPr="00CC35EB">
        <w:rPr>
          <w:rFonts w:eastAsia="Aptos" w:cs="Arial"/>
          <w:color w:val="000000" w:themeColor="text1"/>
          <w:kern w:val="2"/>
          <w:szCs w:val="24"/>
          <w:lang w:val="en-US"/>
        </w:rPr>
        <w:t>±</w:t>
      </w:r>
      <w:r w:rsidRPr="00CC35EB">
        <w:rPr>
          <w:rFonts w:eastAsia="Aptos" w:cs="Arial"/>
          <w:kern w:val="2"/>
          <w:szCs w:val="24"/>
          <w:lang w:val="en-US"/>
        </w:rPr>
        <w:t xml:space="preserve"> SD, n=3</w:t>
      </w:r>
      <w:r>
        <w:rPr>
          <w:rFonts w:eastAsia="Aptos" w:cs="Arial"/>
          <w:kern w:val="2"/>
          <w:szCs w:val="24"/>
          <w:lang w:val="en-US"/>
        </w:rPr>
        <w:t xml:space="preserve">, </w:t>
      </w:r>
      <w:r w:rsidRPr="00CC35EB">
        <w:rPr>
          <w:rFonts w:eastAsia="Aptos" w:cs="Arial"/>
          <w:kern w:val="2"/>
          <w:szCs w:val="24"/>
          <w:lang w:val="en-US"/>
        </w:rPr>
        <w:t>Ordinary 2-way ANOVA,</w:t>
      </w:r>
      <w:r>
        <w:rPr>
          <w:rFonts w:eastAsia="Aptos" w:cs="Arial"/>
          <w:kern w:val="2"/>
          <w:szCs w:val="24"/>
          <w:lang w:val="en-US"/>
        </w:rPr>
        <w:t xml:space="preserve"> </w:t>
      </w:r>
      <w:proofErr w:type="spellStart"/>
      <w:r>
        <w:rPr>
          <w:rFonts w:eastAsia="Aptos" w:cs="Arial"/>
          <w:color w:val="000000" w:themeColor="text1"/>
          <w:kern w:val="2"/>
          <w:szCs w:val="24"/>
          <w:lang w:val="en-US"/>
        </w:rPr>
        <w:t>Šídák’s</w:t>
      </w:r>
      <w:proofErr w:type="spellEnd"/>
      <w:r>
        <w:rPr>
          <w:rFonts w:eastAsia="Aptos" w:cs="Arial"/>
          <w:color w:val="000000" w:themeColor="text1"/>
          <w:kern w:val="2"/>
          <w:szCs w:val="24"/>
          <w:lang w:val="en-US"/>
        </w:rPr>
        <w:t xml:space="preserve"> multiple comparisons test.</w:t>
      </w:r>
    </w:p>
    <w:p w14:paraId="05DF278E" w14:textId="106229DB" w:rsidR="00662549" w:rsidRDefault="00A92C7F" w:rsidP="005D5516">
      <w:pPr>
        <w:spacing w:line="240" w:lineRule="auto"/>
        <w:rPr>
          <w:rFonts w:eastAsia="Aptos"/>
          <w:lang w:val="en-US"/>
        </w:rPr>
      </w:pPr>
      <w:r>
        <w:rPr>
          <w:noProof/>
        </w:rPr>
        <w:drawing>
          <wp:inline distT="0" distB="0" distL="0" distR="0" wp14:anchorId="085B3832" wp14:editId="1365FED1">
            <wp:extent cx="6300000" cy="4545570"/>
            <wp:effectExtent l="0" t="0" r="5715" b="7620"/>
            <wp:docPr id="1063662354" name="Grafik 4" descr="Ein Bild, das Text, Entwurf, Zeichnung,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62354" name="Grafik 4" descr="Ein Bild, das Text, Entwurf, Zeichnung, Diagramm enthält.&#10;&#10;KI-generierte Inhalte können fehlerhaft sei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53" t="1558" b="51464"/>
                    <a:stretch>
                      <a:fillRect/>
                    </a:stretch>
                  </pic:blipFill>
                  <pic:spPr bwMode="auto">
                    <a:xfrm>
                      <a:off x="0" y="0"/>
                      <a:ext cx="6300000" cy="4545570"/>
                    </a:xfrm>
                    <a:prstGeom prst="rect">
                      <a:avLst/>
                    </a:prstGeom>
                    <a:noFill/>
                    <a:ln>
                      <a:noFill/>
                    </a:ln>
                    <a:extLst>
                      <a:ext uri="{53640926-AAD7-44D8-BBD7-CCE9431645EC}">
                        <a14:shadowObscured xmlns:a14="http://schemas.microsoft.com/office/drawing/2010/main"/>
                      </a:ext>
                    </a:extLst>
                  </pic:spPr>
                </pic:pic>
              </a:graphicData>
            </a:graphic>
          </wp:inline>
        </w:drawing>
      </w:r>
    </w:p>
    <w:p w14:paraId="48CCE3CF" w14:textId="74173290" w:rsidR="00AC7D90" w:rsidRPr="00076161" w:rsidRDefault="00434D04" w:rsidP="00434D04">
      <w:pPr>
        <w:pStyle w:val="Heading2"/>
        <w:suppressAutoHyphens/>
        <w:spacing w:before="0" w:after="0" w:line="240" w:lineRule="auto"/>
        <w:jc w:val="both"/>
        <w:rPr>
          <w:rFonts w:ascii="Arial" w:eastAsia="Aptos" w:hAnsi="Arial" w:cs="Arial"/>
          <w:b/>
          <w:color w:val="auto"/>
          <w:kern w:val="0"/>
          <w:sz w:val="24"/>
          <w:szCs w:val="24"/>
          <w:lang w:val="en-US"/>
          <w14:ligatures w14:val="none"/>
        </w:rPr>
      </w:pPr>
      <w:r>
        <w:rPr>
          <w:rFonts w:ascii="Arial" w:eastAsia="Aptos" w:hAnsi="Arial" w:cs="Arial"/>
          <w:b/>
          <w:color w:val="auto"/>
          <w:kern w:val="0"/>
          <w:sz w:val="24"/>
          <w:szCs w:val="24"/>
          <w:lang w:val="en-US"/>
          <w14:ligatures w14:val="none"/>
        </w:rPr>
        <w:t>Fig. S3</w:t>
      </w:r>
      <w:r w:rsidR="00AC7D90" w:rsidRPr="00076161">
        <w:rPr>
          <w:rFonts w:ascii="Arial" w:eastAsia="Aptos" w:hAnsi="Arial" w:cs="Arial"/>
          <w:b/>
          <w:color w:val="auto"/>
          <w:kern w:val="0"/>
          <w:sz w:val="24"/>
          <w:szCs w:val="24"/>
          <w:lang w:val="en-US"/>
          <w14:ligatures w14:val="none"/>
        </w:rPr>
        <w:t xml:space="preserve">: Effect of </w:t>
      </w:r>
      <w:r w:rsidR="00AC7D90" w:rsidRPr="001F6F10">
        <w:rPr>
          <w:rFonts w:ascii="Arial" w:eastAsia="Aptos" w:hAnsi="Arial" w:cs="Arial"/>
          <w:b/>
          <w:i/>
          <w:iCs/>
          <w:color w:val="auto"/>
          <w:kern w:val="0"/>
          <w:sz w:val="24"/>
          <w:szCs w:val="24"/>
          <w:lang w:val="en-US"/>
          <w14:ligatures w14:val="none"/>
        </w:rPr>
        <w:t>RB1</w:t>
      </w:r>
      <w:r w:rsidR="00AC7D90" w:rsidRPr="00076161">
        <w:rPr>
          <w:rFonts w:ascii="Arial" w:eastAsia="Aptos" w:hAnsi="Arial" w:cs="Arial"/>
          <w:b/>
          <w:color w:val="auto"/>
          <w:kern w:val="0"/>
          <w:sz w:val="24"/>
          <w:szCs w:val="24"/>
          <w:lang w:val="en-US"/>
          <w14:ligatures w14:val="none"/>
        </w:rPr>
        <w:t>/</w:t>
      </w:r>
      <w:r w:rsidR="00AC7D90" w:rsidRPr="001F6F10">
        <w:rPr>
          <w:rFonts w:ascii="Arial" w:eastAsia="Aptos" w:hAnsi="Arial" w:cs="Arial"/>
          <w:b/>
          <w:i/>
          <w:iCs/>
          <w:color w:val="auto"/>
          <w:kern w:val="0"/>
          <w:sz w:val="24"/>
          <w:szCs w:val="24"/>
          <w:lang w:val="en-US"/>
          <w14:ligatures w14:val="none"/>
        </w:rPr>
        <w:t>BRCA2</w:t>
      </w:r>
      <w:r w:rsidR="00AC7D90" w:rsidRPr="00076161">
        <w:rPr>
          <w:rFonts w:ascii="Arial" w:eastAsia="Aptos" w:hAnsi="Arial" w:cs="Arial"/>
          <w:b/>
          <w:color w:val="auto"/>
          <w:kern w:val="0"/>
          <w:sz w:val="24"/>
          <w:szCs w:val="24"/>
          <w:lang w:val="en-US"/>
          <w14:ligatures w14:val="none"/>
        </w:rPr>
        <w:t xml:space="preserve"> single- and double-KO on CDK4/6i response in T47D cells.</w:t>
      </w:r>
    </w:p>
    <w:p w14:paraId="774C4B78" w14:textId="3F9BDF5E" w:rsidR="00AC7D90" w:rsidRPr="00CC35EB" w:rsidRDefault="00AC7D90" w:rsidP="00434D04">
      <w:pPr>
        <w:spacing w:line="240" w:lineRule="auto"/>
        <w:rPr>
          <w:rFonts w:eastAsia="Aptos" w:cs="Arial"/>
          <w:kern w:val="2"/>
          <w:szCs w:val="24"/>
          <w:lang w:val="en-US"/>
        </w:rPr>
      </w:pPr>
      <w:r w:rsidRPr="00CC35EB">
        <w:rPr>
          <w:rFonts w:cs="Arial"/>
          <w:b/>
          <w:bCs/>
          <w:szCs w:val="24"/>
          <w:lang w:val="en-US"/>
        </w:rPr>
        <w:t>a</w:t>
      </w:r>
      <w:r w:rsidRPr="00CC35EB">
        <w:rPr>
          <w:rFonts w:cs="Arial"/>
          <w:szCs w:val="24"/>
          <w:lang w:val="en-US"/>
        </w:rPr>
        <w:t xml:space="preserve">: </w:t>
      </w:r>
      <w:r w:rsidRPr="00CC35EB">
        <w:rPr>
          <w:rFonts w:eastAsia="Aptos" w:cs="Arial"/>
          <w:kern w:val="2"/>
          <w:szCs w:val="24"/>
          <w:lang w:val="en-US"/>
        </w:rPr>
        <w:t xml:space="preserve">Cell cycle analysis of T47D cells harboring </w:t>
      </w:r>
      <w:r w:rsidRPr="00CC35EB">
        <w:rPr>
          <w:rFonts w:eastAsia="Aptos" w:cs="Arial"/>
          <w:i/>
          <w:iCs/>
          <w:kern w:val="2"/>
          <w:szCs w:val="24"/>
          <w:lang w:val="en-US"/>
        </w:rPr>
        <w:t>lacZ</w:t>
      </w:r>
      <w:r w:rsidRPr="00CC35EB">
        <w:rPr>
          <w:rFonts w:eastAsia="Aptos" w:cs="Arial"/>
          <w:kern w:val="2"/>
          <w:szCs w:val="24"/>
          <w:lang w:val="en-US"/>
        </w:rPr>
        <w:t xml:space="preserve">, </w:t>
      </w:r>
      <w:r w:rsidRPr="00CC35EB">
        <w:rPr>
          <w:rFonts w:eastAsia="Aptos" w:cs="Arial"/>
          <w:i/>
          <w:iCs/>
          <w:kern w:val="2"/>
          <w:szCs w:val="24"/>
          <w:lang w:val="en-US"/>
        </w:rPr>
        <w:t>RB1</w:t>
      </w:r>
      <w:r w:rsidRPr="00CC35EB">
        <w:rPr>
          <w:rFonts w:eastAsia="Aptos" w:cs="Arial"/>
          <w:kern w:val="2"/>
          <w:szCs w:val="24"/>
          <w:lang w:val="en-US"/>
        </w:rPr>
        <w:t xml:space="preserve"> KO, </w:t>
      </w:r>
      <w:r w:rsidRPr="00CC35EB">
        <w:rPr>
          <w:rFonts w:eastAsia="Aptos" w:cs="Arial"/>
          <w:i/>
          <w:iCs/>
          <w:kern w:val="2"/>
          <w:szCs w:val="24"/>
          <w:lang w:val="en-US"/>
        </w:rPr>
        <w:t>BRCA2</w:t>
      </w:r>
      <w:r w:rsidRPr="00CC35EB">
        <w:rPr>
          <w:rFonts w:eastAsia="Aptos" w:cs="Arial"/>
          <w:kern w:val="2"/>
          <w:szCs w:val="24"/>
          <w:lang w:val="en-US"/>
        </w:rPr>
        <w:t xml:space="preserve"> KO or double-KO mutation in the presence and absence of the CDK4/6i palbociclib (250nM, 72h) or </w:t>
      </w:r>
      <w:proofErr w:type="spellStart"/>
      <w:r w:rsidRPr="00CC35EB">
        <w:rPr>
          <w:rFonts w:eastAsia="Aptos" w:cs="Arial"/>
          <w:kern w:val="2"/>
          <w:szCs w:val="24"/>
          <w:lang w:val="en-US"/>
        </w:rPr>
        <w:t>abemaciclib</w:t>
      </w:r>
      <w:proofErr w:type="spellEnd"/>
      <w:r w:rsidRPr="00CC35EB">
        <w:rPr>
          <w:rFonts w:eastAsia="Aptos" w:cs="Arial"/>
          <w:kern w:val="2"/>
          <w:szCs w:val="24"/>
          <w:lang w:val="en-US"/>
        </w:rPr>
        <w:t xml:space="preserve"> (250nM, 72h). Data represent mean ± SD, n=</w:t>
      </w:r>
      <w:r w:rsidR="00A92C7F">
        <w:rPr>
          <w:rFonts w:eastAsia="Aptos" w:cs="Arial"/>
          <w:kern w:val="2"/>
          <w:szCs w:val="24"/>
          <w:lang w:val="en-US"/>
        </w:rPr>
        <w:t>4</w:t>
      </w:r>
      <w:r>
        <w:rPr>
          <w:rFonts w:eastAsia="Aptos" w:cs="Arial"/>
          <w:kern w:val="2"/>
          <w:szCs w:val="24"/>
          <w:lang w:val="en-US"/>
        </w:rPr>
        <w:t>.</w:t>
      </w:r>
      <w:r w:rsidRPr="00CC35EB">
        <w:rPr>
          <w:rFonts w:eastAsia="Aptos" w:cs="Arial"/>
          <w:kern w:val="2"/>
          <w:szCs w:val="24"/>
          <w:lang w:val="en-US"/>
        </w:rPr>
        <w:t xml:space="preserve"> </w:t>
      </w:r>
      <w:r w:rsidRPr="00CC35EB">
        <w:rPr>
          <w:rFonts w:eastAsia="Aptos" w:cs="Arial"/>
          <w:b/>
          <w:bCs/>
          <w:kern w:val="2"/>
          <w:szCs w:val="24"/>
          <w:lang w:val="en-US"/>
        </w:rPr>
        <w:t>b</w:t>
      </w:r>
      <w:r w:rsidRPr="00CC35EB">
        <w:rPr>
          <w:rFonts w:eastAsia="Aptos" w:cs="Arial"/>
          <w:kern w:val="2"/>
          <w:szCs w:val="24"/>
          <w:lang w:val="en-US"/>
        </w:rPr>
        <w:t xml:space="preserve">: Analysis of changes in the percentage of T47D cells in S-Phase of </w:t>
      </w:r>
      <w:r>
        <w:rPr>
          <w:rFonts w:eastAsia="Aptos" w:cs="Arial"/>
          <w:kern w:val="2"/>
          <w:szCs w:val="24"/>
          <w:lang w:val="en-US"/>
        </w:rPr>
        <w:t>(</w:t>
      </w:r>
      <w:r w:rsidRPr="00CC35EB">
        <w:rPr>
          <w:rFonts w:eastAsia="Aptos" w:cs="Arial"/>
          <w:kern w:val="2"/>
          <w:szCs w:val="24"/>
          <w:lang w:val="en-US"/>
        </w:rPr>
        <w:t>a</w:t>
      </w:r>
      <w:r>
        <w:rPr>
          <w:rFonts w:eastAsia="Aptos" w:cs="Arial"/>
          <w:kern w:val="2"/>
          <w:szCs w:val="24"/>
          <w:lang w:val="en-US"/>
        </w:rPr>
        <w:t>)</w:t>
      </w:r>
      <w:r w:rsidRPr="00CC35EB">
        <w:rPr>
          <w:rFonts w:eastAsia="Aptos" w:cs="Arial"/>
          <w:kern w:val="2"/>
          <w:szCs w:val="24"/>
          <w:lang w:val="en-US"/>
        </w:rPr>
        <w:t>. Data represent mean ± SD, Ordinary 2-way ANOVA</w:t>
      </w:r>
      <w:r>
        <w:rPr>
          <w:rFonts w:eastAsia="Aptos" w:cs="Arial"/>
          <w:kern w:val="2"/>
          <w:szCs w:val="24"/>
          <w:lang w:val="en-US"/>
        </w:rPr>
        <w:t xml:space="preserve">, </w:t>
      </w:r>
      <w:proofErr w:type="spellStart"/>
      <w:r>
        <w:rPr>
          <w:rFonts w:eastAsia="Aptos" w:cs="Arial"/>
          <w:color w:val="000000" w:themeColor="text1"/>
          <w:kern w:val="2"/>
          <w:szCs w:val="24"/>
          <w:lang w:val="en-US"/>
        </w:rPr>
        <w:t>Šídák’s</w:t>
      </w:r>
      <w:proofErr w:type="spellEnd"/>
      <w:r>
        <w:rPr>
          <w:rFonts w:eastAsia="Aptos" w:cs="Arial"/>
          <w:color w:val="000000" w:themeColor="text1"/>
          <w:kern w:val="2"/>
          <w:szCs w:val="24"/>
          <w:lang w:val="en-US"/>
        </w:rPr>
        <w:t xml:space="preserve"> multiple comparisons test</w:t>
      </w:r>
      <w:r>
        <w:rPr>
          <w:rFonts w:eastAsia="Aptos" w:cs="Arial"/>
          <w:kern w:val="2"/>
          <w:szCs w:val="24"/>
          <w:lang w:val="en-US"/>
        </w:rPr>
        <w:t>.</w:t>
      </w:r>
    </w:p>
    <w:p w14:paraId="2D4D42A8" w14:textId="77777777" w:rsidR="00662549" w:rsidRDefault="00662549">
      <w:pPr>
        <w:suppressAutoHyphens w:val="0"/>
        <w:spacing w:line="278" w:lineRule="auto"/>
        <w:jc w:val="left"/>
        <w:rPr>
          <w:rFonts w:eastAsia="Aptos" w:cs="Arial"/>
          <w:b/>
          <w:szCs w:val="24"/>
          <w:lang w:val="en-US"/>
        </w:rPr>
      </w:pPr>
      <w:r>
        <w:rPr>
          <w:rFonts w:eastAsia="Aptos" w:cs="Arial"/>
          <w:b/>
          <w:szCs w:val="24"/>
          <w:lang w:val="en-US"/>
        </w:rPr>
        <w:br w:type="page"/>
      </w:r>
    </w:p>
    <w:p w14:paraId="2435111D" w14:textId="0CFC134E" w:rsidR="00434D04" w:rsidRDefault="00786399" w:rsidP="00434D04">
      <w:pPr>
        <w:rPr>
          <w:rFonts w:eastAsia="Aptos"/>
          <w:lang w:val="en-US"/>
        </w:rPr>
      </w:pPr>
      <w:r>
        <w:rPr>
          <w:noProof/>
        </w:rPr>
        <w:lastRenderedPageBreak/>
        <w:drawing>
          <wp:inline distT="0" distB="0" distL="0" distR="0" wp14:anchorId="0C5A1E71" wp14:editId="6F7FC7F5">
            <wp:extent cx="6300000" cy="1881123"/>
            <wp:effectExtent l="0" t="0" r="5715" b="5080"/>
            <wp:docPr id="1200893772" name="Grafik 5" descr="Ein Bild, das Text, Schrift, Diagramm,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93772" name="Grafik 5" descr="Ein Bild, das Text, Schrift, Diagramm, Design enthält.&#10;&#10;KI-generierte Inhalte können fehlerhaft sei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33" t="992" b="78632"/>
                    <a:stretch>
                      <a:fillRect/>
                    </a:stretch>
                  </pic:blipFill>
                  <pic:spPr bwMode="auto">
                    <a:xfrm>
                      <a:off x="0" y="0"/>
                      <a:ext cx="6300000" cy="1881123"/>
                    </a:xfrm>
                    <a:prstGeom prst="rect">
                      <a:avLst/>
                    </a:prstGeom>
                    <a:noFill/>
                    <a:ln>
                      <a:noFill/>
                    </a:ln>
                    <a:extLst>
                      <a:ext uri="{53640926-AAD7-44D8-BBD7-CCE9431645EC}">
                        <a14:shadowObscured xmlns:a14="http://schemas.microsoft.com/office/drawing/2010/main"/>
                      </a:ext>
                    </a:extLst>
                  </pic:spPr>
                </pic:pic>
              </a:graphicData>
            </a:graphic>
          </wp:inline>
        </w:drawing>
      </w:r>
    </w:p>
    <w:p w14:paraId="44F8418A" w14:textId="2F77DBB9" w:rsidR="00AC7D90" w:rsidRPr="00076161" w:rsidRDefault="00434D04" w:rsidP="00434D04">
      <w:pPr>
        <w:pStyle w:val="Heading2"/>
        <w:suppressAutoHyphens/>
        <w:spacing w:before="0" w:after="0" w:line="240" w:lineRule="auto"/>
        <w:jc w:val="both"/>
        <w:rPr>
          <w:rFonts w:ascii="Arial" w:eastAsia="Aptos" w:hAnsi="Arial" w:cs="Arial"/>
          <w:b/>
          <w:color w:val="auto"/>
          <w:kern w:val="0"/>
          <w:sz w:val="24"/>
          <w:szCs w:val="24"/>
          <w:lang w:val="en-US"/>
          <w14:ligatures w14:val="none"/>
        </w:rPr>
      </w:pPr>
      <w:r>
        <w:rPr>
          <w:rFonts w:ascii="Arial" w:eastAsia="Aptos" w:hAnsi="Arial" w:cs="Arial"/>
          <w:b/>
          <w:color w:val="auto"/>
          <w:kern w:val="0"/>
          <w:sz w:val="24"/>
          <w:szCs w:val="24"/>
          <w:lang w:val="en-US"/>
          <w14:ligatures w14:val="none"/>
        </w:rPr>
        <w:t>Fig. S4</w:t>
      </w:r>
      <w:r w:rsidR="00AC7D90" w:rsidRPr="00076161">
        <w:rPr>
          <w:rFonts w:ascii="Arial" w:eastAsia="Aptos" w:hAnsi="Arial" w:cs="Arial"/>
          <w:b/>
          <w:color w:val="auto"/>
          <w:kern w:val="0"/>
          <w:sz w:val="24"/>
          <w:szCs w:val="24"/>
          <w:lang w:val="en-US"/>
          <w14:ligatures w14:val="none"/>
        </w:rPr>
        <w:t xml:space="preserve">: Olaparib is effective in </w:t>
      </w:r>
      <w:r w:rsidR="00AC7D90" w:rsidRPr="005A4371">
        <w:rPr>
          <w:rFonts w:ascii="Arial" w:eastAsia="Aptos" w:hAnsi="Arial" w:cs="Arial"/>
          <w:b/>
          <w:i/>
          <w:iCs/>
          <w:color w:val="auto"/>
          <w:kern w:val="0"/>
          <w:sz w:val="24"/>
          <w:szCs w:val="24"/>
          <w:lang w:val="en-US"/>
          <w14:ligatures w14:val="none"/>
        </w:rPr>
        <w:t>RB1</w:t>
      </w:r>
      <w:r w:rsidR="00AC7D90" w:rsidRPr="00076161">
        <w:rPr>
          <w:rFonts w:ascii="Arial" w:eastAsia="Aptos" w:hAnsi="Arial" w:cs="Arial"/>
          <w:b/>
          <w:color w:val="auto"/>
          <w:kern w:val="0"/>
          <w:sz w:val="24"/>
          <w:szCs w:val="24"/>
          <w:lang w:val="en-US"/>
          <w14:ligatures w14:val="none"/>
        </w:rPr>
        <w:t>-deficient CDK4/6i resistant T47D cells.</w:t>
      </w:r>
    </w:p>
    <w:p w14:paraId="058FA464" w14:textId="0A1E58CB" w:rsidR="00434D04" w:rsidRDefault="00AC7D90" w:rsidP="005D5516">
      <w:pPr>
        <w:spacing w:line="240" w:lineRule="auto"/>
        <w:rPr>
          <w:rFonts w:eastAsia="Aptos" w:cs="Arial"/>
          <w:color w:val="000000" w:themeColor="text1"/>
          <w:kern w:val="2"/>
          <w:szCs w:val="24"/>
          <w:lang w:val="en-US"/>
        </w:rPr>
      </w:pPr>
      <w:r w:rsidRPr="00CC35EB">
        <w:rPr>
          <w:rFonts w:eastAsia="Aptos" w:cs="Arial"/>
          <w:b/>
          <w:color w:val="000000" w:themeColor="text1"/>
          <w:kern w:val="2"/>
          <w:szCs w:val="24"/>
          <w:lang w:val="en-US"/>
        </w:rPr>
        <w:t>a</w:t>
      </w:r>
      <w:r w:rsidRPr="00CC35EB">
        <w:rPr>
          <w:rFonts w:eastAsia="Aptos" w:cs="Arial"/>
          <w:color w:val="000000" w:themeColor="text1"/>
          <w:kern w:val="2"/>
          <w:szCs w:val="24"/>
          <w:lang w:val="en-US"/>
        </w:rPr>
        <w:t xml:space="preserve">: Cell cycle analysis of T47D </w:t>
      </w:r>
      <w:r w:rsidRPr="00CC35EB">
        <w:rPr>
          <w:rFonts w:eastAsia="Aptos" w:cs="Arial"/>
          <w:i/>
          <w:iCs/>
          <w:color w:val="000000" w:themeColor="text1"/>
          <w:kern w:val="2"/>
          <w:szCs w:val="24"/>
          <w:lang w:val="en-US"/>
        </w:rPr>
        <w:t>lacZ</w:t>
      </w:r>
      <w:r w:rsidRPr="00CC35EB">
        <w:rPr>
          <w:rFonts w:eastAsia="Aptos" w:cs="Arial"/>
          <w:color w:val="000000" w:themeColor="text1"/>
          <w:kern w:val="2"/>
          <w:szCs w:val="24"/>
          <w:lang w:val="en-US"/>
        </w:rPr>
        <w:t xml:space="preserve"> and </w:t>
      </w:r>
      <w:r w:rsidRPr="00CC35EB">
        <w:rPr>
          <w:rFonts w:eastAsia="Aptos" w:cs="Arial"/>
          <w:i/>
          <w:iCs/>
          <w:color w:val="000000" w:themeColor="text1"/>
          <w:kern w:val="2"/>
          <w:szCs w:val="24"/>
          <w:lang w:val="en-US"/>
        </w:rPr>
        <w:t>RB1</w:t>
      </w:r>
      <w:r w:rsidRPr="00CC35EB">
        <w:rPr>
          <w:rFonts w:eastAsia="Aptos" w:cs="Arial"/>
          <w:color w:val="000000" w:themeColor="text1"/>
          <w:kern w:val="2"/>
          <w:szCs w:val="24"/>
          <w:lang w:val="en-US"/>
        </w:rPr>
        <w:t>/</w:t>
      </w:r>
      <w:r w:rsidRPr="00CC35EB">
        <w:rPr>
          <w:rFonts w:eastAsia="Aptos" w:cs="Arial"/>
          <w:i/>
          <w:iCs/>
          <w:color w:val="000000" w:themeColor="text1"/>
          <w:kern w:val="2"/>
          <w:szCs w:val="24"/>
          <w:lang w:val="en-US"/>
        </w:rPr>
        <w:t>BRCA2</w:t>
      </w:r>
      <w:r>
        <w:rPr>
          <w:rFonts w:eastAsia="Aptos" w:cs="Arial"/>
          <w:color w:val="000000" w:themeColor="text1"/>
          <w:kern w:val="2"/>
          <w:szCs w:val="24"/>
          <w:lang w:val="en-US"/>
        </w:rPr>
        <w:t xml:space="preserve"> </w:t>
      </w:r>
      <w:r w:rsidRPr="00CC35EB">
        <w:rPr>
          <w:rFonts w:eastAsia="Aptos" w:cs="Arial"/>
          <w:color w:val="000000" w:themeColor="text1"/>
          <w:kern w:val="2"/>
          <w:szCs w:val="24"/>
          <w:lang w:val="en-US"/>
        </w:rPr>
        <w:t xml:space="preserve">double KOs after treatment with </w:t>
      </w:r>
      <w:proofErr w:type="spellStart"/>
      <w:r>
        <w:rPr>
          <w:rFonts w:eastAsia="Aptos" w:cs="Arial"/>
          <w:color w:val="000000" w:themeColor="text1"/>
          <w:kern w:val="2"/>
          <w:szCs w:val="24"/>
          <w:lang w:val="en-US"/>
        </w:rPr>
        <w:t>o</w:t>
      </w:r>
      <w:r w:rsidRPr="00CC35EB">
        <w:rPr>
          <w:rFonts w:eastAsia="Aptos" w:cs="Arial"/>
          <w:color w:val="000000" w:themeColor="text1"/>
          <w:kern w:val="2"/>
          <w:szCs w:val="24"/>
          <w:lang w:val="en-US"/>
        </w:rPr>
        <w:t>laparib</w:t>
      </w:r>
      <w:proofErr w:type="spellEnd"/>
      <w:r w:rsidRPr="00CC35EB">
        <w:rPr>
          <w:rFonts w:eastAsia="Aptos" w:cs="Arial"/>
          <w:color w:val="000000" w:themeColor="text1"/>
          <w:kern w:val="2"/>
          <w:szCs w:val="24"/>
          <w:lang w:val="en-US"/>
        </w:rPr>
        <w:t xml:space="preserve"> (10µM, 96h). </w:t>
      </w:r>
      <w:r>
        <w:rPr>
          <w:rFonts w:eastAsia="Aptos" w:cs="Arial"/>
          <w:color w:val="000000" w:themeColor="text1"/>
          <w:kern w:val="2"/>
          <w:szCs w:val="24"/>
          <w:lang w:val="en-US"/>
        </w:rPr>
        <w:t>Da</w:t>
      </w:r>
      <w:r w:rsidRPr="00CC35EB">
        <w:rPr>
          <w:rFonts w:eastAsia="Aptos" w:cs="Arial"/>
          <w:color w:val="000000" w:themeColor="text1"/>
          <w:kern w:val="2"/>
          <w:szCs w:val="24"/>
          <w:lang w:val="en-US"/>
        </w:rPr>
        <w:t xml:space="preserve">ta represent mean ± SD, n=3. </w:t>
      </w:r>
      <w:r w:rsidRPr="00CC35EB">
        <w:rPr>
          <w:rFonts w:eastAsia="Aptos" w:cs="Arial"/>
          <w:b/>
          <w:color w:val="000000" w:themeColor="text1"/>
          <w:kern w:val="2"/>
          <w:szCs w:val="24"/>
          <w:lang w:val="en-US"/>
        </w:rPr>
        <w:t>b</w:t>
      </w:r>
      <w:r w:rsidRPr="00CC35EB">
        <w:rPr>
          <w:rFonts w:eastAsia="Aptos" w:cs="Arial"/>
          <w:color w:val="000000" w:themeColor="text1"/>
          <w:kern w:val="2"/>
          <w:szCs w:val="24"/>
          <w:lang w:val="en-US"/>
        </w:rPr>
        <w:t xml:space="preserve">: Cell counting experiment of T47D </w:t>
      </w:r>
      <w:r w:rsidRPr="00CC35EB">
        <w:rPr>
          <w:rFonts w:eastAsia="Aptos" w:cs="Arial"/>
          <w:i/>
          <w:iCs/>
          <w:color w:val="000000" w:themeColor="text1"/>
          <w:kern w:val="2"/>
          <w:szCs w:val="24"/>
          <w:lang w:val="en-US"/>
        </w:rPr>
        <w:t xml:space="preserve">lacZ </w:t>
      </w:r>
      <w:r w:rsidRPr="002A655F">
        <w:rPr>
          <w:rFonts w:eastAsia="Aptos" w:cs="Arial"/>
          <w:color w:val="000000" w:themeColor="text1"/>
          <w:kern w:val="2"/>
          <w:szCs w:val="24"/>
          <w:lang w:val="en-US"/>
        </w:rPr>
        <w:t>and</w:t>
      </w:r>
      <w:r w:rsidRPr="00CC35EB">
        <w:rPr>
          <w:rFonts w:eastAsia="Aptos" w:cs="Arial"/>
          <w:i/>
          <w:iCs/>
          <w:color w:val="000000" w:themeColor="text1"/>
          <w:kern w:val="2"/>
          <w:szCs w:val="24"/>
          <w:lang w:val="en-US"/>
        </w:rPr>
        <w:t xml:space="preserve"> RB1 + BRCA2 </w:t>
      </w:r>
      <w:r w:rsidRPr="00CC35EB">
        <w:rPr>
          <w:rFonts w:eastAsia="Aptos" w:cs="Arial"/>
          <w:color w:val="000000" w:themeColor="text1"/>
          <w:kern w:val="2"/>
          <w:szCs w:val="24"/>
          <w:lang w:val="en-US"/>
        </w:rPr>
        <w:t xml:space="preserve">KO cells after 96h of </w:t>
      </w:r>
      <w:proofErr w:type="spellStart"/>
      <w:r>
        <w:rPr>
          <w:rFonts w:eastAsia="Aptos" w:cs="Arial"/>
          <w:color w:val="000000" w:themeColor="text1"/>
          <w:kern w:val="2"/>
          <w:szCs w:val="24"/>
          <w:lang w:val="en-US"/>
        </w:rPr>
        <w:t>o</w:t>
      </w:r>
      <w:r w:rsidRPr="00CC35EB">
        <w:rPr>
          <w:rFonts w:eastAsia="Aptos" w:cs="Arial"/>
          <w:color w:val="000000" w:themeColor="text1"/>
          <w:kern w:val="2"/>
          <w:szCs w:val="24"/>
          <w:lang w:val="en-US"/>
        </w:rPr>
        <w:t>laparib</w:t>
      </w:r>
      <w:proofErr w:type="spellEnd"/>
      <w:r w:rsidRPr="00CC35EB">
        <w:rPr>
          <w:rFonts w:eastAsia="Aptos" w:cs="Arial"/>
          <w:color w:val="000000" w:themeColor="text1"/>
          <w:kern w:val="2"/>
          <w:szCs w:val="24"/>
          <w:lang w:val="en-US"/>
        </w:rPr>
        <w:t xml:space="preserve"> treatment (10µM). </w:t>
      </w:r>
      <w:r>
        <w:rPr>
          <w:rFonts w:eastAsia="Aptos" w:cs="Arial"/>
          <w:color w:val="000000" w:themeColor="text1"/>
          <w:kern w:val="2"/>
          <w:szCs w:val="24"/>
          <w:lang w:val="en-US"/>
        </w:rPr>
        <w:t>D</w:t>
      </w:r>
      <w:r w:rsidRPr="00CC35EB">
        <w:rPr>
          <w:rFonts w:eastAsia="Aptos" w:cs="Arial"/>
          <w:color w:val="000000" w:themeColor="text1"/>
          <w:kern w:val="2"/>
          <w:szCs w:val="24"/>
          <w:lang w:val="en-US"/>
        </w:rPr>
        <w:t xml:space="preserve">ata represent mean </w:t>
      </w:r>
      <w:r w:rsidR="00437CFC" w:rsidRPr="00CC35EB">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SD, n=</w:t>
      </w:r>
      <w:r>
        <w:rPr>
          <w:rFonts w:eastAsia="Aptos" w:cs="Arial"/>
          <w:color w:val="000000" w:themeColor="text1"/>
          <w:kern w:val="2"/>
          <w:szCs w:val="24"/>
          <w:lang w:val="en-US"/>
        </w:rPr>
        <w:t xml:space="preserve">3 for </w:t>
      </w:r>
      <w:r w:rsidRPr="00FD77CF">
        <w:rPr>
          <w:rFonts w:eastAsia="Aptos" w:cs="Arial"/>
          <w:i/>
          <w:iCs/>
          <w:color w:val="000000" w:themeColor="text1"/>
          <w:kern w:val="2"/>
          <w:szCs w:val="24"/>
          <w:lang w:val="en-US"/>
        </w:rPr>
        <w:t>lacZ</w:t>
      </w:r>
      <w:r>
        <w:rPr>
          <w:rFonts w:eastAsia="Aptos" w:cs="Arial"/>
          <w:color w:val="000000" w:themeColor="text1"/>
          <w:kern w:val="2"/>
          <w:szCs w:val="24"/>
          <w:lang w:val="en-US"/>
        </w:rPr>
        <w:t xml:space="preserve">, </w:t>
      </w:r>
      <w:r w:rsidRPr="00CC35EB">
        <w:rPr>
          <w:rFonts w:eastAsia="Aptos" w:cs="Arial"/>
          <w:color w:val="000000" w:themeColor="text1"/>
          <w:kern w:val="2"/>
          <w:szCs w:val="24"/>
          <w:lang w:val="en-US"/>
        </w:rPr>
        <w:t>n=</w:t>
      </w:r>
      <w:r>
        <w:rPr>
          <w:rFonts w:eastAsia="Aptos" w:cs="Arial"/>
          <w:color w:val="000000" w:themeColor="text1"/>
          <w:kern w:val="2"/>
          <w:szCs w:val="24"/>
          <w:lang w:val="en-US"/>
        </w:rPr>
        <w:t xml:space="preserve">2 for </w:t>
      </w:r>
      <w:r w:rsidRPr="002A655F">
        <w:rPr>
          <w:rFonts w:eastAsia="Aptos" w:cs="Arial"/>
          <w:i/>
          <w:iCs/>
          <w:color w:val="000000" w:themeColor="text1"/>
          <w:kern w:val="2"/>
          <w:szCs w:val="24"/>
          <w:lang w:val="en-US"/>
        </w:rPr>
        <w:t>RB1</w:t>
      </w:r>
      <w:r>
        <w:rPr>
          <w:rFonts w:eastAsia="Aptos" w:cs="Arial"/>
          <w:color w:val="000000" w:themeColor="text1"/>
          <w:kern w:val="2"/>
          <w:szCs w:val="24"/>
          <w:lang w:val="en-US"/>
        </w:rPr>
        <w:t xml:space="preserve"> + </w:t>
      </w:r>
      <w:r w:rsidRPr="002A655F">
        <w:rPr>
          <w:rFonts w:eastAsia="Aptos" w:cs="Arial"/>
          <w:i/>
          <w:iCs/>
          <w:color w:val="000000" w:themeColor="text1"/>
          <w:kern w:val="2"/>
          <w:szCs w:val="24"/>
          <w:lang w:val="en-US"/>
        </w:rPr>
        <w:t>BRCA2</w:t>
      </w:r>
      <w:r>
        <w:rPr>
          <w:rFonts w:eastAsia="Aptos" w:cs="Arial"/>
          <w:color w:val="000000" w:themeColor="text1"/>
          <w:kern w:val="2"/>
          <w:szCs w:val="24"/>
          <w:lang w:val="en-US"/>
        </w:rPr>
        <w:t xml:space="preserve"> KO,</w:t>
      </w:r>
      <w:r w:rsidRPr="002B7F35">
        <w:rPr>
          <w:rFonts w:eastAsia="Aptos" w:cs="Arial"/>
          <w:color w:val="000000" w:themeColor="text1"/>
          <w:kern w:val="2"/>
          <w:szCs w:val="24"/>
          <w:lang w:val="en-US"/>
        </w:rPr>
        <w:t xml:space="preserve"> </w:t>
      </w:r>
      <w:r w:rsidRPr="00CC35EB">
        <w:rPr>
          <w:rFonts w:eastAsia="Aptos" w:cs="Arial"/>
          <w:color w:val="000000" w:themeColor="text1"/>
          <w:kern w:val="2"/>
          <w:szCs w:val="24"/>
          <w:lang w:val="en-US"/>
        </w:rPr>
        <w:t>Ordinary 2-way ANOVA,</w:t>
      </w:r>
      <w:r w:rsidRPr="002B7F35">
        <w:rPr>
          <w:rFonts w:eastAsia="Aptos" w:cs="Arial"/>
          <w:color w:val="000000" w:themeColor="text1"/>
          <w:kern w:val="2"/>
          <w:szCs w:val="24"/>
          <w:lang w:val="en-US"/>
        </w:rPr>
        <w:t xml:space="preserve"> </w:t>
      </w:r>
      <w:proofErr w:type="spellStart"/>
      <w:r>
        <w:rPr>
          <w:rFonts w:eastAsia="Aptos" w:cs="Arial"/>
          <w:color w:val="000000" w:themeColor="text1"/>
          <w:kern w:val="2"/>
          <w:szCs w:val="24"/>
          <w:lang w:val="en-US"/>
        </w:rPr>
        <w:t>Šídák’s</w:t>
      </w:r>
      <w:proofErr w:type="spellEnd"/>
      <w:r>
        <w:rPr>
          <w:rFonts w:eastAsia="Aptos" w:cs="Arial"/>
          <w:color w:val="000000" w:themeColor="text1"/>
          <w:kern w:val="2"/>
          <w:szCs w:val="24"/>
          <w:lang w:val="en-US"/>
        </w:rPr>
        <w:t xml:space="preserve"> multiple comparisons test</w:t>
      </w:r>
      <w:r w:rsidRPr="00CC35EB">
        <w:rPr>
          <w:rFonts w:eastAsia="Aptos" w:cs="Arial"/>
          <w:color w:val="000000" w:themeColor="text1"/>
          <w:kern w:val="2"/>
          <w:szCs w:val="24"/>
          <w:lang w:val="en-US"/>
        </w:rPr>
        <w:t xml:space="preserve">. </w:t>
      </w:r>
      <w:r w:rsidRPr="00CC35EB">
        <w:rPr>
          <w:rFonts w:eastAsia="Aptos" w:cs="Arial"/>
          <w:b/>
          <w:bCs/>
          <w:color w:val="000000" w:themeColor="text1"/>
          <w:kern w:val="2"/>
          <w:szCs w:val="24"/>
          <w:lang w:val="en-US"/>
        </w:rPr>
        <w:t>c</w:t>
      </w:r>
      <w:r w:rsidRPr="00CC35EB">
        <w:rPr>
          <w:rFonts w:eastAsia="Aptos" w:cs="Arial"/>
          <w:color w:val="000000" w:themeColor="text1"/>
          <w:kern w:val="2"/>
          <w:szCs w:val="24"/>
          <w:lang w:val="en-US"/>
        </w:rPr>
        <w:t xml:space="preserve">: Percentage of live T47D cells after 96h of </w:t>
      </w:r>
      <w:proofErr w:type="spellStart"/>
      <w:r>
        <w:rPr>
          <w:rFonts w:eastAsia="Aptos" w:cs="Arial"/>
          <w:color w:val="000000" w:themeColor="text1"/>
          <w:kern w:val="2"/>
          <w:szCs w:val="24"/>
          <w:lang w:val="en-US"/>
        </w:rPr>
        <w:t>o</w:t>
      </w:r>
      <w:r w:rsidRPr="00CC35EB">
        <w:rPr>
          <w:rFonts w:eastAsia="Aptos" w:cs="Arial"/>
          <w:color w:val="000000" w:themeColor="text1"/>
          <w:kern w:val="2"/>
          <w:szCs w:val="24"/>
          <w:lang w:val="en-US"/>
        </w:rPr>
        <w:t>laparib</w:t>
      </w:r>
      <w:proofErr w:type="spellEnd"/>
      <w:r w:rsidRPr="00CC35EB">
        <w:rPr>
          <w:rFonts w:eastAsia="Aptos" w:cs="Arial"/>
          <w:color w:val="000000" w:themeColor="text1"/>
          <w:kern w:val="2"/>
          <w:szCs w:val="24"/>
          <w:lang w:val="en-US"/>
        </w:rPr>
        <w:t xml:space="preserve"> treatment (10µM). </w:t>
      </w:r>
      <w:r>
        <w:rPr>
          <w:rFonts w:eastAsia="Aptos" w:cs="Arial"/>
          <w:color w:val="000000" w:themeColor="text1"/>
          <w:kern w:val="2"/>
          <w:szCs w:val="24"/>
          <w:lang w:val="en-US"/>
        </w:rPr>
        <w:t>D</w:t>
      </w:r>
      <w:r w:rsidRPr="00CC35EB">
        <w:rPr>
          <w:rFonts w:eastAsia="Aptos" w:cs="Arial"/>
          <w:color w:val="000000" w:themeColor="text1"/>
          <w:kern w:val="2"/>
          <w:szCs w:val="24"/>
          <w:lang w:val="en-US"/>
        </w:rPr>
        <w:t xml:space="preserve">ata represent mean </w:t>
      </w:r>
      <w:r w:rsidR="00437CFC" w:rsidRPr="00CC35EB">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SD, n=3</w:t>
      </w:r>
      <w:r>
        <w:rPr>
          <w:rFonts w:eastAsia="Aptos" w:cs="Arial"/>
          <w:color w:val="000000" w:themeColor="text1"/>
          <w:kern w:val="2"/>
          <w:szCs w:val="24"/>
          <w:lang w:val="en-US"/>
        </w:rPr>
        <w:t xml:space="preserve">, </w:t>
      </w:r>
      <w:r w:rsidRPr="00CC35EB">
        <w:rPr>
          <w:rFonts w:eastAsia="Aptos" w:cs="Arial"/>
          <w:color w:val="000000" w:themeColor="text1"/>
          <w:kern w:val="2"/>
          <w:szCs w:val="24"/>
          <w:lang w:val="en-US"/>
        </w:rPr>
        <w:t>Ordinary 2-way ANOVA,</w:t>
      </w:r>
      <w:r>
        <w:rPr>
          <w:rFonts w:eastAsia="Aptos" w:cs="Arial"/>
          <w:color w:val="000000" w:themeColor="text1"/>
          <w:kern w:val="2"/>
          <w:szCs w:val="24"/>
          <w:lang w:val="en-US"/>
        </w:rPr>
        <w:t xml:space="preserve"> </w:t>
      </w:r>
      <w:proofErr w:type="spellStart"/>
      <w:r>
        <w:rPr>
          <w:rFonts w:eastAsia="Aptos" w:cs="Arial"/>
          <w:color w:val="000000" w:themeColor="text1"/>
          <w:kern w:val="2"/>
          <w:szCs w:val="24"/>
          <w:lang w:val="en-US"/>
        </w:rPr>
        <w:t>Šídák’s</w:t>
      </w:r>
      <w:proofErr w:type="spellEnd"/>
      <w:r>
        <w:rPr>
          <w:rFonts w:eastAsia="Aptos" w:cs="Arial"/>
          <w:color w:val="000000" w:themeColor="text1"/>
          <w:kern w:val="2"/>
          <w:szCs w:val="24"/>
          <w:lang w:val="en-US"/>
        </w:rPr>
        <w:t xml:space="preserve"> multiple comparisons test</w:t>
      </w:r>
      <w:r w:rsidRPr="00CC35EB">
        <w:rPr>
          <w:rFonts w:eastAsia="Aptos" w:cs="Arial"/>
          <w:color w:val="000000" w:themeColor="text1"/>
          <w:kern w:val="2"/>
          <w:szCs w:val="24"/>
          <w:lang w:val="en-US"/>
        </w:rPr>
        <w:t>.</w:t>
      </w:r>
    </w:p>
    <w:p w14:paraId="0012786C" w14:textId="77777777" w:rsidR="005D5516" w:rsidRPr="005D5516" w:rsidRDefault="005D5516" w:rsidP="005D5516">
      <w:pPr>
        <w:spacing w:line="240" w:lineRule="auto"/>
        <w:rPr>
          <w:szCs w:val="24"/>
          <w:lang w:val="en-US"/>
        </w:rPr>
      </w:pPr>
    </w:p>
    <w:p w14:paraId="78B20EC4" w14:textId="3EC21CB5" w:rsidR="00434D04" w:rsidRDefault="00786399" w:rsidP="00434D04">
      <w:pPr>
        <w:rPr>
          <w:rFonts w:eastAsia="Aptos"/>
          <w:lang w:val="en-US"/>
        </w:rPr>
      </w:pPr>
      <w:r>
        <w:rPr>
          <w:noProof/>
        </w:rPr>
        <w:drawing>
          <wp:inline distT="0" distB="0" distL="0" distR="0" wp14:anchorId="38E5819D" wp14:editId="08C1023E">
            <wp:extent cx="6300000" cy="1878897"/>
            <wp:effectExtent l="0" t="0" r="5715" b="7620"/>
            <wp:docPr id="1947281882" name="Grafik 6" descr="Ein Bild, das Text, Schrift, Typografie,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81882" name="Grafik 6" descr="Ein Bild, das Text, Schrift, Typografie, Design enthält.&#10;&#10;KI-generierte Inhalte können fehlerhaft sei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25" t="1832" b="78022"/>
                    <a:stretch>
                      <a:fillRect/>
                    </a:stretch>
                  </pic:blipFill>
                  <pic:spPr bwMode="auto">
                    <a:xfrm>
                      <a:off x="0" y="0"/>
                      <a:ext cx="6300000" cy="1878897"/>
                    </a:xfrm>
                    <a:prstGeom prst="rect">
                      <a:avLst/>
                    </a:prstGeom>
                    <a:noFill/>
                    <a:ln>
                      <a:noFill/>
                    </a:ln>
                    <a:extLst>
                      <a:ext uri="{53640926-AAD7-44D8-BBD7-CCE9431645EC}">
                        <a14:shadowObscured xmlns:a14="http://schemas.microsoft.com/office/drawing/2010/main"/>
                      </a:ext>
                    </a:extLst>
                  </pic:spPr>
                </pic:pic>
              </a:graphicData>
            </a:graphic>
          </wp:inline>
        </w:drawing>
      </w:r>
    </w:p>
    <w:p w14:paraId="5F1B6D13" w14:textId="2796BA18" w:rsidR="00AC7D90" w:rsidRPr="00076161" w:rsidRDefault="008B4A4D" w:rsidP="00434D04">
      <w:pPr>
        <w:pStyle w:val="Heading2"/>
        <w:suppressAutoHyphens/>
        <w:spacing w:before="0" w:after="0" w:line="240" w:lineRule="auto"/>
        <w:jc w:val="both"/>
        <w:rPr>
          <w:rFonts w:ascii="Arial" w:eastAsia="Aptos" w:hAnsi="Arial" w:cs="Arial"/>
          <w:b/>
          <w:color w:val="auto"/>
          <w:kern w:val="0"/>
          <w:sz w:val="24"/>
          <w:szCs w:val="24"/>
          <w:lang w:val="en-US"/>
          <w14:ligatures w14:val="none"/>
        </w:rPr>
      </w:pPr>
      <w:r>
        <w:rPr>
          <w:rFonts w:ascii="Arial" w:eastAsia="Aptos" w:hAnsi="Arial" w:cs="Arial"/>
          <w:b/>
          <w:color w:val="auto"/>
          <w:kern w:val="0"/>
          <w:sz w:val="24"/>
          <w:szCs w:val="24"/>
          <w:lang w:val="en-US"/>
          <w14:ligatures w14:val="none"/>
        </w:rPr>
        <w:t>Fig. S5</w:t>
      </w:r>
      <w:r w:rsidR="00AC7D90" w:rsidRPr="00076161">
        <w:rPr>
          <w:rFonts w:ascii="Arial" w:eastAsia="Aptos" w:hAnsi="Arial" w:cs="Arial"/>
          <w:b/>
          <w:color w:val="auto"/>
          <w:kern w:val="0"/>
          <w:sz w:val="24"/>
          <w:szCs w:val="24"/>
          <w:lang w:val="en-US"/>
          <w14:ligatures w14:val="none"/>
        </w:rPr>
        <w:t xml:space="preserve">: </w:t>
      </w:r>
      <w:r w:rsidR="00AC7D90" w:rsidRPr="005A4371">
        <w:rPr>
          <w:rFonts w:ascii="Arial" w:eastAsia="Aptos" w:hAnsi="Arial" w:cs="Arial"/>
          <w:b/>
          <w:i/>
          <w:iCs/>
          <w:color w:val="auto"/>
          <w:kern w:val="0"/>
          <w:sz w:val="24"/>
          <w:szCs w:val="24"/>
          <w:lang w:val="en-US"/>
          <w14:ligatures w14:val="none"/>
        </w:rPr>
        <w:t>RB1</w:t>
      </w:r>
      <w:r w:rsidR="00AC7D90" w:rsidRPr="00076161">
        <w:rPr>
          <w:rFonts w:ascii="Arial" w:eastAsia="Aptos" w:hAnsi="Arial" w:cs="Arial"/>
          <w:b/>
          <w:color w:val="auto"/>
          <w:kern w:val="0"/>
          <w:sz w:val="24"/>
          <w:szCs w:val="24"/>
          <w:lang w:val="en-US"/>
          <w14:ligatures w14:val="none"/>
        </w:rPr>
        <w:t>m frequency correlates with mutations in HRD-associated genes.</w:t>
      </w:r>
    </w:p>
    <w:p w14:paraId="3A345DBA" w14:textId="5FA4BDB2" w:rsidR="00AC7D90" w:rsidRPr="00CC35EB" w:rsidRDefault="00AC7D90" w:rsidP="00434D04">
      <w:pPr>
        <w:spacing w:line="240" w:lineRule="auto"/>
        <w:rPr>
          <w:rFonts w:eastAsia="Aptos" w:cs="Arial"/>
          <w:color w:val="000000" w:themeColor="text1"/>
          <w:kern w:val="2"/>
          <w:szCs w:val="24"/>
          <w:lang w:val="en-US"/>
        </w:rPr>
      </w:pPr>
      <w:r w:rsidRPr="00CC35EB">
        <w:rPr>
          <w:rFonts w:eastAsia="Aptos" w:cs="Arial"/>
          <w:b/>
          <w:bCs/>
          <w:color w:val="000000" w:themeColor="text1"/>
          <w:kern w:val="2"/>
          <w:szCs w:val="24"/>
          <w:lang w:val="en-US"/>
        </w:rPr>
        <w:t>a</w:t>
      </w:r>
      <w:r w:rsidRPr="00CC35EB">
        <w:rPr>
          <w:rFonts w:eastAsia="Aptos" w:cs="Arial"/>
          <w:color w:val="000000" w:themeColor="text1"/>
          <w:kern w:val="2"/>
          <w:szCs w:val="24"/>
          <w:lang w:val="en-US"/>
        </w:rPr>
        <w:t xml:space="preserve">: </w:t>
      </w:r>
      <w:r>
        <w:rPr>
          <w:rFonts w:eastAsia="Aptos" w:cs="Arial"/>
          <w:color w:val="000000" w:themeColor="text1"/>
          <w:kern w:val="2"/>
          <w:szCs w:val="24"/>
          <w:lang w:val="en-US"/>
        </w:rPr>
        <w:t>G</w:t>
      </w:r>
      <w:r w:rsidRPr="00CC35EB">
        <w:rPr>
          <w:rFonts w:eastAsia="Aptos" w:cs="Arial"/>
          <w:color w:val="000000" w:themeColor="text1"/>
          <w:kern w:val="2"/>
          <w:szCs w:val="24"/>
          <w:lang w:val="en-US"/>
        </w:rPr>
        <w:t xml:space="preserve">ain of </w:t>
      </w:r>
      <w:r w:rsidRPr="00CC35EB">
        <w:rPr>
          <w:rFonts w:eastAsia="Aptos" w:cs="Arial"/>
          <w:i/>
          <w:color w:val="000000" w:themeColor="text1"/>
          <w:kern w:val="2"/>
          <w:szCs w:val="24"/>
          <w:lang w:val="en-US"/>
        </w:rPr>
        <w:t>RB1</w:t>
      </w:r>
      <w:r w:rsidRPr="00CC35EB">
        <w:rPr>
          <w:rFonts w:eastAsia="Aptos" w:cs="Arial"/>
          <w:color w:val="000000" w:themeColor="text1"/>
          <w:kern w:val="2"/>
          <w:szCs w:val="24"/>
          <w:lang w:val="en-US"/>
        </w:rPr>
        <w:t xml:space="preserve"> mutations in paired samples with existing mutations in HRD-associated genes</w:t>
      </w:r>
      <w:r w:rsidR="00437CFC">
        <w:rPr>
          <w:rFonts w:eastAsia="Aptos" w:cs="Arial"/>
          <w:color w:val="000000" w:themeColor="text1"/>
          <w:kern w:val="2"/>
          <w:szCs w:val="24"/>
          <w:lang w:val="en-US"/>
        </w:rPr>
        <w:t xml:space="preserve">. </w:t>
      </w:r>
      <w:r w:rsidRPr="00CC35EB">
        <w:rPr>
          <w:rFonts w:eastAsia="Aptos" w:cs="Arial"/>
          <w:b/>
          <w:bCs/>
          <w:color w:val="000000" w:themeColor="text1"/>
          <w:kern w:val="2"/>
          <w:szCs w:val="24"/>
          <w:lang w:val="en-US"/>
        </w:rPr>
        <w:t>b</w:t>
      </w:r>
      <w:r w:rsidR="00437CFC">
        <w:rPr>
          <w:rFonts w:eastAsia="Aptos" w:cs="Arial"/>
          <w:color w:val="000000" w:themeColor="text1"/>
          <w:kern w:val="2"/>
          <w:szCs w:val="24"/>
          <w:lang w:val="en-US"/>
        </w:rPr>
        <w:t>:</w:t>
      </w:r>
      <w:r w:rsidRPr="00CC35EB">
        <w:rPr>
          <w:rFonts w:eastAsia="Aptos" w:cs="Arial"/>
          <w:color w:val="000000" w:themeColor="text1"/>
          <w:kern w:val="2"/>
          <w:szCs w:val="24"/>
          <w:lang w:val="en-US"/>
        </w:rPr>
        <w:t xml:space="preserve"> </w:t>
      </w:r>
      <w:r>
        <w:rPr>
          <w:rFonts w:eastAsia="Aptos" w:cs="Arial"/>
          <w:color w:val="000000" w:themeColor="text1"/>
          <w:kern w:val="2"/>
          <w:szCs w:val="24"/>
          <w:lang w:val="en-US"/>
        </w:rPr>
        <w:t>A</w:t>
      </w:r>
      <w:r w:rsidRPr="00CC35EB">
        <w:rPr>
          <w:rFonts w:eastAsia="Aptos" w:cs="Arial"/>
          <w:color w:val="000000" w:themeColor="text1"/>
          <w:kern w:val="2"/>
          <w:szCs w:val="24"/>
          <w:lang w:val="en-US"/>
        </w:rPr>
        <w:t xml:space="preserve">nalysis of the frequency of </w:t>
      </w:r>
      <w:r w:rsidRPr="00CC35EB">
        <w:rPr>
          <w:rFonts w:eastAsia="Aptos" w:cs="Arial"/>
          <w:i/>
          <w:color w:val="000000" w:themeColor="text1"/>
          <w:kern w:val="2"/>
          <w:szCs w:val="24"/>
          <w:lang w:val="en-US"/>
        </w:rPr>
        <w:t>BRCA2</w:t>
      </w:r>
      <w:r w:rsidRPr="00CC35EB">
        <w:rPr>
          <w:rFonts w:eastAsia="Aptos" w:cs="Arial"/>
          <w:color w:val="000000" w:themeColor="text1"/>
          <w:kern w:val="2"/>
          <w:szCs w:val="24"/>
          <w:lang w:val="en-US"/>
        </w:rPr>
        <w:t xml:space="preserve"> and </w:t>
      </w:r>
      <w:r w:rsidRPr="00CC35EB">
        <w:rPr>
          <w:rFonts w:eastAsia="Aptos" w:cs="Arial"/>
          <w:i/>
          <w:color w:val="000000" w:themeColor="text1"/>
          <w:kern w:val="2"/>
          <w:szCs w:val="24"/>
          <w:lang w:val="en-US"/>
        </w:rPr>
        <w:t>RB1</w:t>
      </w:r>
      <w:r w:rsidRPr="00CC35EB">
        <w:rPr>
          <w:rFonts w:eastAsia="Aptos" w:cs="Arial"/>
          <w:color w:val="000000" w:themeColor="text1"/>
          <w:kern w:val="2"/>
          <w:szCs w:val="24"/>
          <w:lang w:val="en-US"/>
        </w:rPr>
        <w:t xml:space="preserve"> co-alteration in years 2017-2023. </w:t>
      </w:r>
      <w:r w:rsidR="00437CFC">
        <w:rPr>
          <w:rFonts w:eastAsia="Aptos" w:cs="Arial"/>
          <w:color w:val="000000" w:themeColor="text1"/>
          <w:kern w:val="2"/>
          <w:szCs w:val="24"/>
          <w:lang w:val="en-US"/>
        </w:rPr>
        <w:t xml:space="preserve">Data in a) and b) represents </w:t>
      </w:r>
      <w:r w:rsidR="00437CFC" w:rsidRPr="00437CFC">
        <w:rPr>
          <w:rFonts w:eastAsia="Aptos" w:cs="Arial"/>
          <w:color w:val="000000" w:themeColor="text1"/>
          <w:kern w:val="2"/>
          <w:szCs w:val="24"/>
          <w:lang w:val="en-US"/>
        </w:rPr>
        <w:t>mean and 95% CI</w:t>
      </w:r>
      <w:r w:rsidR="00437CFC">
        <w:rPr>
          <w:rFonts w:eastAsia="Aptos" w:cs="Arial"/>
          <w:color w:val="000000" w:themeColor="text1"/>
          <w:kern w:val="2"/>
          <w:szCs w:val="24"/>
          <w:lang w:val="en-US"/>
        </w:rPr>
        <w:t xml:space="preserve">. </w:t>
      </w:r>
    </w:p>
    <w:p w14:paraId="6B641AA9" w14:textId="77777777" w:rsidR="00AC7D90" w:rsidRDefault="00AC7D90">
      <w:pPr>
        <w:suppressAutoHyphens w:val="0"/>
        <w:spacing w:line="278" w:lineRule="auto"/>
        <w:jc w:val="left"/>
        <w:rPr>
          <w:rFonts w:eastAsiaTheme="majorEastAsia" w:cs="Arial"/>
          <w:b/>
          <w:bCs/>
          <w:szCs w:val="24"/>
          <w:lang w:val="en-US"/>
        </w:rPr>
      </w:pPr>
      <w:r>
        <w:rPr>
          <w:rFonts w:cs="Arial"/>
          <w:b/>
          <w:bCs/>
          <w:szCs w:val="24"/>
          <w:lang w:val="en-US"/>
        </w:rPr>
        <w:br w:type="page"/>
      </w:r>
    </w:p>
    <w:p w14:paraId="3D648C26" w14:textId="730A40C8" w:rsidR="00112FF8" w:rsidRPr="009B7BBA" w:rsidRDefault="001E2AB4" w:rsidP="009B7BBA">
      <w:pPr>
        <w:pStyle w:val="Heading1"/>
        <w:suppressAutoHyphens/>
        <w:spacing w:before="0" w:after="40" w:line="360" w:lineRule="auto"/>
        <w:jc w:val="both"/>
        <w:rPr>
          <w:rFonts w:ascii="Arial" w:hAnsi="Arial" w:cs="Arial"/>
          <w:b/>
          <w:bCs/>
          <w:color w:val="auto"/>
          <w:kern w:val="0"/>
          <w:sz w:val="24"/>
          <w:szCs w:val="24"/>
          <w:lang w:val="en-US"/>
          <w14:ligatures w14:val="none"/>
        </w:rPr>
      </w:pPr>
      <w:r w:rsidRPr="001E2AB4">
        <w:rPr>
          <w:rFonts w:ascii="Arial" w:hAnsi="Arial" w:cs="Arial"/>
          <w:b/>
          <w:bCs/>
          <w:color w:val="auto"/>
          <w:kern w:val="0"/>
          <w:sz w:val="24"/>
          <w:szCs w:val="24"/>
          <w:lang w:val="en-US"/>
          <w14:ligatures w14:val="none"/>
        </w:rPr>
        <w:lastRenderedPageBreak/>
        <w:t xml:space="preserve">Supplementary Materials and Methods: </w:t>
      </w:r>
    </w:p>
    <w:p w14:paraId="364BF8C9" w14:textId="77777777" w:rsidR="001E2AB4" w:rsidRPr="001E2AB4" w:rsidRDefault="001E2AB4" w:rsidP="001E2AB4">
      <w:pPr>
        <w:pStyle w:val="Heading2"/>
        <w:suppressAutoHyphens/>
        <w:spacing w:before="0" w:after="0" w:line="480" w:lineRule="auto"/>
        <w:jc w:val="both"/>
        <w:rPr>
          <w:rFonts w:ascii="Arial" w:eastAsia="Aptos" w:hAnsi="Arial" w:cs="Arial"/>
          <w:b/>
          <w:color w:val="auto"/>
          <w:kern w:val="0"/>
          <w:sz w:val="24"/>
          <w:szCs w:val="24"/>
          <w:lang w:val="en-US"/>
          <w14:ligatures w14:val="none"/>
        </w:rPr>
      </w:pPr>
      <w:r w:rsidRPr="001E2AB4">
        <w:rPr>
          <w:rFonts w:ascii="Arial" w:eastAsia="Aptos" w:hAnsi="Arial" w:cs="Arial"/>
          <w:b/>
          <w:color w:val="auto"/>
          <w:kern w:val="0"/>
          <w:sz w:val="24"/>
          <w:szCs w:val="24"/>
          <w:lang w:val="en-US"/>
          <w14:ligatures w14:val="none"/>
        </w:rPr>
        <w:t xml:space="preserve">Cell counting </w:t>
      </w:r>
    </w:p>
    <w:p w14:paraId="1B940BEA" w14:textId="77777777" w:rsidR="001E2AB4" w:rsidRPr="001E2AB4" w:rsidRDefault="001E2AB4" w:rsidP="001E2AB4">
      <w:pPr>
        <w:rPr>
          <w:rFonts w:cs="Arial"/>
          <w:lang w:val="en-US"/>
        </w:rPr>
      </w:pPr>
      <w:r>
        <w:rPr>
          <w:rFonts w:cs="Arial"/>
          <w:lang w:val="en-US"/>
        </w:rPr>
        <w:t xml:space="preserve">Detached cells were harvested and collected in fresh medium. Cells were either directly counted or centrifuged (1500 rpm, 5 minutes, RT) and resuspended in 1 ml of PBS (PAN-Biotech). 10 µl of the suspension were mixed 1:1 with trypan blue and manually counted twice using the Neubauer Counting Chamber or using the TC20 Automated Cell Counter (Bio-Rad). </w:t>
      </w:r>
    </w:p>
    <w:p w14:paraId="21360476" w14:textId="77777777" w:rsidR="001E2AB4" w:rsidRPr="001E2AB4" w:rsidRDefault="001E2AB4" w:rsidP="001E2AB4">
      <w:pPr>
        <w:pStyle w:val="Heading2"/>
        <w:suppressAutoHyphens/>
        <w:spacing w:before="0" w:after="0" w:line="480" w:lineRule="auto"/>
        <w:jc w:val="both"/>
        <w:rPr>
          <w:rFonts w:ascii="Arial" w:eastAsia="Aptos" w:hAnsi="Arial" w:cs="Arial"/>
          <w:b/>
          <w:color w:val="auto"/>
          <w:kern w:val="0"/>
          <w:sz w:val="24"/>
          <w:szCs w:val="24"/>
          <w:lang w:val="en-US"/>
          <w14:ligatures w14:val="none"/>
        </w:rPr>
      </w:pPr>
      <w:r w:rsidRPr="001E2AB4">
        <w:rPr>
          <w:rFonts w:ascii="Arial" w:eastAsia="Aptos" w:hAnsi="Arial" w:cs="Arial"/>
          <w:b/>
          <w:color w:val="auto"/>
          <w:kern w:val="0"/>
          <w:sz w:val="24"/>
          <w:szCs w:val="24"/>
          <w:lang w:val="en-US"/>
          <w14:ligatures w14:val="none"/>
        </w:rPr>
        <w:t>Competition Assays</w:t>
      </w:r>
    </w:p>
    <w:p w14:paraId="67FE77E2" w14:textId="40DB9745" w:rsidR="005A4371" w:rsidRDefault="001E2AB4" w:rsidP="005D5516">
      <w:pPr>
        <w:rPr>
          <w:rFonts w:eastAsiaTheme="majorEastAsia" w:cs="Arial"/>
          <w:b/>
          <w:bCs/>
          <w:szCs w:val="24"/>
          <w:lang w:val="en-US"/>
        </w:rPr>
      </w:pPr>
      <w:r>
        <w:rPr>
          <w:rFonts w:cs="Arial"/>
          <w:lang w:val="en-US"/>
        </w:rPr>
        <w:t xml:space="preserve">To mimic intra-tumoral heterogeneity, fluorescent </w:t>
      </w:r>
      <w:r>
        <w:rPr>
          <w:rFonts w:cs="Arial"/>
          <w:i/>
          <w:iCs/>
          <w:lang w:val="en-US"/>
        </w:rPr>
        <w:t>lacZ</w:t>
      </w:r>
      <w:r>
        <w:rPr>
          <w:rFonts w:cs="Arial"/>
          <w:lang w:val="en-US"/>
        </w:rPr>
        <w:t xml:space="preserve"> (non-targeting control), </w:t>
      </w:r>
      <w:r>
        <w:rPr>
          <w:rFonts w:cs="Arial"/>
          <w:i/>
          <w:iCs/>
          <w:lang w:val="en-US"/>
        </w:rPr>
        <w:t>RB1 KO</w:t>
      </w:r>
      <w:r>
        <w:rPr>
          <w:rFonts w:cs="Arial"/>
          <w:lang w:val="en-US"/>
        </w:rPr>
        <w:t xml:space="preserve">, </w:t>
      </w:r>
      <w:r>
        <w:rPr>
          <w:rFonts w:cs="Arial"/>
          <w:i/>
          <w:iCs/>
          <w:lang w:val="en-US"/>
        </w:rPr>
        <w:t>BRCA2</w:t>
      </w:r>
      <w:r>
        <w:rPr>
          <w:rFonts w:cs="Arial"/>
          <w:lang w:val="en-US"/>
        </w:rPr>
        <w:t xml:space="preserve"> KO or double-KO cells were counted and plated at a 1:1 ratio with non-fluorescent wild-type cells. To determine the exact seeding ratio, cells were measured using flow cytometry on day zero and normalized to 50%. Cells were then treated on day one and harvested for measurement on day four. The remaining cells were seeded and treated again and cultured until day seven for the second measurement. Data were analyzed using </w:t>
      </w:r>
      <w:proofErr w:type="spellStart"/>
      <w:r>
        <w:rPr>
          <w:rFonts w:cs="Arial"/>
          <w:lang w:val="en-US"/>
        </w:rPr>
        <w:t>CytExpert</w:t>
      </w:r>
      <w:proofErr w:type="spellEnd"/>
      <w:r>
        <w:rPr>
          <w:rFonts w:cs="Arial"/>
          <w:lang w:val="en-US"/>
        </w:rPr>
        <w:t xml:space="preserve"> </w:t>
      </w:r>
      <w:r w:rsidR="00364B35">
        <w:rPr>
          <w:rFonts w:cs="Arial"/>
          <w:lang w:val="en-US"/>
        </w:rPr>
        <w:t>2.6</w:t>
      </w:r>
      <w:r>
        <w:rPr>
          <w:rFonts w:cs="Arial"/>
          <w:lang w:val="en-US"/>
        </w:rPr>
        <w:t>.</w:t>
      </w:r>
    </w:p>
    <w:sectPr w:rsidR="005A4371" w:rsidSect="00684982">
      <w:headerReference w:type="default" r:id="rId11"/>
      <w:pgSz w:w="11906" w:h="16838"/>
      <w:pgMar w:top="1417" w:right="1417" w:bottom="1134" w:left="1417" w:header="0" w:footer="0" w:gutter="0"/>
      <w:lnNumType w:countBy="1" w:distance="283" w:restart="continuou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CF596" w14:textId="77777777" w:rsidR="005F4C45" w:rsidRDefault="005F4C45" w:rsidP="00AC7D90">
      <w:pPr>
        <w:spacing w:after="0" w:line="240" w:lineRule="auto"/>
      </w:pPr>
      <w:r>
        <w:separator/>
      </w:r>
    </w:p>
  </w:endnote>
  <w:endnote w:type="continuationSeparator" w:id="0">
    <w:p w14:paraId="680FCFD3" w14:textId="77777777" w:rsidR="005F4C45" w:rsidRDefault="005F4C45" w:rsidP="00AC7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BEF9" w14:textId="77777777" w:rsidR="005F4C45" w:rsidRDefault="005F4C45" w:rsidP="00AC7D90">
      <w:pPr>
        <w:spacing w:after="0" w:line="240" w:lineRule="auto"/>
      </w:pPr>
      <w:r>
        <w:separator/>
      </w:r>
    </w:p>
  </w:footnote>
  <w:footnote w:type="continuationSeparator" w:id="0">
    <w:p w14:paraId="67DE4A10" w14:textId="77777777" w:rsidR="005F4C45" w:rsidRDefault="005F4C45" w:rsidP="00AC7D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492F" w14:textId="77777777" w:rsidR="00AC7D90" w:rsidRDefault="00AC7D90">
    <w:pPr>
      <w:pStyle w:val="Header"/>
      <w:rPr>
        <w:lang w:val="de-DE"/>
      </w:rPr>
    </w:pPr>
  </w:p>
  <w:p w14:paraId="488DB66D" w14:textId="77777777" w:rsidR="00AC7D90" w:rsidRDefault="00AC7D90">
    <w:pPr>
      <w:pStyle w:val="Header"/>
      <w:rPr>
        <w:sz w:val="22"/>
        <w:szCs w:val="20"/>
        <w:lang w:val="de-DE"/>
      </w:rPr>
    </w:pPr>
  </w:p>
  <w:p w14:paraId="7305E533" w14:textId="16E41F33" w:rsidR="00AC7D90" w:rsidRPr="00265C6A" w:rsidRDefault="00AC7D90">
    <w:pPr>
      <w:pStyle w:val="Header"/>
      <w:rPr>
        <w:sz w:val="22"/>
        <w:szCs w:val="20"/>
        <w:lang w:val="en-US"/>
      </w:rPr>
    </w:pPr>
    <w:r w:rsidRPr="00265C6A">
      <w:rPr>
        <w:sz w:val="22"/>
        <w:szCs w:val="20"/>
        <w:lang w:val="en-US"/>
      </w:rPr>
      <w:t xml:space="preserve">Supplemental information to </w:t>
    </w:r>
  </w:p>
  <w:p w14:paraId="3CAD39EB" w14:textId="6B999F12" w:rsidR="00AC7D90" w:rsidRPr="00AC7D90" w:rsidRDefault="00AC7D90">
    <w:pPr>
      <w:pStyle w:val="Header"/>
      <w:rPr>
        <w:sz w:val="22"/>
        <w:szCs w:val="20"/>
        <w:lang w:val="en-US"/>
      </w:rPr>
    </w:pPr>
    <w:r w:rsidRPr="00AC7D90">
      <w:rPr>
        <w:sz w:val="22"/>
        <w:szCs w:val="20"/>
        <w:lang w:val="en-US"/>
      </w:rPr>
      <w:t xml:space="preserve">Impact of HRD on CDK4/6i sensitivity </w:t>
    </w:r>
    <w:r w:rsidRPr="00AC7D90">
      <w:rPr>
        <w:sz w:val="22"/>
        <w:szCs w:val="20"/>
        <w:lang w:val="en-US"/>
      </w:rPr>
      <w:tab/>
    </w:r>
    <w:r w:rsidRPr="00AC7D90">
      <w:rPr>
        <w:sz w:val="22"/>
        <w:szCs w:val="20"/>
        <w:lang w:val="en-US"/>
      </w:rPr>
      <w:tab/>
      <w:t>Haas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982"/>
    <w:rsid w:val="00076161"/>
    <w:rsid w:val="000D35ED"/>
    <w:rsid w:val="000F39A6"/>
    <w:rsid w:val="00112FF8"/>
    <w:rsid w:val="001E2AB4"/>
    <w:rsid w:val="001F6F10"/>
    <w:rsid w:val="00256BA4"/>
    <w:rsid w:val="00265C6A"/>
    <w:rsid w:val="002A655F"/>
    <w:rsid w:val="002B3BB0"/>
    <w:rsid w:val="002B7F35"/>
    <w:rsid w:val="00364B35"/>
    <w:rsid w:val="003B6F46"/>
    <w:rsid w:val="003C39A8"/>
    <w:rsid w:val="00434D04"/>
    <w:rsid w:val="00437CFC"/>
    <w:rsid w:val="00487819"/>
    <w:rsid w:val="004C3455"/>
    <w:rsid w:val="00560DF2"/>
    <w:rsid w:val="005916F3"/>
    <w:rsid w:val="005A4371"/>
    <w:rsid w:val="005D5516"/>
    <w:rsid w:val="005E599F"/>
    <w:rsid w:val="005F4C45"/>
    <w:rsid w:val="005F7F65"/>
    <w:rsid w:val="00662549"/>
    <w:rsid w:val="00684982"/>
    <w:rsid w:val="00786399"/>
    <w:rsid w:val="00842098"/>
    <w:rsid w:val="008B4A4D"/>
    <w:rsid w:val="00905815"/>
    <w:rsid w:val="009B7BBA"/>
    <w:rsid w:val="00A44203"/>
    <w:rsid w:val="00A62140"/>
    <w:rsid w:val="00A6739F"/>
    <w:rsid w:val="00A92C7F"/>
    <w:rsid w:val="00A97314"/>
    <w:rsid w:val="00AC7D90"/>
    <w:rsid w:val="00B71FCE"/>
    <w:rsid w:val="00BC0538"/>
    <w:rsid w:val="00C978E8"/>
    <w:rsid w:val="00CC35EB"/>
    <w:rsid w:val="00D53502"/>
    <w:rsid w:val="00D6003D"/>
    <w:rsid w:val="00DB4278"/>
    <w:rsid w:val="00E025AD"/>
    <w:rsid w:val="00E133AB"/>
    <w:rsid w:val="00FD77C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139A"/>
  <w15:chartTrackingRefBased/>
  <w15:docId w15:val="{4D4B7262-C1B9-4F58-B620-A67C81CF2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A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82"/>
    <w:pPr>
      <w:suppressAutoHyphens/>
      <w:spacing w:line="480" w:lineRule="auto"/>
      <w:jc w:val="both"/>
    </w:pPr>
    <w:rPr>
      <w:rFonts w:ascii="Arial" w:eastAsiaTheme="minorEastAsia" w:hAnsi="Arial"/>
      <w:kern w:val="0"/>
      <w:szCs w:val="22"/>
      <w14:ligatures w14:val="none"/>
    </w:rPr>
  </w:style>
  <w:style w:type="paragraph" w:styleId="Heading1">
    <w:name w:val="heading 1"/>
    <w:basedOn w:val="Normal"/>
    <w:next w:val="Normal"/>
    <w:link w:val="Heading1Char"/>
    <w:uiPriority w:val="9"/>
    <w:qFormat/>
    <w:rsid w:val="00684982"/>
    <w:pPr>
      <w:keepNext/>
      <w:keepLines/>
      <w:suppressAutoHyphens w:val="0"/>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684982"/>
    <w:pPr>
      <w:keepNext/>
      <w:keepLines/>
      <w:suppressAutoHyphens w:val="0"/>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84982"/>
    <w:pPr>
      <w:keepNext/>
      <w:keepLines/>
      <w:suppressAutoHyphens w:val="0"/>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84982"/>
    <w:pPr>
      <w:keepNext/>
      <w:keepLines/>
      <w:suppressAutoHyphens w:val="0"/>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684982"/>
    <w:pPr>
      <w:keepNext/>
      <w:keepLines/>
      <w:suppressAutoHyphens w:val="0"/>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684982"/>
    <w:pPr>
      <w:keepNext/>
      <w:keepLines/>
      <w:suppressAutoHyphens w:val="0"/>
      <w:spacing w:before="40" w:after="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684982"/>
    <w:pPr>
      <w:keepNext/>
      <w:keepLines/>
      <w:suppressAutoHyphens w:val="0"/>
      <w:spacing w:before="40" w:after="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684982"/>
    <w:pPr>
      <w:keepNext/>
      <w:keepLines/>
      <w:suppressAutoHyphens w:val="0"/>
      <w:spacing w:after="0"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684982"/>
    <w:pPr>
      <w:keepNext/>
      <w:keepLines/>
      <w:suppressAutoHyphens w:val="0"/>
      <w:spacing w:after="0"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849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sid w:val="006849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9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9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49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49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49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49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4982"/>
    <w:rPr>
      <w:rFonts w:eastAsiaTheme="majorEastAsia" w:cstheme="majorBidi"/>
      <w:color w:val="272727" w:themeColor="text1" w:themeTint="D8"/>
    </w:rPr>
  </w:style>
  <w:style w:type="paragraph" w:styleId="Title">
    <w:name w:val="Title"/>
    <w:basedOn w:val="Normal"/>
    <w:next w:val="Normal"/>
    <w:link w:val="TitleChar"/>
    <w:uiPriority w:val="10"/>
    <w:qFormat/>
    <w:rsid w:val="00684982"/>
    <w:pPr>
      <w:suppressAutoHyphens w:val="0"/>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849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4982"/>
    <w:pPr>
      <w:numPr>
        <w:ilvl w:val="1"/>
      </w:numPr>
      <w:suppressAutoHyphens w:val="0"/>
      <w:spacing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849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4982"/>
    <w:pPr>
      <w:suppressAutoHyphens w:val="0"/>
      <w:spacing w:before="160" w:line="278" w:lineRule="auto"/>
      <w:jc w:val="center"/>
    </w:pPr>
    <w:rPr>
      <w:rFonts w:asciiTheme="minorHAnsi" w:eastAsia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684982"/>
    <w:rPr>
      <w:i/>
      <w:iCs/>
      <w:color w:val="404040" w:themeColor="text1" w:themeTint="BF"/>
    </w:rPr>
  </w:style>
  <w:style w:type="paragraph" w:styleId="ListParagraph">
    <w:name w:val="List Paragraph"/>
    <w:basedOn w:val="Normal"/>
    <w:uiPriority w:val="34"/>
    <w:qFormat/>
    <w:rsid w:val="00684982"/>
    <w:pPr>
      <w:suppressAutoHyphens w:val="0"/>
      <w:spacing w:line="278" w:lineRule="auto"/>
      <w:ind w:left="720"/>
      <w:contextualSpacing/>
      <w:jc w:val="left"/>
    </w:pPr>
    <w:rPr>
      <w:rFonts w:asciiTheme="minorHAnsi" w:eastAsiaTheme="minorHAnsi" w:hAnsiTheme="minorHAnsi"/>
      <w:kern w:val="2"/>
      <w:szCs w:val="24"/>
      <w14:ligatures w14:val="standardContextual"/>
    </w:rPr>
  </w:style>
  <w:style w:type="character" w:styleId="IntenseEmphasis">
    <w:name w:val="Intense Emphasis"/>
    <w:basedOn w:val="DefaultParagraphFont"/>
    <w:uiPriority w:val="21"/>
    <w:qFormat/>
    <w:rsid w:val="00684982"/>
    <w:rPr>
      <w:i/>
      <w:iCs/>
      <w:color w:val="0F4761" w:themeColor="accent1" w:themeShade="BF"/>
    </w:rPr>
  </w:style>
  <w:style w:type="paragraph" w:styleId="IntenseQuote">
    <w:name w:val="Intense Quote"/>
    <w:basedOn w:val="Normal"/>
    <w:next w:val="Normal"/>
    <w:link w:val="IntenseQuoteChar"/>
    <w:uiPriority w:val="30"/>
    <w:qFormat/>
    <w:rsid w:val="00684982"/>
    <w:pPr>
      <w:pBdr>
        <w:top w:val="single" w:sz="4" w:space="10" w:color="0F4761" w:themeColor="accent1" w:themeShade="BF"/>
        <w:bottom w:val="single" w:sz="4" w:space="10" w:color="0F4761" w:themeColor="accent1" w:themeShade="BF"/>
      </w:pBdr>
      <w:suppressAutoHyphens w:val="0"/>
      <w:spacing w:before="360" w:after="360" w:line="278" w:lineRule="auto"/>
      <w:ind w:left="864" w:right="864"/>
      <w:jc w:val="center"/>
    </w:pPr>
    <w:rPr>
      <w:rFonts w:asciiTheme="minorHAnsi" w:eastAsiaTheme="minorHAnsi" w:hAnsiTheme="minorHAns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684982"/>
    <w:rPr>
      <w:i/>
      <w:iCs/>
      <w:color w:val="0F4761" w:themeColor="accent1" w:themeShade="BF"/>
    </w:rPr>
  </w:style>
  <w:style w:type="character" w:styleId="IntenseReference">
    <w:name w:val="Intense Reference"/>
    <w:basedOn w:val="DefaultParagraphFont"/>
    <w:uiPriority w:val="32"/>
    <w:qFormat/>
    <w:rsid w:val="00684982"/>
    <w:rPr>
      <w:b/>
      <w:bCs/>
      <w:smallCaps/>
      <w:color w:val="0F4761" w:themeColor="accent1" w:themeShade="BF"/>
      <w:spacing w:val="5"/>
    </w:rPr>
  </w:style>
  <w:style w:type="character" w:styleId="LineNumber">
    <w:name w:val="line number"/>
    <w:basedOn w:val="DefaultParagraphFont"/>
    <w:uiPriority w:val="99"/>
    <w:semiHidden/>
    <w:unhideWhenUsed/>
    <w:rsid w:val="00684982"/>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Theme="minorEastAsia" w:hAnsi="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C7D9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7D90"/>
    <w:rPr>
      <w:rFonts w:ascii="Arial" w:eastAsiaTheme="minorEastAsia" w:hAnsi="Arial"/>
      <w:kern w:val="0"/>
      <w:szCs w:val="22"/>
      <w14:ligatures w14:val="none"/>
    </w:rPr>
  </w:style>
  <w:style w:type="paragraph" w:styleId="Footer">
    <w:name w:val="footer"/>
    <w:basedOn w:val="Normal"/>
    <w:link w:val="FooterChar"/>
    <w:uiPriority w:val="99"/>
    <w:unhideWhenUsed/>
    <w:rsid w:val="00AC7D9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7D90"/>
    <w:rPr>
      <w:rFonts w:ascii="Arial" w:eastAsiaTheme="minorEastAsia" w:hAnsi="Arial"/>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645</Words>
  <Characters>3681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Haas</dc:creator>
  <cp:keywords/>
  <dc:description/>
  <cp:lastModifiedBy>Michael Dengler</cp:lastModifiedBy>
  <cp:revision>2</cp:revision>
  <cp:lastPrinted>2025-07-22T08:43:00Z</cp:lastPrinted>
  <dcterms:created xsi:type="dcterms:W3CDTF">2025-07-30T13:06:00Z</dcterms:created>
  <dcterms:modified xsi:type="dcterms:W3CDTF">2025-07-30T13:06:00Z</dcterms:modified>
</cp:coreProperties>
</file>