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default" w:ascii="Times New Roman" w:hAnsi="Times New Roman"/>
          <w:b/>
          <w:bCs/>
          <w:sz w:val="24"/>
          <w:szCs w:val="24"/>
          <w:lang w:val="en-US" w:eastAsia="zh-CN"/>
        </w:rPr>
      </w:pPr>
      <w:bookmarkStart w:id="0" w:name="_GoBack"/>
      <w:r>
        <w:rPr>
          <w:rFonts w:hint="eastAsia" w:ascii="Times New Roman" w:hAnsi="Times New Roman"/>
          <w:b/>
          <w:bCs/>
          <w:sz w:val="24"/>
          <w:szCs w:val="24"/>
          <w:lang w:val="en-US" w:eastAsia="zh-CN"/>
        </w:rPr>
        <w:t>SUPPLEMENTAL MATERIALS</w:t>
      </w:r>
    </w:p>
    <w:bookmarkEnd w:id="0"/>
    <w:p>
      <w:pPr>
        <w:spacing w:line="480" w:lineRule="auto"/>
        <w:rPr>
          <w:rFonts w:hint="eastAsia" w:ascii="Times New Roman" w:hAnsi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sz w:val="24"/>
          <w:szCs w:val="24"/>
          <w:lang w:val="en-US" w:eastAsia="zh-CN"/>
        </w:rPr>
        <w:t>Table S1. Baseline characteristics of included and excluded participants due to missing data on SUA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3"/>
        <w:gridCol w:w="1958"/>
        <w:gridCol w:w="2004"/>
        <w:gridCol w:w="147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9" w:type="pct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 xml:space="preserve">Excluded </w:t>
            </w:r>
          </w:p>
        </w:tc>
        <w:tc>
          <w:tcPr>
            <w:tcW w:w="1176" w:type="pct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 xml:space="preserve">Included </w:t>
            </w:r>
          </w:p>
        </w:tc>
        <w:tc>
          <w:tcPr>
            <w:tcW w:w="865" w:type="pct"/>
            <w:tcBorders>
              <w:bottom w:val="single" w:color="auto" w:sz="4" w:space="0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 xml:space="preserve">P </w:t>
            </w: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 xml:space="preserve">value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tcBorders>
              <w:top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Subjects, n</w:t>
            </w:r>
          </w:p>
        </w:tc>
        <w:tc>
          <w:tcPr>
            <w:tcW w:w="1149" w:type="pct"/>
            <w:tcBorders>
              <w:top w:val="single" w:color="auto" w:sz="4" w:space="0"/>
            </w:tcBorders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10898</w:t>
            </w:r>
          </w:p>
        </w:tc>
        <w:tc>
          <w:tcPr>
            <w:tcW w:w="1176" w:type="pct"/>
            <w:tcBorders>
              <w:top w:val="single" w:color="auto" w:sz="4" w:space="0"/>
            </w:tcBorders>
          </w:tcPr>
          <w:p>
            <w:pPr>
              <w:spacing w:line="480" w:lineRule="auto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/>
                <w:sz w:val="24"/>
                <w:szCs w:val="24"/>
                <w:vertAlign w:val="baseline"/>
                <w:lang w:val="en-US" w:eastAsia="zh-CN"/>
              </w:rPr>
              <w:t>85503</w:t>
            </w:r>
          </w:p>
        </w:tc>
        <w:tc>
          <w:tcPr>
            <w:tcW w:w="865" w:type="pct"/>
            <w:tcBorders>
              <w:top w:val="single" w:color="auto" w:sz="4" w:space="0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Theme="minorEastAsia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Age, years</w:t>
            </w:r>
          </w:p>
        </w:tc>
        <w:tc>
          <w:tcPr>
            <w:tcW w:w="11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57.85±13.83</w:t>
            </w:r>
          </w:p>
        </w:tc>
        <w:tc>
          <w:tcPr>
            <w:tcW w:w="117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50.45±11.94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Theme="minorEastAsia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Men, n (%)</w:t>
            </w:r>
          </w:p>
        </w:tc>
        <w:tc>
          <w:tcPr>
            <w:tcW w:w="11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9576 (87.87)</w:t>
            </w:r>
          </w:p>
        </w:tc>
        <w:tc>
          <w:tcPr>
            <w:tcW w:w="117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66808 (78.14)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Theme="minorEastAsia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High school or above, n (%)</w:t>
            </w:r>
          </w:p>
        </w:tc>
        <w:tc>
          <w:tcPr>
            <w:tcW w:w="11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 (6.0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117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6074 (7.26)</w:t>
            </w:r>
          </w:p>
        </w:tc>
        <w:tc>
          <w:tcPr>
            <w:tcW w:w="865" w:type="pct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Theme="minorEastAsia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Income≥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800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RMB, n (%)</w:t>
            </w:r>
          </w:p>
        </w:tc>
        <w:tc>
          <w:tcPr>
            <w:tcW w:w="11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1192 (13.08)</w:t>
            </w:r>
          </w:p>
        </w:tc>
        <w:tc>
          <w:tcPr>
            <w:tcW w:w="117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12172 (14.56)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Theme="minorEastAsia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Current smoker, n (%)</w:t>
            </w:r>
          </w:p>
        </w:tc>
        <w:tc>
          <w:tcPr>
            <w:tcW w:w="11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3053 (31.27)</w:t>
            </w:r>
          </w:p>
        </w:tc>
        <w:tc>
          <w:tcPr>
            <w:tcW w:w="117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29102 (34.77)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Theme="minorEastAsia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Current alcohol, n (%)</w:t>
            </w:r>
          </w:p>
        </w:tc>
        <w:tc>
          <w:tcPr>
            <w:tcW w:w="11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3130 (32.07)</w:t>
            </w:r>
          </w:p>
        </w:tc>
        <w:tc>
          <w:tcPr>
            <w:tcW w:w="117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32111 (38.35)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vAlign w:val="top"/>
          </w:tcPr>
          <w:p>
            <w:pPr>
              <w:spacing w:line="240" w:lineRule="auto"/>
              <w:rPr>
                <w:rFonts w:hint="default" w:ascii="Times New Roman" w:hAnsi="Times New Roman" w:eastAsiaTheme="minorEastAsia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Active physical activity, n (%)</w:t>
            </w:r>
          </w:p>
        </w:tc>
        <w:tc>
          <w:tcPr>
            <w:tcW w:w="11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8493 (93.29)</w:t>
            </w:r>
          </w:p>
        </w:tc>
        <w:tc>
          <w:tcPr>
            <w:tcW w:w="117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75978 (91.02)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Theme="minorEastAsia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Hypertension, n (%)</w:t>
            </w:r>
          </w:p>
        </w:tc>
        <w:tc>
          <w:tcPr>
            <w:tcW w:w="11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5145 (47.21)</w:t>
            </w:r>
          </w:p>
        </w:tc>
        <w:tc>
          <w:tcPr>
            <w:tcW w:w="117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36250 (42.40)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Theme="minorEastAsia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Diabetes mellitus, n (%)</w:t>
            </w:r>
          </w:p>
        </w:tc>
        <w:tc>
          <w:tcPr>
            <w:tcW w:w="11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1135 (10.41)</w:t>
            </w:r>
          </w:p>
        </w:tc>
        <w:tc>
          <w:tcPr>
            <w:tcW w:w="117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7411 (8.6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Theme="minorEastAsia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Dyslipidemia, n (%)</w:t>
            </w:r>
          </w:p>
        </w:tc>
        <w:tc>
          <w:tcPr>
            <w:tcW w:w="11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4382 (40.21)</w:t>
            </w:r>
          </w:p>
        </w:tc>
        <w:tc>
          <w:tcPr>
            <w:tcW w:w="117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29952 (35.03)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vAlign w:val="top"/>
          </w:tcPr>
          <w:p>
            <w:pPr>
              <w:spacing w:line="240" w:lineRule="auto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Antihypertensive agents, n (%)</w:t>
            </w:r>
          </w:p>
        </w:tc>
        <w:tc>
          <w:tcPr>
            <w:tcW w:w="11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1196 (10.98)</w:t>
            </w:r>
          </w:p>
        </w:tc>
        <w:tc>
          <w:tcPr>
            <w:tcW w:w="117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8982 (10.50)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0.1322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Hypoglycemic agents, n (%)</w:t>
            </w:r>
          </w:p>
        </w:tc>
        <w:tc>
          <w:tcPr>
            <w:tcW w:w="11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 (2.34)</w:t>
            </w:r>
          </w:p>
        </w:tc>
        <w:tc>
          <w:tcPr>
            <w:tcW w:w="117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1898 (2.22)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0.4235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Lipid-lowering agents, n (%)</w:t>
            </w:r>
          </w:p>
        </w:tc>
        <w:tc>
          <w:tcPr>
            <w:tcW w:w="11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 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.74)</w:t>
            </w:r>
          </w:p>
        </w:tc>
        <w:tc>
          <w:tcPr>
            <w:tcW w:w="117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777 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.9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)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0.0834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Theme="minorEastAsia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Body mass index, kg/m</w:t>
            </w:r>
            <w:r>
              <w:rPr>
                <w:rFonts w:ascii="Times New Roman" w:hAnsi="Times New Roman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24.87±3.61</w:t>
            </w:r>
          </w:p>
        </w:tc>
        <w:tc>
          <w:tcPr>
            <w:tcW w:w="117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25.07±3.47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Theme="minorEastAsia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lang w:val="en-US" w:eastAsia="zh-CN"/>
              </w:rPr>
              <w:t>SBP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, mmHg</w:t>
            </w:r>
          </w:p>
        </w:tc>
        <w:tc>
          <w:tcPr>
            <w:tcW w:w="11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134.73±22.28</w:t>
            </w:r>
          </w:p>
        </w:tc>
        <w:tc>
          <w:tcPr>
            <w:tcW w:w="117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129.99±20.53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Theme="minorEastAsia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  <w:lang w:val="en-US" w:eastAsia="zh-CN"/>
              </w:rPr>
              <w:t>DBP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, mmHg</w:t>
            </w:r>
          </w:p>
        </w:tc>
        <w:tc>
          <w:tcPr>
            <w:tcW w:w="11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±12.12</w:t>
            </w:r>
          </w:p>
        </w:tc>
        <w:tc>
          <w:tcPr>
            <w:tcW w:w="117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83.28±11.65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Theme="minorEastAsia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F</w:t>
            </w:r>
            <w:r>
              <w:rPr>
                <w:rFonts w:hint="eastAsia" w:ascii="Times New Roman" w:hAnsi="Times New Roman"/>
                <w:kern w:val="0"/>
                <w:sz w:val="24"/>
                <w:szCs w:val="24"/>
                <w:lang w:val="en-US" w:eastAsia="zh-CN"/>
              </w:rPr>
              <w:t>BG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, mmol/L</w:t>
            </w:r>
          </w:p>
        </w:tc>
        <w:tc>
          <w:tcPr>
            <w:tcW w:w="11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5.62±1.93</w:t>
            </w:r>
          </w:p>
        </w:tc>
        <w:tc>
          <w:tcPr>
            <w:tcW w:w="117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5.44±1.6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Theme="minorEastAsia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eGFR, mL/min/1.73m</w:t>
            </w:r>
            <w:r>
              <w:rPr>
                <w:rFonts w:ascii="Times New Roman" w:hAnsi="Times New Roman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4.94±1.16</w:t>
            </w:r>
          </w:p>
        </w:tc>
        <w:tc>
          <w:tcPr>
            <w:tcW w:w="117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4.95±1.14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0.696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cs="Times New Roman" w:eastAsia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Total cholesterol, mmol/L</w:t>
            </w:r>
          </w:p>
        </w:tc>
        <w:tc>
          <w:tcPr>
            <w:tcW w:w="11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1.69±1.42</w:t>
            </w:r>
          </w:p>
        </w:tc>
        <w:tc>
          <w:tcPr>
            <w:tcW w:w="117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1.67±1.37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pct"/>
            <w:vAlign w:val="top"/>
          </w:tcPr>
          <w:p>
            <w:pPr>
              <w:spacing w:line="480" w:lineRule="auto"/>
              <w:rPr>
                <w:rFonts w:hint="default" w:ascii="Times New Roman" w:hAnsi="Times New Roman" w:eastAsiaTheme="minorEastAsia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>hs-CRP, mg/L</w:t>
            </w:r>
          </w:p>
        </w:tc>
        <w:tc>
          <w:tcPr>
            <w:tcW w:w="114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2.67±7.66</w:t>
            </w:r>
          </w:p>
        </w:tc>
        <w:tc>
          <w:tcPr>
            <w:tcW w:w="1176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±6.17</w:t>
            </w:r>
          </w:p>
        </w:tc>
        <w:tc>
          <w:tcPr>
            <w:tcW w:w="865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&lt;0.0001</w:t>
            </w:r>
          </w:p>
        </w:tc>
      </w:tr>
    </w:tbl>
    <w:p>
      <w:pPr>
        <w:spacing w:line="480" w:lineRule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/>
          <w:kern w:val="0"/>
          <w:sz w:val="24"/>
          <w:szCs w:val="24"/>
          <w:lang w:val="en-US" w:eastAsia="zh-CN"/>
        </w:rPr>
        <w:t>Abbreviations: DBP, d</w:t>
      </w:r>
      <w:r>
        <w:rPr>
          <w:rFonts w:ascii="Times New Roman" w:hAnsi="Times New Roman"/>
          <w:kern w:val="0"/>
          <w:sz w:val="24"/>
          <w:szCs w:val="24"/>
        </w:rPr>
        <w:t>iastolic blood pressure</w:t>
      </w:r>
      <w:r>
        <w:rPr>
          <w:rFonts w:hint="eastAsia" w:ascii="Times New Roman" w:hAnsi="Times New Roman"/>
          <w:kern w:val="0"/>
          <w:sz w:val="24"/>
          <w:szCs w:val="24"/>
          <w:lang w:val="en-US" w:eastAsia="zh-CN"/>
        </w:rPr>
        <w:t xml:space="preserve">;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eGFR, estimated glomerular filtration rate; </w:t>
      </w:r>
      <w:r>
        <w:rPr>
          <w:rFonts w:hint="eastAsia" w:ascii="Times New Roman" w:hAnsi="Times New Roman"/>
          <w:kern w:val="0"/>
          <w:sz w:val="24"/>
          <w:szCs w:val="24"/>
          <w:lang w:val="en-US" w:eastAsia="zh-CN"/>
        </w:rPr>
        <w:t>FBG, f</w:t>
      </w:r>
      <w:r>
        <w:rPr>
          <w:rFonts w:ascii="Times New Roman" w:hAnsi="Times New Roman"/>
          <w:kern w:val="0"/>
          <w:sz w:val="24"/>
          <w:szCs w:val="24"/>
        </w:rPr>
        <w:t>asting blood glucose</w:t>
      </w:r>
      <w:r>
        <w:rPr>
          <w:rFonts w:hint="eastAsia" w:ascii="Times New Roman" w:hAnsi="Times New Roman"/>
          <w:kern w:val="0"/>
          <w:sz w:val="24"/>
          <w:szCs w:val="24"/>
          <w:lang w:val="en-US" w:eastAsia="zh-CN"/>
        </w:rPr>
        <w:t xml:space="preserve">;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HDL, high density lipoprotein; hs-CRP, high-sensitivity C-reactive protein; LDL, low density lipoprotein; </w:t>
      </w:r>
      <w:r>
        <w:rPr>
          <w:rFonts w:hint="eastAsia" w:ascii="Times New Roman" w:hAnsi="Times New Roman"/>
          <w:kern w:val="0"/>
          <w:sz w:val="24"/>
          <w:szCs w:val="24"/>
          <w:lang w:val="en-US" w:eastAsia="zh-CN"/>
        </w:rPr>
        <w:t>SBP, s</w:t>
      </w:r>
      <w:r>
        <w:rPr>
          <w:rFonts w:ascii="Times New Roman" w:hAnsi="Times New Roman"/>
          <w:kern w:val="0"/>
          <w:sz w:val="24"/>
          <w:szCs w:val="24"/>
        </w:rPr>
        <w:t>ystolic blood pressure</w:t>
      </w:r>
      <w:r>
        <w:rPr>
          <w:rFonts w:hint="eastAsia" w:ascii="Times New Roman" w:hAnsi="Times New Roman"/>
          <w:kern w:val="0"/>
          <w:sz w:val="24"/>
          <w:szCs w:val="24"/>
          <w:lang w:val="en-US" w:eastAsia="zh-CN"/>
        </w:rPr>
        <w:t>.</w:t>
      </w:r>
    </w:p>
    <w:p>
      <w:pPr>
        <w:numPr>
          <w:ilvl w:val="0"/>
          <w:numId w:val="0"/>
        </w:numPr>
        <w:spacing w:line="48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96D6C"/>
    <w:rsid w:val="08523D13"/>
    <w:rsid w:val="21F23D87"/>
    <w:rsid w:val="2A007C10"/>
    <w:rsid w:val="2A1A1136"/>
    <w:rsid w:val="2BA41607"/>
    <w:rsid w:val="2FA950C1"/>
    <w:rsid w:val="34056A11"/>
    <w:rsid w:val="3DF0569F"/>
    <w:rsid w:val="412B53AE"/>
    <w:rsid w:val="42EF2F3B"/>
    <w:rsid w:val="474F4B5D"/>
    <w:rsid w:val="4F543648"/>
    <w:rsid w:val="54B06EE6"/>
    <w:rsid w:val="54EE1C1A"/>
    <w:rsid w:val="55FF3A99"/>
    <w:rsid w:val="70A46789"/>
    <w:rsid w:val="76BE3C24"/>
    <w:rsid w:val="7DA44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2021-05-04T13:49:00Z</dcterms:created>
  <dc:creator>Administrator.FZTL5QSZMTDNI1G</dc:creator>
  <cp:lastModifiedBy>Xue Tian</cp:lastModifiedBy>
  <dcterms:modified xsi:type="dcterms:W3CDTF">2021-07-11T07:20:39Z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3EEDA9E11A67416782B500CF06BF29FB</vt:lpwstr>
  </property>
</Properties>
</file>