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B61C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Bcl-xL Inhibition Disrupts p27 Stability and Promotes Senescence Escape: Insights for Cancer Senotherapy</w:t>
      </w:r>
    </w:p>
    <w:p w14:paraId="79B2A8D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p>
    <w:p w14:paraId="56043DF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vertAlign w:val="superscript"/>
        </w:rPr>
      </w:pPr>
      <w:r>
        <w:rPr>
          <w:rFonts w:hint="default" w:ascii="Times New Roman" w:hAnsi="Times New Roman" w:cs="Times New Roman"/>
          <w:color w:val="auto"/>
          <w:sz w:val="24"/>
          <w:szCs w:val="32"/>
        </w:rPr>
        <w:t>Xiaobai He</w:t>
      </w:r>
      <w:r>
        <w:rPr>
          <w:rFonts w:hint="default" w:ascii="Times New Roman" w:hAnsi="Times New Roman" w:cs="Times New Roman"/>
          <w:color w:val="auto"/>
          <w:sz w:val="24"/>
          <w:szCs w:val="32"/>
          <w:vertAlign w:val="superscript"/>
        </w:rPr>
        <w:t>1,2#</w:t>
      </w:r>
      <w:r>
        <w:rPr>
          <w:rFonts w:hint="default" w:ascii="Times New Roman" w:hAnsi="Times New Roman" w:cs="Times New Roman"/>
          <w:color w:val="auto"/>
          <w:sz w:val="24"/>
          <w:szCs w:val="32"/>
        </w:rPr>
        <w:t>; Xiaopan Chen</w:t>
      </w:r>
      <w:r>
        <w:rPr>
          <w:rFonts w:hint="default" w:ascii="Times New Roman" w:hAnsi="Times New Roman" w:cs="Times New Roman"/>
          <w:color w:val="auto"/>
          <w:sz w:val="24"/>
          <w:szCs w:val="32"/>
          <w:vertAlign w:val="superscript"/>
        </w:rPr>
        <w:t>1#</w:t>
      </w:r>
      <w:r>
        <w:rPr>
          <w:rFonts w:hint="default" w:ascii="Times New Roman" w:hAnsi="Times New Roman" w:cs="Times New Roman"/>
          <w:color w:val="auto"/>
          <w:sz w:val="24"/>
          <w:szCs w:val="32"/>
        </w:rPr>
        <w:t>; XinYi Qian</w:t>
      </w:r>
      <w:r>
        <w:rPr>
          <w:rFonts w:hint="default" w:ascii="Times New Roman" w:hAnsi="Times New Roman" w:cs="Times New Roman"/>
          <w:color w:val="auto"/>
          <w:sz w:val="24"/>
          <w:szCs w:val="32"/>
          <w:vertAlign w:val="superscript"/>
        </w:rPr>
        <w:t>1</w:t>
      </w:r>
      <w:r>
        <w:rPr>
          <w:rFonts w:hint="default" w:ascii="Times New Roman" w:hAnsi="Times New Roman" w:cs="Times New Roman"/>
          <w:color w:val="auto"/>
          <w:sz w:val="24"/>
          <w:szCs w:val="32"/>
        </w:rPr>
        <w:t>; Di Cui</w:t>
      </w:r>
      <w:r>
        <w:rPr>
          <w:rFonts w:hint="default" w:ascii="Times New Roman" w:hAnsi="Times New Roman" w:cs="Times New Roman"/>
          <w:color w:val="auto"/>
          <w:sz w:val="24"/>
          <w:szCs w:val="32"/>
          <w:vertAlign w:val="superscript"/>
        </w:rPr>
        <w:t>3</w:t>
      </w:r>
      <w:r>
        <w:rPr>
          <w:rFonts w:hint="default" w:ascii="Times New Roman" w:hAnsi="Times New Roman" w:cs="Times New Roman"/>
          <w:color w:val="auto"/>
          <w:sz w:val="24"/>
          <w:szCs w:val="32"/>
        </w:rPr>
        <w:t>; SongLin Zhang</w:t>
      </w:r>
      <w:r>
        <w:rPr>
          <w:rFonts w:hint="default" w:ascii="Times New Roman" w:hAnsi="Times New Roman" w:cs="Times New Roman"/>
          <w:color w:val="auto"/>
          <w:sz w:val="24"/>
          <w:szCs w:val="32"/>
          <w:vertAlign w:val="superscript"/>
        </w:rPr>
        <w:t>1</w:t>
      </w:r>
      <w:r>
        <w:rPr>
          <w:rFonts w:hint="default" w:ascii="Times New Roman" w:hAnsi="Times New Roman" w:cs="Times New Roman"/>
          <w:color w:val="auto"/>
          <w:sz w:val="24"/>
          <w:szCs w:val="32"/>
        </w:rPr>
        <w:t>; Xiuli Yang</w:t>
      </w:r>
      <w:r>
        <w:rPr>
          <w:rFonts w:hint="default" w:ascii="Times New Roman" w:hAnsi="Times New Roman" w:cs="Times New Roman"/>
          <w:color w:val="auto"/>
          <w:sz w:val="24"/>
          <w:szCs w:val="32"/>
          <w:vertAlign w:val="superscript"/>
        </w:rPr>
        <w:t>4</w:t>
      </w:r>
      <w:r>
        <w:rPr>
          <w:rFonts w:hint="default" w:ascii="Times New Roman" w:hAnsi="Times New Roman" w:cs="Times New Roman"/>
          <w:color w:val="auto"/>
          <w:sz w:val="24"/>
          <w:szCs w:val="32"/>
        </w:rPr>
        <w:t>; Weijiao Fan</w:t>
      </w:r>
      <w:r>
        <w:rPr>
          <w:rFonts w:hint="default" w:ascii="Times New Roman" w:hAnsi="Times New Roman" w:cs="Times New Roman"/>
          <w:color w:val="auto"/>
          <w:sz w:val="24"/>
          <w:szCs w:val="32"/>
          <w:vertAlign w:val="superscript"/>
        </w:rPr>
        <w:t>5</w:t>
      </w:r>
      <w:r>
        <w:rPr>
          <w:rFonts w:hint="default" w:ascii="Times New Roman" w:hAnsi="Times New Roman" w:cs="Times New Roman"/>
          <w:color w:val="auto"/>
          <w:sz w:val="24"/>
          <w:szCs w:val="32"/>
        </w:rPr>
        <w:t>; Nan Huang</w:t>
      </w:r>
      <w:r>
        <w:rPr>
          <w:rFonts w:hint="default" w:ascii="Times New Roman" w:hAnsi="Times New Roman" w:cs="Times New Roman"/>
          <w:color w:val="auto"/>
          <w:sz w:val="24"/>
          <w:szCs w:val="32"/>
          <w:vertAlign w:val="superscript"/>
        </w:rPr>
        <w:t>6</w:t>
      </w:r>
      <w:r>
        <w:rPr>
          <w:rFonts w:hint="default" w:ascii="Times New Roman" w:hAnsi="Times New Roman" w:cs="Times New Roman"/>
          <w:color w:val="auto"/>
          <w:sz w:val="24"/>
          <w:szCs w:val="32"/>
        </w:rPr>
        <w:t>; Miaomiao Du</w:t>
      </w:r>
      <w:r>
        <w:rPr>
          <w:rFonts w:hint="default" w:ascii="Times New Roman" w:hAnsi="Times New Roman" w:cs="Times New Roman"/>
          <w:color w:val="auto"/>
          <w:sz w:val="24"/>
          <w:szCs w:val="32"/>
          <w:vertAlign w:val="superscript"/>
        </w:rPr>
        <w:t>2</w:t>
      </w:r>
      <w:r>
        <w:rPr>
          <w:rFonts w:hint="default" w:ascii="Times New Roman" w:hAnsi="Times New Roman" w:cs="Times New Roman"/>
          <w:color w:val="auto"/>
          <w:sz w:val="24"/>
          <w:szCs w:val="32"/>
        </w:rPr>
        <w:t>; Linjie Chen</w:t>
      </w:r>
      <w:r>
        <w:rPr>
          <w:rFonts w:hint="default" w:ascii="Times New Roman" w:hAnsi="Times New Roman" w:cs="Times New Roman"/>
          <w:color w:val="auto"/>
          <w:sz w:val="24"/>
          <w:szCs w:val="32"/>
          <w:vertAlign w:val="superscript"/>
        </w:rPr>
        <w:t>2*</w:t>
      </w:r>
      <w:r>
        <w:rPr>
          <w:rFonts w:hint="default" w:ascii="Times New Roman" w:hAnsi="Times New Roman" w:cs="Times New Roman"/>
          <w:color w:val="auto"/>
          <w:sz w:val="24"/>
          <w:szCs w:val="32"/>
        </w:rPr>
        <w:t>; Leixiang Yang</w:t>
      </w:r>
      <w:r>
        <w:rPr>
          <w:rFonts w:hint="default" w:ascii="Times New Roman" w:hAnsi="Times New Roman" w:cs="Times New Roman"/>
          <w:color w:val="auto"/>
          <w:sz w:val="24"/>
          <w:szCs w:val="32"/>
          <w:vertAlign w:val="superscript"/>
        </w:rPr>
        <w:t>1,2*</w:t>
      </w:r>
    </w:p>
    <w:p w14:paraId="7BCACC6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vertAlign w:val="superscript"/>
        </w:rPr>
      </w:pPr>
    </w:p>
    <w:p w14:paraId="2E0F8B4B">
      <w:pPr>
        <w:pStyle w:val="6"/>
        <w:keepNext w:val="0"/>
        <w:keepLines w:val="0"/>
        <w:pageBreakBefore w:val="0"/>
        <w:widowControl w:val="0"/>
        <w:numPr>
          <w:ilvl w:val="0"/>
          <w:numId w:val="1"/>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Cancer Center, Department of Genetic and Genomic Medicine, Zhejiang Provincial People's Hospital (Affiliated People's Hospital), Hangzhou Medical College, Hangzhou, Zhejiang, China.</w:t>
      </w:r>
    </w:p>
    <w:p w14:paraId="255F7F02">
      <w:pPr>
        <w:pStyle w:val="6"/>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Department of Clinical Laboratory and Bioengineering, Hangzhou Medical College, Hangzhou, China.</w:t>
      </w:r>
    </w:p>
    <w:p w14:paraId="5B98437F">
      <w:pPr>
        <w:pStyle w:val="6"/>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The Key Laboratory of Tumor Molecular Diagnosis and Individualized Medicine of Zhejiang Province, Zhejiang Provincial People's Hospital (Affiliated People's Hospital), Hangzhou Medical College, Hangzhou, China.</w:t>
      </w:r>
    </w:p>
    <w:p w14:paraId="7B623BD2">
      <w:pPr>
        <w:pStyle w:val="6"/>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Center for Clinical Pharmacy, Cancer Center, Department of Pharmacy, Zhejiang Provincial People's Hospital (Affiliated People's Hospital), Hangzhou Medical College, Hangzhou, China</w:t>
      </w:r>
    </w:p>
    <w:p w14:paraId="029DDB95">
      <w:pPr>
        <w:pStyle w:val="6"/>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Clinical Research Institute, Key Laboratory of Tumor Molecular Diagnosis and Individualized Medicine of Zhejiang Province, Zhejiang Provincial People's Hospital (Affiliated People's Hospital), Hangzhou Medical College, Hangzhou, China</w:t>
      </w:r>
    </w:p>
    <w:p w14:paraId="7CFD9301">
      <w:pPr>
        <w:pStyle w:val="6"/>
        <w:keepNext w:val="0"/>
        <w:keepLines w:val="0"/>
        <w:pageBreakBefore w:val="0"/>
        <w:widowControl w:val="0"/>
        <w:numPr>
          <w:ilvl w:val="0"/>
          <w:numId w:val="2"/>
        </w:numPr>
        <w:kinsoku/>
        <w:wordWrap/>
        <w:overflowPunct/>
        <w:topLinePunct w:val="0"/>
        <w:autoSpaceDE/>
        <w:autoSpaceDN/>
        <w:bidi w:val="0"/>
        <w:adjustRightInd/>
        <w:snapToGrid/>
        <w:ind w:left="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Department of Clinical Laboratory, Li’an People's Hospital (Affiliated People's Hospital), Hangzhou Medical College, Hangzhou, Zhejiang, China.</w:t>
      </w:r>
    </w:p>
    <w:p w14:paraId="26FD903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vertAlign w:val="superscript"/>
        </w:rPr>
      </w:pPr>
    </w:p>
    <w:p w14:paraId="689177E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vertAlign w:val="superscript"/>
        </w:rPr>
      </w:pPr>
      <w:r>
        <w:rPr>
          <w:rFonts w:hint="default" w:ascii="Times New Roman" w:hAnsi="Times New Roman" w:cs="Times New Roman"/>
          <w:color w:val="auto"/>
          <w:sz w:val="24"/>
          <w:szCs w:val="32"/>
          <w:vertAlign w:val="superscript"/>
        </w:rPr>
        <w:t>#</w:t>
      </w:r>
      <w:r>
        <w:rPr>
          <w:rFonts w:hint="default" w:ascii="Times New Roman" w:hAnsi="Times New Roman" w:cs="Times New Roman"/>
          <w:color w:val="auto"/>
          <w:sz w:val="24"/>
          <w:szCs w:val="32"/>
        </w:rPr>
        <w:t xml:space="preserve">These authors contributed equally to this work.  </w:t>
      </w:r>
    </w:p>
    <w:p w14:paraId="2FB1931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 xml:space="preserve">*Address correspondence to </w:t>
      </w: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"mailto:yangleixiang@hmc.edu.cn" </w:instrText>
      </w:r>
      <w:r>
        <w:rPr>
          <w:rFonts w:hint="default" w:ascii="Times New Roman" w:hAnsi="Times New Roman" w:cs="Times New Roman"/>
          <w:color w:val="auto"/>
          <w:sz w:val="24"/>
          <w:szCs w:val="32"/>
        </w:rPr>
        <w:fldChar w:fldCharType="separate"/>
      </w:r>
      <w:r>
        <w:rPr>
          <w:rStyle w:val="5"/>
          <w:rFonts w:hint="default" w:ascii="Times New Roman" w:hAnsi="Times New Roman" w:cs="Times New Roman"/>
          <w:color w:val="auto"/>
          <w:sz w:val="24"/>
          <w:szCs w:val="32"/>
        </w:rPr>
        <w:t>yangleixiang@hmc.edu.cn</w:t>
      </w:r>
      <w:r>
        <w:rPr>
          <w:rStyle w:val="5"/>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rPr>
        <w:t xml:space="preserve"> ; chenlinjie@hmc.edu.cn.</w:t>
      </w:r>
    </w:p>
    <w:p w14:paraId="4A63A4D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p>
    <w:p w14:paraId="6BB829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Corresponding Authors</w:t>
      </w:r>
    </w:p>
    <w:p w14:paraId="131AC39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b/>
          <w:bCs/>
          <w:color w:val="auto"/>
          <w:sz w:val="24"/>
          <w:szCs w:val="32"/>
        </w:rPr>
        <w:t>Leixiang Yang</w:t>
      </w:r>
      <w:r>
        <w:rPr>
          <w:rFonts w:hint="default" w:ascii="Times New Roman" w:hAnsi="Times New Roman" w:cs="Times New Roman"/>
          <w:color w:val="auto"/>
          <w:sz w:val="24"/>
          <w:szCs w:val="32"/>
        </w:rPr>
        <w:t xml:space="preserve">, Department of Genetic and Genomic Medicine, Zhejiang Provincial People’s Hospital, No. 158, Shangtang Road, Gongshu District, Hangzhou, Zhejiang, 310014, China. </w:t>
      </w: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"mailto:yangleixiang@hmc.edu.cn" </w:instrText>
      </w:r>
      <w:r>
        <w:rPr>
          <w:rFonts w:hint="default" w:ascii="Times New Roman" w:hAnsi="Times New Roman" w:cs="Times New Roman"/>
          <w:color w:val="auto"/>
          <w:sz w:val="24"/>
          <w:szCs w:val="32"/>
        </w:rPr>
        <w:fldChar w:fldCharType="separate"/>
      </w:r>
      <w:r>
        <w:rPr>
          <w:rStyle w:val="5"/>
          <w:rFonts w:hint="default" w:ascii="Times New Roman" w:hAnsi="Times New Roman" w:cs="Times New Roman"/>
          <w:color w:val="auto"/>
          <w:sz w:val="24"/>
          <w:szCs w:val="32"/>
        </w:rPr>
        <w:t>yangleixiang@hmc.edu.cn</w:t>
      </w:r>
      <w:r>
        <w:rPr>
          <w:rStyle w:val="5"/>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rPr>
        <w:t xml:space="preserve">. </w:t>
      </w:r>
    </w:p>
    <w:p w14:paraId="04CF701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b/>
          <w:bCs/>
          <w:color w:val="auto"/>
          <w:sz w:val="24"/>
          <w:szCs w:val="32"/>
        </w:rPr>
        <w:t>Linjie Chen</w:t>
      </w:r>
      <w:r>
        <w:rPr>
          <w:rFonts w:hint="default" w:ascii="Times New Roman" w:hAnsi="Times New Roman" w:cs="Times New Roman"/>
          <w:color w:val="auto"/>
          <w:sz w:val="24"/>
          <w:szCs w:val="32"/>
        </w:rPr>
        <w:t>, Department of Clinical Laboratory and Bioengineering, Hangzhou Medical College, No.8, Yikang ST, Lin’an District, Hangzhou, Zhejiang, 311399, China. chenlinjie@hmc.edu.cn.</w:t>
      </w:r>
    </w:p>
    <w:p w14:paraId="798A4DF6">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2A17F06">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 xml:space="preserve">Supplementary </w:t>
      </w:r>
      <w:r>
        <w:rPr>
          <w:rFonts w:hint="eastAsia" w:ascii="Times New Roman" w:hAnsi="Times New Roman" w:cs="Times New Roman"/>
          <w:b/>
          <w:bCs/>
          <w:sz w:val="24"/>
          <w:szCs w:val="32"/>
          <w:lang w:val="en-US" w:eastAsia="zh-CN"/>
        </w:rPr>
        <w:t>Information</w:t>
      </w:r>
    </w:p>
    <w:p w14:paraId="07E52705">
      <w:pPr>
        <w:jc w:val="center"/>
        <w:rPr>
          <w:rFonts w:hint="default" w:ascii="Times New Roman" w:hAnsi="Times New Roman" w:cs="Times New Roman"/>
          <w:lang w:val="en-US" w:eastAsia="zh-CN"/>
        </w:rPr>
      </w:pPr>
    </w:p>
    <w:p w14:paraId="2B4C0A91">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lang w:val="en-US" w:eastAsia="zh-CN"/>
        </w:rPr>
      </w:pPr>
      <w:r>
        <w:rPr>
          <w:rFonts w:hint="default" w:ascii="Times New Roman" w:hAnsi="Times New Roman" w:cs="Times New Roman"/>
          <w:lang w:val="en-US" w:eastAsia="zh-CN"/>
        </w:rPr>
        <w:t>Table</w:t>
      </w:r>
      <w:r>
        <w:rPr>
          <w:rFonts w:hint="default" w:ascii="Times New Roman" w:hAnsi="Times New Roman" w:cs="Times New Roman"/>
        </w:rPr>
        <w:t xml:space="preserve"> </w:t>
      </w:r>
      <w:r>
        <w:rPr>
          <w:rFonts w:hint="eastAsia" w:ascii="Times New Roman" w:hAnsi="Times New Roman" w:cs="Times New Roman"/>
          <w:lang w:val="en-US" w:eastAsia="zh-CN"/>
        </w:rPr>
        <w:t>S</w:t>
      </w:r>
      <w:r>
        <w:rPr>
          <w:rFonts w:hint="default" w:ascii="Times New Roman" w:hAnsi="Times New Roman" w:cs="Times New Roman"/>
        </w:rPr>
        <w:fldChar w:fldCharType="begin"/>
      </w:r>
      <w:r>
        <w:rPr>
          <w:rFonts w:hint="default" w:ascii="Times New Roman" w:hAnsi="Times New Roman" w:cs="Times New Roman"/>
        </w:rPr>
        <w:instrText xml:space="preserve"> SEQ 表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P</w:t>
      </w:r>
      <w:r>
        <w:rPr>
          <w:rFonts w:hint="default" w:ascii="Times New Roman" w:hAnsi="Times New Roman" w:cs="Times New Roman"/>
          <w:lang w:val="en-US" w:eastAsia="zh-CN"/>
        </w:rPr>
        <w:t>rimer</w:t>
      </w:r>
      <w:r>
        <w:rPr>
          <w:rFonts w:hint="eastAsia" w:ascii="Times New Roman" w:hAnsi="Times New Roman" w:cs="Times New Roman"/>
          <w:lang w:val="en-US" w:eastAsia="zh-CN"/>
        </w:rPr>
        <w:t xml:space="preserve"> sequences</w:t>
      </w:r>
      <w:bookmarkStart w:id="0" w:name="_GoBack"/>
      <w:bookmarkEnd w:id="0"/>
      <w:r>
        <w:rPr>
          <w:rFonts w:hint="default" w:ascii="Times New Roman" w:hAnsi="Times New Roman" w:cs="Times New Roman"/>
          <w:lang w:val="en-US" w:eastAsia="zh-CN"/>
        </w:rPr>
        <w:t xml:space="preserve"> used in the manuscript</w:t>
      </w:r>
    </w:p>
    <w:tbl>
      <w:tblPr>
        <w:tblStyle w:val="3"/>
        <w:tblpPr w:leftFromText="180" w:rightFromText="180" w:vertAnchor="text" w:horzAnchor="page" w:tblpX="1525" w:tblpY="305"/>
        <w:tblOverlap w:val="never"/>
        <w:tblW w:w="90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7"/>
        <w:gridCol w:w="3853"/>
        <w:gridCol w:w="3908"/>
      </w:tblGrid>
      <w:tr w14:paraId="089BC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1247" w:type="dxa"/>
            <w:tcBorders>
              <w:top w:val="single" w:color="auto" w:sz="6" w:space="0"/>
              <w:left w:val="nil"/>
              <w:bottom w:val="single" w:color="auto" w:sz="6" w:space="0"/>
              <w:right w:val="nil"/>
              <w:tl2br w:val="nil"/>
              <w:tr2bl w:val="nil"/>
            </w:tcBorders>
            <w:noWrap w:val="0"/>
            <w:vAlign w:val="top"/>
          </w:tcPr>
          <w:p w14:paraId="159DCCD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Primers</w:t>
            </w:r>
          </w:p>
        </w:tc>
        <w:tc>
          <w:tcPr>
            <w:tcW w:w="3853" w:type="dxa"/>
            <w:tcBorders>
              <w:top w:val="single" w:color="auto" w:sz="6" w:space="0"/>
              <w:left w:val="nil"/>
              <w:bottom w:val="single" w:color="auto" w:sz="6" w:space="0"/>
              <w:right w:val="nil"/>
              <w:tl2br w:val="nil"/>
              <w:tr2bl w:val="nil"/>
            </w:tcBorders>
            <w:noWrap w:val="0"/>
            <w:vAlign w:val="top"/>
          </w:tcPr>
          <w:p w14:paraId="52F242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Forward (5'-3')</w:t>
            </w:r>
          </w:p>
        </w:tc>
        <w:tc>
          <w:tcPr>
            <w:tcW w:w="3908" w:type="dxa"/>
            <w:tcBorders>
              <w:top w:val="single" w:color="auto" w:sz="6" w:space="0"/>
              <w:left w:val="nil"/>
              <w:bottom w:val="single" w:color="auto" w:sz="6" w:space="0"/>
              <w:right w:val="nil"/>
              <w:tl2br w:val="nil"/>
              <w:tr2bl w:val="nil"/>
            </w:tcBorders>
            <w:noWrap w:val="0"/>
            <w:vAlign w:val="top"/>
          </w:tcPr>
          <w:p w14:paraId="71BCBE0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Reverse (5'-3')</w:t>
            </w:r>
          </w:p>
        </w:tc>
      </w:tr>
      <w:tr w14:paraId="49FA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247" w:type="dxa"/>
            <w:tcBorders>
              <w:top w:val="nil"/>
              <w:left w:val="nil"/>
              <w:bottom w:val="nil"/>
              <w:right w:val="nil"/>
              <w:tl2br w:val="nil"/>
              <w:tr2bl w:val="nil"/>
            </w:tcBorders>
            <w:noWrap w:val="0"/>
            <w:vAlign w:val="top"/>
          </w:tcPr>
          <w:p w14:paraId="792E202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Bcl2</w:t>
            </w:r>
          </w:p>
        </w:tc>
        <w:tc>
          <w:tcPr>
            <w:tcW w:w="3853" w:type="dxa"/>
            <w:tcBorders>
              <w:top w:val="nil"/>
              <w:left w:val="nil"/>
              <w:bottom w:val="nil"/>
              <w:right w:val="nil"/>
              <w:tl2br w:val="nil"/>
              <w:tr2bl w:val="nil"/>
            </w:tcBorders>
            <w:noWrap w:val="0"/>
            <w:vAlign w:val="top"/>
          </w:tcPr>
          <w:p w14:paraId="7D6103B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GTGGTGGAGGAGCTCTTCAG</w:t>
            </w:r>
          </w:p>
        </w:tc>
        <w:tc>
          <w:tcPr>
            <w:tcW w:w="3908" w:type="dxa"/>
            <w:tcBorders>
              <w:top w:val="nil"/>
              <w:left w:val="nil"/>
              <w:bottom w:val="nil"/>
              <w:right w:val="nil"/>
              <w:tl2br w:val="nil"/>
              <w:tr2bl w:val="nil"/>
            </w:tcBorders>
            <w:noWrap w:val="0"/>
            <w:vAlign w:val="top"/>
          </w:tcPr>
          <w:p w14:paraId="1A05F13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ACAGTTCCACAAAGGCATCC</w:t>
            </w:r>
          </w:p>
        </w:tc>
      </w:tr>
      <w:tr w14:paraId="73C5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247" w:type="dxa"/>
            <w:tcBorders>
              <w:top w:val="nil"/>
              <w:left w:val="nil"/>
              <w:bottom w:val="nil"/>
              <w:right w:val="nil"/>
              <w:tl2br w:val="nil"/>
              <w:tr2bl w:val="nil"/>
            </w:tcBorders>
            <w:noWrap w:val="0"/>
            <w:vAlign w:val="top"/>
          </w:tcPr>
          <w:p w14:paraId="15C3491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Bcl-xL</w:t>
            </w:r>
          </w:p>
        </w:tc>
        <w:tc>
          <w:tcPr>
            <w:tcW w:w="3853" w:type="dxa"/>
            <w:tcBorders>
              <w:top w:val="nil"/>
              <w:left w:val="nil"/>
              <w:bottom w:val="nil"/>
              <w:right w:val="nil"/>
              <w:tl2br w:val="nil"/>
              <w:tr2bl w:val="nil"/>
            </w:tcBorders>
            <w:noWrap w:val="0"/>
            <w:vAlign w:val="top"/>
          </w:tcPr>
          <w:p w14:paraId="3D96E72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GTAAACTGGGGTCGCATTGT</w:t>
            </w:r>
          </w:p>
        </w:tc>
        <w:tc>
          <w:tcPr>
            <w:tcW w:w="3908" w:type="dxa"/>
            <w:tcBorders>
              <w:top w:val="nil"/>
              <w:left w:val="nil"/>
              <w:bottom w:val="nil"/>
              <w:right w:val="nil"/>
              <w:tl2br w:val="nil"/>
              <w:tr2bl w:val="nil"/>
            </w:tcBorders>
            <w:noWrap w:val="0"/>
            <w:vAlign w:val="top"/>
          </w:tcPr>
          <w:p w14:paraId="62907D1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TGCTGCATTGTTCCCATAGA</w:t>
            </w:r>
          </w:p>
        </w:tc>
      </w:tr>
      <w:tr w14:paraId="4B15C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247" w:type="dxa"/>
            <w:tcBorders>
              <w:top w:val="nil"/>
              <w:left w:val="nil"/>
              <w:bottom w:val="nil"/>
              <w:right w:val="nil"/>
              <w:tl2br w:val="nil"/>
              <w:tr2bl w:val="nil"/>
            </w:tcBorders>
            <w:noWrap w:val="0"/>
            <w:vAlign w:val="top"/>
          </w:tcPr>
          <w:p w14:paraId="4E770D5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p27</w:t>
            </w:r>
          </w:p>
        </w:tc>
        <w:tc>
          <w:tcPr>
            <w:tcW w:w="3853" w:type="dxa"/>
            <w:tcBorders>
              <w:top w:val="nil"/>
              <w:left w:val="nil"/>
              <w:bottom w:val="nil"/>
              <w:right w:val="nil"/>
              <w:tl2br w:val="nil"/>
              <w:tr2bl w:val="nil"/>
            </w:tcBorders>
            <w:noWrap w:val="0"/>
            <w:vAlign w:val="top"/>
          </w:tcPr>
          <w:p w14:paraId="4780ADC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ATGTCAAACGTGCGAGTGTC</w:t>
            </w:r>
          </w:p>
        </w:tc>
        <w:tc>
          <w:tcPr>
            <w:tcW w:w="3908" w:type="dxa"/>
            <w:tcBorders>
              <w:top w:val="nil"/>
              <w:left w:val="nil"/>
              <w:bottom w:val="nil"/>
              <w:right w:val="nil"/>
              <w:tl2br w:val="nil"/>
              <w:tr2bl w:val="nil"/>
            </w:tcBorders>
            <w:noWrap w:val="0"/>
            <w:vAlign w:val="top"/>
          </w:tcPr>
          <w:p w14:paraId="6776279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TCTCTGCAGTGCTTCTCCAA</w:t>
            </w:r>
          </w:p>
        </w:tc>
      </w:tr>
      <w:tr w14:paraId="49DA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247" w:type="dxa"/>
            <w:tcBorders>
              <w:top w:val="nil"/>
              <w:left w:val="nil"/>
              <w:bottom w:val="nil"/>
              <w:right w:val="nil"/>
              <w:tl2br w:val="nil"/>
              <w:tr2bl w:val="nil"/>
            </w:tcBorders>
            <w:noWrap w:val="0"/>
            <w:vAlign w:val="top"/>
          </w:tcPr>
          <w:p w14:paraId="63BC279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Bcl-xL shRNA1</w:t>
            </w:r>
          </w:p>
        </w:tc>
        <w:tc>
          <w:tcPr>
            <w:tcW w:w="3853" w:type="dxa"/>
            <w:tcBorders>
              <w:top w:val="nil"/>
              <w:left w:val="nil"/>
              <w:bottom w:val="nil"/>
              <w:right w:val="nil"/>
              <w:tl2br w:val="nil"/>
              <w:tr2bl w:val="nil"/>
            </w:tcBorders>
            <w:noWrap w:val="0"/>
            <w:vAlign w:val="top"/>
          </w:tcPr>
          <w:p w14:paraId="326B8FC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CCGGGCTCACTCTTCAGTCGGAAATCTCGAGATTTCCGACTGAAGAGTGAGCTTTTTG</w:t>
            </w:r>
          </w:p>
        </w:tc>
        <w:tc>
          <w:tcPr>
            <w:tcW w:w="3908" w:type="dxa"/>
            <w:tcBorders>
              <w:top w:val="nil"/>
              <w:left w:val="nil"/>
              <w:bottom w:val="nil"/>
              <w:right w:val="nil"/>
              <w:tl2br w:val="nil"/>
              <w:tr2bl w:val="nil"/>
            </w:tcBorders>
            <w:noWrap w:val="0"/>
            <w:vAlign w:val="top"/>
          </w:tcPr>
          <w:p w14:paraId="0741E3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AATTCAAAAAGCTCACTCTTCAGTCGGAAATCTCGAGATTTCCGACTGAAGAGTGAGC </w:t>
            </w:r>
          </w:p>
        </w:tc>
      </w:tr>
      <w:tr w14:paraId="7D7E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247" w:type="dxa"/>
            <w:tcBorders>
              <w:top w:val="nil"/>
              <w:left w:val="nil"/>
              <w:bottom w:val="nil"/>
              <w:right w:val="nil"/>
              <w:tl2br w:val="nil"/>
              <w:tr2bl w:val="nil"/>
            </w:tcBorders>
            <w:noWrap w:val="0"/>
            <w:vAlign w:val="top"/>
          </w:tcPr>
          <w:p w14:paraId="5B417F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Bcl-xL shRNA2</w:t>
            </w:r>
          </w:p>
        </w:tc>
        <w:tc>
          <w:tcPr>
            <w:tcW w:w="3853" w:type="dxa"/>
            <w:tcBorders>
              <w:top w:val="nil"/>
              <w:left w:val="nil"/>
              <w:bottom w:val="nil"/>
              <w:right w:val="nil"/>
              <w:tl2br w:val="nil"/>
              <w:tr2bl w:val="nil"/>
            </w:tcBorders>
            <w:noWrap w:val="0"/>
            <w:vAlign w:val="top"/>
          </w:tcPr>
          <w:p w14:paraId="1A819BA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CCGGGTGGAACTCTATGGGAACAATCTCGAGATTGTTCCCATAGAGTTCCACTTTTTG</w:t>
            </w:r>
          </w:p>
        </w:tc>
        <w:tc>
          <w:tcPr>
            <w:tcW w:w="3908" w:type="dxa"/>
            <w:tcBorders>
              <w:top w:val="nil"/>
              <w:left w:val="nil"/>
              <w:bottom w:val="nil"/>
              <w:right w:val="nil"/>
              <w:tl2br w:val="nil"/>
              <w:tr2bl w:val="nil"/>
            </w:tcBorders>
            <w:noWrap w:val="0"/>
            <w:vAlign w:val="top"/>
          </w:tcPr>
          <w:p w14:paraId="46B83C8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AATTCAAAAAGTGGAACTCTATGGGAACAATCTCGAGATTGTTCCCATAGAGTTCCAC</w:t>
            </w:r>
          </w:p>
        </w:tc>
      </w:tr>
      <w:tr w14:paraId="42FED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247" w:type="dxa"/>
            <w:tcBorders>
              <w:top w:val="nil"/>
              <w:left w:val="nil"/>
              <w:bottom w:val="nil"/>
              <w:right w:val="nil"/>
              <w:tl2br w:val="nil"/>
              <w:tr2bl w:val="nil"/>
            </w:tcBorders>
            <w:noWrap w:val="0"/>
            <w:vAlign w:val="top"/>
          </w:tcPr>
          <w:p w14:paraId="2F96AAF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Bcl-xL shRNA3</w:t>
            </w:r>
          </w:p>
        </w:tc>
        <w:tc>
          <w:tcPr>
            <w:tcW w:w="3853" w:type="dxa"/>
            <w:tcBorders>
              <w:top w:val="nil"/>
              <w:left w:val="nil"/>
              <w:bottom w:val="nil"/>
              <w:right w:val="nil"/>
              <w:tl2br w:val="nil"/>
              <w:tr2bl w:val="nil"/>
            </w:tcBorders>
            <w:noWrap w:val="0"/>
            <w:vAlign w:val="top"/>
          </w:tcPr>
          <w:p w14:paraId="152488C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CCGGGTTTAGTGATGTGGAAGAGAACTCGAGTTCTCTTCCACATCACTAAACTTTTTG</w:t>
            </w:r>
          </w:p>
        </w:tc>
        <w:tc>
          <w:tcPr>
            <w:tcW w:w="3908" w:type="dxa"/>
            <w:tcBorders>
              <w:top w:val="nil"/>
              <w:left w:val="nil"/>
              <w:bottom w:val="nil"/>
              <w:right w:val="nil"/>
              <w:tl2br w:val="nil"/>
              <w:tr2bl w:val="nil"/>
            </w:tcBorders>
            <w:noWrap w:val="0"/>
            <w:vAlign w:val="top"/>
          </w:tcPr>
          <w:p w14:paraId="36FB6D8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AATTCAAAAAGTTTAGTGATGTGGAAGAGAACTCGAGTTCTCTTCCACATCACTAAAC</w:t>
            </w:r>
          </w:p>
        </w:tc>
      </w:tr>
      <w:tr w14:paraId="5DC4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247" w:type="dxa"/>
            <w:tcBorders>
              <w:top w:val="nil"/>
              <w:left w:val="nil"/>
              <w:bottom w:val="nil"/>
              <w:right w:val="nil"/>
              <w:tl2br w:val="nil"/>
              <w:tr2bl w:val="nil"/>
            </w:tcBorders>
            <w:noWrap w:val="0"/>
            <w:vAlign w:val="top"/>
          </w:tcPr>
          <w:p w14:paraId="7A773E7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Bcl2 shRNA1</w:t>
            </w:r>
          </w:p>
        </w:tc>
        <w:tc>
          <w:tcPr>
            <w:tcW w:w="3853" w:type="dxa"/>
            <w:tcBorders>
              <w:top w:val="nil"/>
              <w:left w:val="nil"/>
              <w:bottom w:val="nil"/>
              <w:right w:val="nil"/>
              <w:tl2br w:val="nil"/>
              <w:tr2bl w:val="nil"/>
            </w:tcBorders>
            <w:noWrap w:val="0"/>
            <w:vAlign w:val="top"/>
          </w:tcPr>
          <w:p w14:paraId="76CCEE1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CCGGTGGATGACTGAGTACCTGAACCTCGAGGTTCAGGTACTCAGTCATCCATTTTTG</w:t>
            </w:r>
          </w:p>
        </w:tc>
        <w:tc>
          <w:tcPr>
            <w:tcW w:w="3908" w:type="dxa"/>
            <w:tcBorders>
              <w:top w:val="nil"/>
              <w:left w:val="nil"/>
              <w:bottom w:val="nil"/>
              <w:right w:val="nil"/>
              <w:tl2br w:val="nil"/>
              <w:tr2bl w:val="nil"/>
            </w:tcBorders>
            <w:noWrap w:val="0"/>
            <w:vAlign w:val="top"/>
          </w:tcPr>
          <w:p w14:paraId="41214C9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AATTCAAAAATGGATGACTGAGTACCTGAACCTCGAGGTTCAGGTACTCAGTCATCCA</w:t>
            </w:r>
          </w:p>
        </w:tc>
      </w:tr>
      <w:tr w14:paraId="0F4F3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1247" w:type="dxa"/>
            <w:tcBorders>
              <w:top w:val="nil"/>
              <w:left w:val="nil"/>
              <w:bottom w:val="nil"/>
              <w:right w:val="nil"/>
              <w:tl2br w:val="nil"/>
              <w:tr2bl w:val="nil"/>
            </w:tcBorders>
            <w:noWrap w:val="0"/>
            <w:vAlign w:val="top"/>
          </w:tcPr>
          <w:p w14:paraId="7C4FC67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Bcl2 shRNA2</w:t>
            </w:r>
          </w:p>
        </w:tc>
        <w:tc>
          <w:tcPr>
            <w:tcW w:w="3853" w:type="dxa"/>
            <w:tcBorders>
              <w:top w:val="nil"/>
              <w:left w:val="nil"/>
              <w:bottom w:val="nil"/>
              <w:right w:val="nil"/>
              <w:tl2br w:val="nil"/>
              <w:tr2bl w:val="nil"/>
            </w:tcBorders>
            <w:noWrap w:val="0"/>
            <w:vAlign w:val="top"/>
          </w:tcPr>
          <w:p w14:paraId="2892D80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CCGGGTGATGAAGTACATCCATTATCTCGAGATAATGGATGTACTTCATCACTTTTTG</w:t>
            </w:r>
          </w:p>
        </w:tc>
        <w:tc>
          <w:tcPr>
            <w:tcW w:w="3908" w:type="dxa"/>
            <w:tcBorders>
              <w:top w:val="nil"/>
              <w:left w:val="nil"/>
              <w:bottom w:val="nil"/>
              <w:right w:val="nil"/>
              <w:tl2br w:val="nil"/>
              <w:tr2bl w:val="nil"/>
            </w:tcBorders>
            <w:noWrap w:val="0"/>
            <w:vAlign w:val="top"/>
          </w:tcPr>
          <w:p w14:paraId="234C0D0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AATTCAAAAAGTGATGAAGTACATCCATTAT</w:t>
            </w:r>
          </w:p>
          <w:p w14:paraId="2C03D76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CTCGAG ATAATGGATGTACTTCATCAC</w:t>
            </w:r>
          </w:p>
        </w:tc>
      </w:tr>
      <w:tr w14:paraId="1211E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247" w:type="dxa"/>
            <w:tcBorders>
              <w:top w:val="nil"/>
              <w:left w:val="nil"/>
              <w:bottom w:val="nil"/>
              <w:right w:val="nil"/>
              <w:tl2br w:val="nil"/>
              <w:tr2bl w:val="nil"/>
            </w:tcBorders>
            <w:noWrap w:val="0"/>
            <w:vAlign w:val="top"/>
          </w:tcPr>
          <w:p w14:paraId="2E708DA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Bcl2 shRNA3</w:t>
            </w:r>
          </w:p>
        </w:tc>
        <w:tc>
          <w:tcPr>
            <w:tcW w:w="3853" w:type="dxa"/>
            <w:tcBorders>
              <w:top w:val="nil"/>
              <w:left w:val="nil"/>
              <w:bottom w:val="nil"/>
              <w:right w:val="nil"/>
              <w:tl2br w:val="nil"/>
              <w:tr2bl w:val="nil"/>
            </w:tcBorders>
            <w:noWrap w:val="0"/>
            <w:vAlign w:val="top"/>
          </w:tcPr>
          <w:p w14:paraId="6C584A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CCGGCCGGGAGATAGTGATGAAGTACTCGAG TACTTCATCACTATCTCCCGGTTTTTG</w:t>
            </w:r>
          </w:p>
        </w:tc>
        <w:tc>
          <w:tcPr>
            <w:tcW w:w="3908" w:type="dxa"/>
            <w:tcBorders>
              <w:top w:val="nil"/>
              <w:left w:val="nil"/>
              <w:bottom w:val="nil"/>
              <w:right w:val="nil"/>
              <w:tl2br w:val="nil"/>
              <w:tr2bl w:val="nil"/>
            </w:tcBorders>
            <w:noWrap w:val="0"/>
            <w:vAlign w:val="top"/>
          </w:tcPr>
          <w:p w14:paraId="7A485DF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AATTCAAAAACCGGGAGATAGTGATGAAGTACTCGAG TACTTCATCACTATCTCCCGG</w:t>
            </w:r>
          </w:p>
        </w:tc>
      </w:tr>
      <w:tr w14:paraId="4231A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1247" w:type="dxa"/>
            <w:tcBorders>
              <w:top w:val="nil"/>
              <w:left w:val="nil"/>
              <w:bottom w:val="single" w:color="auto" w:sz="6" w:space="0"/>
              <w:right w:val="nil"/>
              <w:tl2br w:val="nil"/>
              <w:tr2bl w:val="nil"/>
            </w:tcBorders>
            <w:noWrap w:val="0"/>
            <w:vAlign w:val="top"/>
          </w:tcPr>
          <w:p w14:paraId="3B6C73F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GAPDH</w:t>
            </w:r>
          </w:p>
        </w:tc>
        <w:tc>
          <w:tcPr>
            <w:tcW w:w="3853" w:type="dxa"/>
            <w:tcBorders>
              <w:top w:val="nil"/>
              <w:left w:val="nil"/>
              <w:bottom w:val="single" w:color="auto" w:sz="6" w:space="0"/>
              <w:right w:val="nil"/>
              <w:tl2br w:val="nil"/>
              <w:tr2bl w:val="nil"/>
            </w:tcBorders>
            <w:noWrap w:val="0"/>
            <w:vAlign w:val="top"/>
          </w:tcPr>
          <w:p w14:paraId="184659A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TGACAACTTTGGTATYCGTGGAAGG</w:t>
            </w:r>
          </w:p>
        </w:tc>
        <w:tc>
          <w:tcPr>
            <w:tcW w:w="3908" w:type="dxa"/>
            <w:tcBorders>
              <w:top w:val="nil"/>
              <w:left w:val="nil"/>
              <w:bottom w:val="single" w:color="auto" w:sz="6" w:space="0"/>
              <w:right w:val="nil"/>
              <w:tl2br w:val="nil"/>
              <w:tr2bl w:val="nil"/>
            </w:tcBorders>
            <w:noWrap w:val="0"/>
            <w:vAlign w:val="top"/>
          </w:tcPr>
          <w:p w14:paraId="7F7027C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18"/>
                <w:szCs w:val="18"/>
              </w:rPr>
            </w:pPr>
            <w:r>
              <w:rPr>
                <w:rFonts w:hint="default" w:ascii="Times New Roman" w:hAnsi="Times New Roman" w:cs="Times New Roman"/>
                <w:sz w:val="18"/>
                <w:szCs w:val="18"/>
              </w:rPr>
              <w:t>AGGCAGGGATGATGTTCTGGAGAG</w:t>
            </w:r>
          </w:p>
        </w:tc>
      </w:tr>
    </w:tbl>
    <w:p w14:paraId="5BF2A89A">
      <w:pPr>
        <w:rPr>
          <w:rFonts w:hint="default" w:ascii="Times New Roman" w:hAnsi="Times New Roman" w:cs="Times New Roman" w:eastAsiaTheme="minorEastAsia"/>
          <w:lang w:val="en-US" w:eastAsia="zh-CN"/>
        </w:rPr>
      </w:pPr>
      <w:r>
        <w:rPr>
          <w:rFonts w:hint="default" w:ascii="Times New Roman" w:hAnsi="Times New Roman" w:cs="Times New Roman"/>
        </w:rPr>
        <w:br w:type="page"/>
      </w:r>
      <w:r>
        <w:rPr>
          <w:rFonts w:hint="default" w:ascii="Times New Roman" w:hAnsi="Times New Roman" w:cs="Times New Roman"/>
          <w:lang w:val="en-US" w:eastAsia="zh-CN"/>
        </w:rPr>
        <w:t>Figure S1</w:t>
      </w:r>
    </w:p>
    <w:p w14:paraId="66600E16">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052695" cy="4782820"/>
            <wp:effectExtent l="0" t="0" r="0" b="0"/>
            <wp:docPr id="1" name="图片 1" descr="20241014 Figure S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1014 Figure S1_01"/>
                    <pic:cNvPicPr>
                      <a:picLocks noChangeAspect="1"/>
                    </pic:cNvPicPr>
                  </pic:nvPicPr>
                  <pic:blipFill>
                    <a:blip r:embed="rId4"/>
                    <a:srcRect l="3214" t="6517" r="640" b="36608"/>
                    <a:stretch>
                      <a:fillRect/>
                    </a:stretch>
                  </pic:blipFill>
                  <pic:spPr>
                    <a:xfrm>
                      <a:off x="0" y="0"/>
                      <a:ext cx="5052695" cy="4782820"/>
                    </a:xfrm>
                    <a:prstGeom prst="rect">
                      <a:avLst/>
                    </a:prstGeom>
                  </pic:spPr>
                </pic:pic>
              </a:graphicData>
            </a:graphic>
          </wp:inline>
        </w:drawing>
      </w:r>
    </w:p>
    <w:p w14:paraId="5983E2A8">
      <w:pPr>
        <w:rPr>
          <w:rFonts w:hint="default" w:ascii="Times New Roman" w:hAnsi="Times New Roman" w:cs="Times New Roman" w:eastAsiaTheme="minorEastAsia"/>
          <w:sz w:val="18"/>
          <w:szCs w:val="21"/>
          <w:lang w:eastAsia="zh-CN"/>
        </w:rPr>
      </w:pPr>
      <w:r>
        <w:rPr>
          <w:rFonts w:hint="default" w:ascii="Times New Roman" w:hAnsi="Times New Roman" w:cs="Times New Roman" w:eastAsiaTheme="minorEastAsia"/>
          <w:sz w:val="18"/>
          <w:szCs w:val="21"/>
          <w:lang w:eastAsia="zh-CN"/>
        </w:rPr>
        <w:t>Figure S1. Chemotherapy drugs induce cell senescence. (a) A549 cells were treated with 100 nM CX5461 for 7 days, and then cells were  stained for SA-β-galactosidase activity. (b) A549 cells were treated with DDP (5 μM), Dox (100 ng/ml), CX5461 (100, 300 nM) for indicated time, and the p53 expression was detected by WB. The first antibodies of p53 and actin were incubated together for samples treated with DDP and Dox. Original blots are presented in Supplementary Figure S</w:t>
      </w:r>
      <w:r>
        <w:rPr>
          <w:rFonts w:hint="eastAsia" w:ascii="Times New Roman" w:hAnsi="Times New Roman" w:cs="Times New Roman"/>
          <w:sz w:val="18"/>
          <w:szCs w:val="21"/>
          <w:lang w:val="en-US" w:eastAsia="zh-CN"/>
        </w:rPr>
        <w:t>14</w:t>
      </w:r>
      <w:r>
        <w:rPr>
          <w:rFonts w:hint="default" w:ascii="Times New Roman" w:hAnsi="Times New Roman" w:cs="Times New Roman" w:eastAsiaTheme="minorEastAsia"/>
          <w:sz w:val="18"/>
          <w:szCs w:val="21"/>
          <w:lang w:eastAsia="zh-CN"/>
        </w:rPr>
        <w:t>.</w:t>
      </w:r>
      <w:r>
        <w:rPr>
          <w:rFonts w:hint="eastAsia" w:ascii="Times New Roman" w:hAnsi="Times New Roman" w:cs="Times New Roman"/>
          <w:sz w:val="18"/>
          <w:szCs w:val="21"/>
          <w:lang w:val="en-US" w:eastAsia="zh-CN"/>
        </w:rPr>
        <w:t xml:space="preserve"> </w:t>
      </w:r>
      <w:r>
        <w:rPr>
          <w:rFonts w:hint="default" w:ascii="Times New Roman" w:hAnsi="Times New Roman" w:cs="Times New Roman" w:eastAsiaTheme="minorEastAsia"/>
          <w:sz w:val="18"/>
          <w:szCs w:val="21"/>
          <w:lang w:eastAsia="zh-CN"/>
        </w:rPr>
        <w:t>(c) A549 cells were treated with DDP (5 μM), or Dox (100 ng/ml) for 7 days, then the mitochondrial membrane potential was measured by fluorescein JC-1 and observed under a confocal microscope. (d) Up-regulated genes in Dox-induced senescent cells compared with the parental cells by RNA-seq and the mRNA level of IL-6 was validated by qPCR.</w:t>
      </w:r>
    </w:p>
    <w:p w14:paraId="21690BA2">
      <w:pPr>
        <w:rPr>
          <w:rFonts w:hint="eastAsia" w:ascii="Times New Roman" w:hAnsi="Times New Roman" w:cs="Times New Roman" w:eastAsiaTheme="minorEastAsia"/>
          <w:lang w:eastAsia="zh-CN"/>
        </w:rPr>
      </w:pPr>
    </w:p>
    <w:p w14:paraId="4AB51AD2">
      <w:pPr>
        <w:rPr>
          <w:rFonts w:hint="default" w:ascii="Times New Roman" w:hAnsi="Times New Roman" w:cs="Times New Roman"/>
          <w:lang w:val="en-US" w:eastAsia="zh-CN"/>
        </w:rPr>
      </w:pPr>
    </w:p>
    <w:p w14:paraId="5424BE8F">
      <w:pPr>
        <w:rPr>
          <w:rFonts w:hint="default" w:ascii="Times New Roman" w:hAnsi="Times New Roman" w:cs="Times New Roman"/>
          <w:lang w:val="en-US" w:eastAsia="zh-CN"/>
        </w:rPr>
      </w:pPr>
    </w:p>
    <w:p w14:paraId="172750D6">
      <w:pPr>
        <w:rPr>
          <w:rFonts w:hint="default" w:ascii="Times New Roman" w:hAnsi="Times New Roman" w:cs="Times New Roman"/>
          <w:lang w:val="en-US" w:eastAsia="zh-CN"/>
        </w:rPr>
      </w:pPr>
    </w:p>
    <w:p w14:paraId="3A2B0B0E">
      <w:pPr>
        <w:rPr>
          <w:rFonts w:hint="default" w:ascii="Times New Roman" w:hAnsi="Times New Roman" w:cs="Times New Roman"/>
          <w:lang w:val="en-US" w:eastAsia="zh-CN"/>
        </w:rPr>
      </w:pPr>
    </w:p>
    <w:p w14:paraId="69B47C56">
      <w:pPr>
        <w:rPr>
          <w:rFonts w:hint="default" w:ascii="Times New Roman" w:hAnsi="Times New Roman" w:cs="Times New Roman"/>
          <w:lang w:val="en-US" w:eastAsia="zh-CN"/>
        </w:rPr>
      </w:pPr>
    </w:p>
    <w:p w14:paraId="15E38F78">
      <w:pPr>
        <w:rPr>
          <w:rFonts w:hint="default" w:ascii="Times New Roman" w:hAnsi="Times New Roman" w:cs="Times New Roman"/>
          <w:lang w:val="en-US" w:eastAsia="zh-CN"/>
        </w:rPr>
      </w:pPr>
    </w:p>
    <w:p w14:paraId="63063832">
      <w:pPr>
        <w:rPr>
          <w:rFonts w:hint="default" w:ascii="Times New Roman" w:hAnsi="Times New Roman" w:cs="Times New Roman"/>
          <w:lang w:val="en-US" w:eastAsia="zh-CN"/>
        </w:rPr>
      </w:pPr>
    </w:p>
    <w:p w14:paraId="5BB5058F">
      <w:pPr>
        <w:rPr>
          <w:rFonts w:hint="default" w:ascii="Times New Roman" w:hAnsi="Times New Roman" w:cs="Times New Roman"/>
          <w:lang w:val="en-US" w:eastAsia="zh-CN"/>
        </w:rPr>
      </w:pPr>
    </w:p>
    <w:p w14:paraId="3ADB0ACF">
      <w:pPr>
        <w:rPr>
          <w:rFonts w:hint="default" w:ascii="Times New Roman" w:hAnsi="Times New Roman" w:cs="Times New Roman"/>
          <w:lang w:val="en-US" w:eastAsia="zh-CN"/>
        </w:rPr>
      </w:pPr>
    </w:p>
    <w:p w14:paraId="4BCB13BF">
      <w:pPr>
        <w:rPr>
          <w:rFonts w:hint="default" w:ascii="Times New Roman" w:hAnsi="Times New Roman" w:cs="Times New Roman"/>
          <w:lang w:val="en-US" w:eastAsia="zh-CN"/>
        </w:rPr>
      </w:pPr>
    </w:p>
    <w:p w14:paraId="0A492A09">
      <w:pPr>
        <w:rPr>
          <w:rFonts w:hint="default" w:ascii="Times New Roman" w:hAnsi="Times New Roman" w:cs="Times New Roman"/>
          <w:lang w:val="en-US" w:eastAsia="zh-CN"/>
        </w:rPr>
      </w:pPr>
      <w:r>
        <w:rPr>
          <w:rFonts w:hint="default" w:ascii="Times New Roman" w:hAnsi="Times New Roman" w:cs="Times New Roman"/>
          <w:lang w:val="en-US" w:eastAsia="zh-CN"/>
        </w:rPr>
        <w:t>Figure S</w:t>
      </w:r>
      <w:r>
        <w:rPr>
          <w:rFonts w:hint="eastAsia" w:ascii="Times New Roman" w:hAnsi="Times New Roman" w:cs="Times New Roman"/>
          <w:lang w:val="en-US" w:eastAsia="zh-CN"/>
        </w:rPr>
        <w:t>2</w:t>
      </w:r>
    </w:p>
    <w:p w14:paraId="3B303AB8">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4785" cy="3369945"/>
            <wp:effectExtent l="0" t="0" r="5715" b="8255"/>
            <wp:docPr id="6" name="图片 6" descr="20240425-Figures and Figure 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425-Figures and Figure S_01"/>
                    <pic:cNvPicPr>
                      <a:picLocks noChangeAspect="1"/>
                    </pic:cNvPicPr>
                  </pic:nvPicPr>
                  <pic:blipFill>
                    <a:blip r:embed="rId5"/>
                    <a:stretch>
                      <a:fillRect/>
                    </a:stretch>
                  </pic:blipFill>
                  <pic:spPr>
                    <a:xfrm>
                      <a:off x="0" y="0"/>
                      <a:ext cx="5264785" cy="3369945"/>
                    </a:xfrm>
                    <a:prstGeom prst="rect">
                      <a:avLst/>
                    </a:prstGeom>
                  </pic:spPr>
                </pic:pic>
              </a:graphicData>
            </a:graphic>
          </wp:inline>
        </w:drawing>
      </w:r>
    </w:p>
    <w:p w14:paraId="081EF83B">
      <w:pPr>
        <w:rPr>
          <w:rFonts w:hint="default" w:ascii="Times New Roman" w:hAnsi="Times New Roman" w:cs="Times New Roman"/>
          <w:sz w:val="18"/>
          <w:szCs w:val="18"/>
        </w:rPr>
      </w:pPr>
      <w:r>
        <w:rPr>
          <w:rFonts w:hint="default" w:ascii="Times New Roman" w:hAnsi="Times New Roman" w:cs="Times New Roman"/>
          <w:sz w:val="18"/>
          <w:szCs w:val="18"/>
        </w:rPr>
        <w:t>Figure S</w:t>
      </w:r>
      <w:r>
        <w:rPr>
          <w:rFonts w:hint="eastAsia" w:ascii="Times New Roman" w:hAnsi="Times New Roman" w:cs="Times New Roman"/>
          <w:sz w:val="18"/>
          <w:szCs w:val="18"/>
          <w:lang w:val="en-US" w:eastAsia="zh-CN"/>
        </w:rPr>
        <w:t>2</w:t>
      </w:r>
      <w:r>
        <w:rPr>
          <w:rFonts w:hint="default" w:ascii="Times New Roman" w:hAnsi="Times New Roman" w:cs="Times New Roman"/>
          <w:sz w:val="18"/>
          <w:szCs w:val="18"/>
        </w:rPr>
        <w:t xml:space="preserve">. Bcl-xL inhibition promotes senescence escape. (a-b) A549 cells were treated with 5 μM DDP (a) or 100 ng/ml Dox (b) for 7 days to induce senescence . Then cells were treated with different concentrations of  WEHI-539 for 3 days. Colony formation was detected using crystal violet until colonies were visible. (c) A549 cells were treated with 5 μM DDP for 7 days, followed by the treatment with different concentrations of ABT-737  for 3 days. Then cells were cultured in drug-free medium until colonies were visible. The colonies were stained with crystal violet. (d) A549 cells were treated with 5 μM of DDP for 7 days, followed by the treatment with different concentrations of ABT-199 for 3 days. Cell morphology was photographed under microscope and colony formation was detected by crystal violet staining. </w:t>
      </w:r>
    </w:p>
    <w:p w14:paraId="57580B8F">
      <w:pPr>
        <w:rPr>
          <w:rFonts w:hint="default" w:ascii="Times New Roman" w:hAnsi="Times New Roman" w:cs="Times New Roman"/>
          <w:sz w:val="18"/>
          <w:szCs w:val="18"/>
        </w:rPr>
      </w:pPr>
    </w:p>
    <w:p w14:paraId="72D6FBC8">
      <w:pP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Figure S3</w:t>
      </w:r>
    </w:p>
    <w:p w14:paraId="175E3856">
      <w:pPr>
        <w:jc w:val="center"/>
        <w:rPr>
          <w:rFonts w:hint="eastAsia"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drawing>
          <wp:inline distT="0" distB="0" distL="114300" distR="114300">
            <wp:extent cx="3194050" cy="2200275"/>
            <wp:effectExtent l="0" t="0" r="0" b="0"/>
            <wp:docPr id="8" name="图片 8" descr="PC3 cells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C3 cells_05(1)"/>
                    <pic:cNvPicPr>
                      <a:picLocks noChangeAspect="1"/>
                    </pic:cNvPicPr>
                  </pic:nvPicPr>
                  <pic:blipFill>
                    <a:blip r:embed="rId6"/>
                    <a:srcRect l="11538" t="13101" r="27815" b="31201"/>
                    <a:stretch>
                      <a:fillRect/>
                    </a:stretch>
                  </pic:blipFill>
                  <pic:spPr>
                    <a:xfrm>
                      <a:off x="0" y="0"/>
                      <a:ext cx="3194050" cy="2200275"/>
                    </a:xfrm>
                    <a:prstGeom prst="rect">
                      <a:avLst/>
                    </a:prstGeom>
                  </pic:spPr>
                </pic:pic>
              </a:graphicData>
            </a:graphic>
          </wp:inline>
        </w:drawing>
      </w:r>
    </w:p>
    <w:p w14:paraId="4667898A">
      <w:pPr>
        <w:numPr>
          <w:ilvl w:val="0"/>
          <w:numId w:val="0"/>
        </w:numPr>
        <w:rPr>
          <w:rFonts w:hint="default" w:ascii="Times New Roman" w:hAnsi="Times New Roman" w:cs="Times New Roman" w:eastAsiaTheme="minorEastAsia"/>
          <w:sz w:val="18"/>
          <w:szCs w:val="18"/>
          <w:lang w:val="en-US" w:eastAsia="zh-CN"/>
        </w:rPr>
      </w:pPr>
      <w:r>
        <w:rPr>
          <w:rFonts w:hint="eastAsia" w:ascii="Times New Roman" w:hAnsi="Times New Roman" w:cs="Times New Roman"/>
          <w:sz w:val="18"/>
          <w:szCs w:val="18"/>
          <w:lang w:val="en-US" w:eastAsia="zh-CN"/>
        </w:rPr>
        <w:t>Figure S3. Knockdown</w:t>
      </w:r>
      <w:r>
        <w:rPr>
          <w:rFonts w:hint="default" w:ascii="Times New Roman" w:hAnsi="Times New Roman" w:cs="Times New Roman"/>
          <w:sz w:val="18"/>
          <w:szCs w:val="18"/>
        </w:rPr>
        <w:t xml:space="preserve"> of Bcl-xL reduces p27 expression in</w:t>
      </w:r>
      <w:r>
        <w:rPr>
          <w:rFonts w:hint="eastAsia" w:ascii="Times New Roman" w:hAnsi="Times New Roman" w:cs="Times New Roman"/>
          <w:sz w:val="18"/>
          <w:szCs w:val="18"/>
          <w:lang w:val="en-US" w:eastAsia="zh-CN"/>
        </w:rPr>
        <w:t xml:space="preserve"> PC-9 cells. (a) </w:t>
      </w:r>
      <w:r>
        <w:rPr>
          <w:rFonts w:hint="eastAsia" w:ascii="Times New Roman" w:hAnsi="Times New Roman" w:cs="Times New Roman" w:eastAsiaTheme="minorEastAsia"/>
          <w:sz w:val="18"/>
          <w:szCs w:val="18"/>
          <w:lang w:eastAsia="zh-CN"/>
        </w:rPr>
        <w:t xml:space="preserve">Bcl-xL </w:t>
      </w:r>
      <w:r>
        <w:rPr>
          <w:rFonts w:hint="eastAsia" w:ascii="Times New Roman" w:hAnsi="Times New Roman" w:cs="Times New Roman"/>
          <w:sz w:val="18"/>
          <w:szCs w:val="18"/>
          <w:lang w:val="en-US" w:eastAsia="zh-CN"/>
        </w:rPr>
        <w:t xml:space="preserve">expression in </w:t>
      </w:r>
      <w:r>
        <w:rPr>
          <w:rFonts w:hint="eastAsia" w:ascii="Times New Roman" w:hAnsi="Times New Roman" w:cs="Times New Roman" w:eastAsiaTheme="minorEastAsia"/>
          <w:sz w:val="18"/>
          <w:szCs w:val="18"/>
          <w:lang w:eastAsia="zh-CN"/>
        </w:rPr>
        <w:t>Bcl-xL</w:t>
      </w:r>
      <w:r>
        <w:rPr>
          <w:rFonts w:hint="eastAsia" w:ascii="Times New Roman" w:hAnsi="Times New Roman" w:cs="Times New Roman"/>
          <w:sz w:val="18"/>
          <w:szCs w:val="18"/>
          <w:lang w:val="en-US" w:eastAsia="zh-CN"/>
        </w:rPr>
        <w:t xml:space="preserve"> shRNA treated PC9 cells.</w:t>
      </w:r>
      <w:r>
        <w:rPr>
          <w:rFonts w:hint="eastAsia" w:ascii="Times New Roman" w:hAnsi="Times New Roman" w:cs="Times New Roman" w:eastAsiaTheme="minorEastAsia"/>
          <w:sz w:val="18"/>
          <w:szCs w:val="18"/>
          <w:lang w:eastAsia="zh-CN"/>
        </w:rPr>
        <w:t xml:space="preserve"> (</w:t>
      </w:r>
      <w:r>
        <w:rPr>
          <w:rFonts w:hint="eastAsia" w:ascii="Times New Roman" w:hAnsi="Times New Roman" w:cs="Times New Roman"/>
          <w:sz w:val="18"/>
          <w:szCs w:val="18"/>
          <w:lang w:val="en-US" w:eastAsia="zh-CN"/>
        </w:rPr>
        <w:t>b</w:t>
      </w:r>
      <w:r>
        <w:rPr>
          <w:rFonts w:hint="eastAsia" w:ascii="Times New Roman" w:hAnsi="Times New Roman" w:cs="Times New Roman" w:eastAsiaTheme="minorEastAsia"/>
          <w:sz w:val="18"/>
          <w:szCs w:val="18"/>
          <w:lang w:eastAsia="zh-CN"/>
        </w:rPr>
        <w:t>) PC9 cells with stable Bcl-xL knockdown were treated with 100 ng/ml doxorubicin (Dox) for 7 days to induce senescence. Following treatment, the cells were cultured in drug-free medium until visible colonies formed, after which the colonies were stained with crystal violet.</w:t>
      </w:r>
      <w:r>
        <w:rPr>
          <w:rFonts w:hint="eastAsia" w:ascii="Times New Roman" w:hAnsi="Times New Roman" w:cs="Times New Roman"/>
          <w:sz w:val="18"/>
          <w:szCs w:val="18"/>
          <w:lang w:val="en-US" w:eastAsia="zh-CN"/>
        </w:rPr>
        <w:t xml:space="preserve"> (c) Bcl-xL knockdown PC9 cells and control cells were treated with 100 ng/ml doxorubicin (Dox) for 3 days, after which the expression levels of p27 and p21 were analyzed by western blot. Original blots are presented in Supplementary Figure S15.</w:t>
      </w:r>
    </w:p>
    <w:p w14:paraId="2784BBC7">
      <w:pPr>
        <w:numPr>
          <w:ilvl w:val="0"/>
          <w:numId w:val="0"/>
        </w:numPr>
        <w:rPr>
          <w:rFonts w:hint="eastAsia" w:ascii="Times New Roman" w:hAnsi="Times New Roman" w:cs="Times New Roman" w:eastAsiaTheme="minorEastAsia"/>
          <w:sz w:val="18"/>
          <w:szCs w:val="18"/>
          <w:lang w:eastAsia="zh-CN"/>
        </w:rPr>
      </w:pPr>
    </w:p>
    <w:p w14:paraId="17ECE62B">
      <w:pPr>
        <w:rPr>
          <w:rFonts w:hint="default" w:ascii="Times New Roman" w:hAnsi="Times New Roman" w:cs="Times New Roman"/>
          <w:lang w:val="en-US" w:eastAsia="zh-CN"/>
        </w:rPr>
      </w:pPr>
      <w:r>
        <w:rPr>
          <w:rFonts w:hint="default" w:ascii="Times New Roman" w:hAnsi="Times New Roman" w:cs="Times New Roman"/>
          <w:lang w:val="en-US" w:eastAsia="zh-CN"/>
        </w:rPr>
        <w:t>Figure S</w:t>
      </w:r>
      <w:r>
        <w:rPr>
          <w:rFonts w:hint="eastAsia" w:ascii="Times New Roman" w:hAnsi="Times New Roman" w:cs="Times New Roman"/>
          <w:lang w:val="en-US" w:eastAsia="zh-CN"/>
        </w:rPr>
        <w:t>4</w:t>
      </w:r>
    </w:p>
    <w:p w14:paraId="6918F667">
      <w:pPr>
        <w:rPr>
          <w:rFonts w:hint="default" w:ascii="Times New Roman" w:hAnsi="Times New Roman" w:cs="Times New Roman"/>
          <w:lang w:val="en-US" w:eastAsia="zh-CN"/>
        </w:rPr>
      </w:pPr>
    </w:p>
    <w:p w14:paraId="24AECC0A">
      <w:pP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drawing>
          <wp:inline distT="0" distB="0" distL="114300" distR="114300">
            <wp:extent cx="5312410" cy="2522855"/>
            <wp:effectExtent l="0" t="0" r="8890" b="4445"/>
            <wp:docPr id="2" name="图片 2" descr="20240425-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425-Figure S2"/>
                    <pic:cNvPicPr>
                      <a:picLocks noChangeAspect="1"/>
                    </pic:cNvPicPr>
                  </pic:nvPicPr>
                  <pic:blipFill>
                    <a:blip r:embed="rId7"/>
                    <a:srcRect l="1701" t="4205" r="2002" b="2582"/>
                    <a:stretch>
                      <a:fillRect/>
                    </a:stretch>
                  </pic:blipFill>
                  <pic:spPr>
                    <a:xfrm>
                      <a:off x="0" y="0"/>
                      <a:ext cx="5312410" cy="2522855"/>
                    </a:xfrm>
                    <a:prstGeom prst="rect">
                      <a:avLst/>
                    </a:prstGeom>
                  </pic:spPr>
                </pic:pic>
              </a:graphicData>
            </a:graphic>
          </wp:inline>
        </w:drawing>
      </w:r>
    </w:p>
    <w:p w14:paraId="32A2DAD5">
      <w:pPr>
        <w:rPr>
          <w:rFonts w:hint="eastAsia" w:ascii="Times New Roman" w:hAnsi="Times New Roman" w:cs="Times New Roman" w:eastAsiaTheme="minorEastAsia"/>
          <w:sz w:val="18"/>
          <w:szCs w:val="18"/>
          <w:lang w:val="en-US" w:eastAsia="zh-CN"/>
        </w:rPr>
      </w:pPr>
      <w:r>
        <w:rPr>
          <w:rFonts w:hint="default" w:ascii="Times New Roman" w:hAnsi="Times New Roman" w:cs="Times New Roman"/>
          <w:sz w:val="18"/>
          <w:szCs w:val="18"/>
        </w:rPr>
        <w:t>Figure S</w:t>
      </w:r>
      <w:r>
        <w:rPr>
          <w:rFonts w:hint="eastAsia" w:ascii="Times New Roman" w:hAnsi="Times New Roman" w:cs="Times New Roman"/>
          <w:sz w:val="18"/>
          <w:szCs w:val="18"/>
          <w:lang w:val="en-US" w:eastAsia="zh-CN"/>
        </w:rPr>
        <w:t>4</w:t>
      </w:r>
      <w:r>
        <w:rPr>
          <w:rFonts w:hint="default" w:ascii="Times New Roman" w:hAnsi="Times New Roman" w:cs="Times New Roman"/>
          <w:sz w:val="18"/>
          <w:szCs w:val="18"/>
        </w:rPr>
        <w:t>. Inactivation of Bcl-xL reduces p27 expression in senescent cells. (a) A549 cells were treated with or without Dox (100 ng/ml), or CX5461 (100 nM) for 7 days, followed by treatment with ABT-737 (2 - 5 μM) for 48 h. Then cells were collected to analyze the expression of p27 by western blot. (b) A549 cells were treated with 5 μM of DDP for 7 days, followed by treatment with different concentrations of ABT-199 or WEHI-539 for 48 h. The expression of p27 was detected by western blot. (c-e) The expression of p130 in DDP-induced senescent (c), Dox-induced senescent (d) and non-senescent (e) A549 cells treated with or without different concentrations of Bcl2 or Bcl-xL specific inhibitors for 24 h was analyzed by western blot.</w:t>
      </w:r>
      <w:r>
        <w:rPr>
          <w:rFonts w:hint="eastAsia" w:ascii="Times New Roman" w:hAnsi="Times New Roman" w:cs="Times New Roman"/>
          <w:sz w:val="18"/>
          <w:szCs w:val="18"/>
          <w:lang w:val="en-US" w:eastAsia="zh-CN"/>
        </w:rPr>
        <w:t xml:space="preserve"> Original blots are presented in Supplementary Figure S16.</w:t>
      </w:r>
    </w:p>
    <w:p w14:paraId="60A8626C">
      <w:pPr>
        <w:rPr>
          <w:rFonts w:hint="default" w:ascii="Times New Roman" w:hAnsi="Times New Roman" w:cs="Times New Roman"/>
          <w:lang w:val="en-US" w:eastAsia="zh-CN"/>
        </w:rPr>
      </w:pPr>
    </w:p>
    <w:p w14:paraId="20530185">
      <w:pPr>
        <w:rPr>
          <w:rFonts w:hint="default" w:ascii="Times New Roman" w:hAnsi="Times New Roman" w:cs="Times New Roman"/>
          <w:lang w:val="en-US" w:eastAsia="zh-CN"/>
        </w:rPr>
      </w:pPr>
    </w:p>
    <w:p w14:paraId="7DFA241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Figure S</w:t>
      </w:r>
      <w:r>
        <w:rPr>
          <w:rFonts w:hint="eastAsia" w:ascii="Times New Roman" w:hAnsi="Times New Roman" w:cs="Times New Roman"/>
          <w:lang w:val="en-US" w:eastAsia="zh-CN"/>
        </w:rPr>
        <w:t>5</w:t>
      </w:r>
    </w:p>
    <w:p w14:paraId="58FB19CC">
      <w:pPr>
        <w:rPr>
          <w:rFonts w:hint="default" w:ascii="Times New Roman" w:hAnsi="Times New Roman" w:cs="Times New Roman"/>
          <w:sz w:val="18"/>
          <w:szCs w:val="18"/>
        </w:rPr>
      </w:pPr>
    </w:p>
    <w:p w14:paraId="4F869556">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drawing>
          <wp:inline distT="0" distB="0" distL="114300" distR="114300">
            <wp:extent cx="3571875" cy="1360805"/>
            <wp:effectExtent l="0" t="0" r="9525" b="10795"/>
            <wp:docPr id="3" name="图片 3" descr="20240425-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425-Figure S3"/>
                    <pic:cNvPicPr>
                      <a:picLocks noChangeAspect="1"/>
                    </pic:cNvPicPr>
                  </pic:nvPicPr>
                  <pic:blipFill>
                    <a:blip r:embed="rId8"/>
                    <a:stretch>
                      <a:fillRect/>
                    </a:stretch>
                  </pic:blipFill>
                  <pic:spPr>
                    <a:xfrm>
                      <a:off x="0" y="0"/>
                      <a:ext cx="3571875" cy="1360805"/>
                    </a:xfrm>
                    <a:prstGeom prst="rect">
                      <a:avLst/>
                    </a:prstGeom>
                  </pic:spPr>
                </pic:pic>
              </a:graphicData>
            </a:graphic>
          </wp:inline>
        </w:drawing>
      </w:r>
    </w:p>
    <w:p w14:paraId="7C6E9808">
      <w:pPr>
        <w:rPr>
          <w:rFonts w:hint="default" w:ascii="Times New Roman" w:hAnsi="Times New Roman" w:cs="Times New Roman"/>
          <w:sz w:val="18"/>
          <w:szCs w:val="18"/>
        </w:rPr>
      </w:pPr>
      <w:r>
        <w:rPr>
          <w:rFonts w:hint="default" w:ascii="Times New Roman" w:hAnsi="Times New Roman" w:cs="Times New Roman"/>
          <w:sz w:val="18"/>
          <w:szCs w:val="18"/>
        </w:rPr>
        <w:t>Figure S</w:t>
      </w:r>
      <w:r>
        <w:rPr>
          <w:rFonts w:hint="eastAsia" w:ascii="Times New Roman" w:hAnsi="Times New Roman" w:cs="Times New Roman"/>
          <w:sz w:val="18"/>
          <w:szCs w:val="18"/>
          <w:lang w:val="en-US" w:eastAsia="zh-CN"/>
        </w:rPr>
        <w:t>5</w:t>
      </w:r>
      <w:r>
        <w:rPr>
          <w:rFonts w:hint="default" w:ascii="Times New Roman" w:hAnsi="Times New Roman" w:cs="Times New Roman"/>
          <w:sz w:val="18"/>
          <w:szCs w:val="18"/>
        </w:rPr>
        <w:t>. Bcl-xL regulates p27 expression in senescent cells. (a) H358 (p53 null) and (b) PC-9 cells (p53 mutant) were treated with Dox (100 ng/ml) for 0 - 5 days. The expression of Bcl-xL in drug-treated cells was analyzed by western blot. Original blots are presented in Supplementary Figure S</w:t>
      </w:r>
      <w:r>
        <w:rPr>
          <w:rFonts w:hint="eastAsia" w:ascii="Times New Roman" w:hAnsi="Times New Roman" w:cs="Times New Roman"/>
          <w:sz w:val="18"/>
          <w:szCs w:val="18"/>
          <w:lang w:val="en-US" w:eastAsia="zh-CN"/>
        </w:rPr>
        <w:t>17</w:t>
      </w:r>
      <w:r>
        <w:rPr>
          <w:rFonts w:hint="default" w:ascii="Times New Roman" w:hAnsi="Times New Roman" w:cs="Times New Roman"/>
          <w:sz w:val="18"/>
          <w:szCs w:val="18"/>
        </w:rPr>
        <w:t>.</w:t>
      </w:r>
    </w:p>
    <w:p w14:paraId="1FB0541B">
      <w:pPr>
        <w:rPr>
          <w:rFonts w:hint="default" w:ascii="Times New Roman" w:hAnsi="Times New Roman" w:cs="Times New Roman"/>
          <w:b w:val="0"/>
          <w:bCs w:val="0"/>
          <w:sz w:val="21"/>
          <w:szCs w:val="21"/>
        </w:rPr>
      </w:pPr>
    </w:p>
    <w:p w14:paraId="3FC7A1E9">
      <w:pPr>
        <w:rPr>
          <w:rFonts w:hint="default" w:ascii="Times New Roman" w:hAnsi="Times New Roman" w:cs="Times New Roman"/>
          <w:b w:val="0"/>
          <w:bCs w:val="0"/>
          <w:sz w:val="21"/>
          <w:szCs w:val="21"/>
        </w:rPr>
      </w:pPr>
    </w:p>
    <w:p w14:paraId="4513FB30">
      <w:pPr>
        <w:rPr>
          <w:rFonts w:hint="eastAsia" w:ascii="Times New Roman" w:hAnsi="Times New Roman" w:cs="Times New Roman" w:eastAsiaTheme="minorEastAsia"/>
          <w:b w:val="0"/>
          <w:bCs w:val="0"/>
          <w:sz w:val="21"/>
          <w:szCs w:val="21"/>
          <w:lang w:eastAsia="zh-CN"/>
        </w:rPr>
      </w:pPr>
      <w:r>
        <w:rPr>
          <w:rFonts w:hint="default" w:ascii="Times New Roman" w:hAnsi="Times New Roman" w:cs="Times New Roman"/>
          <w:b w:val="0"/>
          <w:bCs w:val="0"/>
          <w:sz w:val="21"/>
          <w:szCs w:val="21"/>
        </w:rPr>
        <w:t>Figure S</w:t>
      </w:r>
      <w:r>
        <w:rPr>
          <w:rFonts w:hint="eastAsia" w:ascii="Times New Roman" w:hAnsi="Times New Roman" w:cs="Times New Roman"/>
          <w:b w:val="0"/>
          <w:bCs w:val="0"/>
          <w:sz w:val="21"/>
          <w:szCs w:val="21"/>
          <w:lang w:val="en-US" w:eastAsia="zh-CN"/>
        </w:rPr>
        <w:t>6</w:t>
      </w:r>
    </w:p>
    <w:p w14:paraId="2A661559">
      <w:pPr>
        <w:jc w:val="cente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drawing>
          <wp:inline distT="0" distB="0" distL="114300" distR="114300">
            <wp:extent cx="4361180" cy="2397125"/>
            <wp:effectExtent l="0" t="0" r="7620" b="3175"/>
            <wp:docPr id="4" name="图片 4" descr="20240425-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425-Figure S4"/>
                    <pic:cNvPicPr>
                      <a:picLocks noChangeAspect="1"/>
                    </pic:cNvPicPr>
                  </pic:nvPicPr>
                  <pic:blipFill>
                    <a:blip r:embed="rId9"/>
                    <a:stretch>
                      <a:fillRect/>
                    </a:stretch>
                  </pic:blipFill>
                  <pic:spPr>
                    <a:xfrm>
                      <a:off x="0" y="0"/>
                      <a:ext cx="4361180" cy="2397125"/>
                    </a:xfrm>
                    <a:prstGeom prst="rect">
                      <a:avLst/>
                    </a:prstGeom>
                  </pic:spPr>
                </pic:pic>
              </a:graphicData>
            </a:graphic>
          </wp:inline>
        </w:drawing>
      </w:r>
    </w:p>
    <w:p w14:paraId="094F9D06">
      <w:pPr>
        <w:rPr>
          <w:rFonts w:hint="eastAsia" w:ascii="Times New Roman" w:hAnsi="Times New Roman" w:cs="Times New Roman" w:eastAsiaTheme="minorEastAsia"/>
          <w:sz w:val="18"/>
          <w:szCs w:val="18"/>
          <w:lang w:val="en-US" w:eastAsia="zh-CN"/>
        </w:rPr>
      </w:pPr>
      <w:r>
        <w:rPr>
          <w:rFonts w:hint="default" w:ascii="Times New Roman" w:hAnsi="Times New Roman" w:cs="Times New Roman"/>
          <w:sz w:val="18"/>
          <w:szCs w:val="18"/>
        </w:rPr>
        <w:t>Figure S</w:t>
      </w:r>
      <w:r>
        <w:rPr>
          <w:rFonts w:hint="eastAsia" w:ascii="Times New Roman" w:hAnsi="Times New Roman" w:cs="Times New Roman"/>
          <w:sz w:val="18"/>
          <w:szCs w:val="18"/>
          <w:lang w:val="en-US" w:eastAsia="zh-CN"/>
        </w:rPr>
        <w:t>6</w:t>
      </w:r>
      <w:r>
        <w:rPr>
          <w:rFonts w:hint="default" w:ascii="Times New Roman" w:hAnsi="Times New Roman" w:cs="Times New Roman"/>
          <w:sz w:val="18"/>
          <w:szCs w:val="18"/>
        </w:rPr>
        <w:t>. The stability of cell cycle related proteins in non-senescent or senescent cells with or without Bcl2 family inhibitors treatment. (a) A549 cells were pre-treated with ABT-737 (5 μM) or WEHI-539 (5 μM) for 2 h before incubation with CHX (2 μM). The expression of p27 at each time point was analyzed by western blot. (b) DDP or Dox-induced A549 senescent cells were pre-treated with ABT-199 (5 μM) for 2 h before incubation with CHX (2 μM). The expression of p27 at each time point was analyzed by western blot. All the representative western blot images of p27 half-life were qualified by image lab 3.0 software.</w:t>
      </w:r>
      <w:r>
        <w:rPr>
          <w:rFonts w:hint="eastAsia" w:ascii="Times New Roman" w:hAnsi="Times New Roman" w:cs="Times New Roman"/>
          <w:sz w:val="18"/>
          <w:szCs w:val="18"/>
          <w:lang w:val="en-US" w:eastAsia="zh-CN"/>
        </w:rPr>
        <w:t xml:space="preserve"> Original blots are presented in Supplementary Figure S18.</w:t>
      </w:r>
    </w:p>
    <w:p w14:paraId="119BD39C">
      <w:pPr>
        <w:rPr>
          <w:rFonts w:hint="default" w:ascii="Times New Roman" w:hAnsi="Times New Roman" w:cs="Times New Roman"/>
          <w:sz w:val="18"/>
          <w:szCs w:val="18"/>
        </w:rPr>
      </w:pPr>
      <w:r>
        <w:rPr>
          <w:rFonts w:hint="default" w:ascii="Times New Roman" w:hAnsi="Times New Roman" w:cs="Times New Roman"/>
          <w:sz w:val="18"/>
          <w:szCs w:val="18"/>
        </w:rPr>
        <w:br w:type="page"/>
      </w:r>
    </w:p>
    <w:p w14:paraId="12CCF060">
      <w:pP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Figure S</w:t>
      </w:r>
      <w:r>
        <w:rPr>
          <w:rFonts w:hint="eastAsia" w:ascii="Times New Roman" w:hAnsi="Times New Roman" w:cs="Times New Roman"/>
          <w:sz w:val="21"/>
          <w:szCs w:val="21"/>
          <w:lang w:val="en-US" w:eastAsia="zh-CN"/>
        </w:rPr>
        <w:t>7</w:t>
      </w:r>
    </w:p>
    <w:p w14:paraId="6926731A">
      <w:pPr>
        <w:rPr>
          <w:rFonts w:hint="default" w:ascii="Times New Roman" w:hAnsi="Times New Roman" w:cs="Times New Roman" w:eastAsiaTheme="minorEastAsia"/>
          <w:sz w:val="18"/>
          <w:szCs w:val="18"/>
          <w:lang w:eastAsia="zh-CN"/>
        </w:rPr>
      </w:pPr>
      <w:r>
        <w:rPr>
          <w:rFonts w:hint="default" w:ascii="Times New Roman" w:hAnsi="Times New Roman" w:cs="Times New Roman" w:eastAsiaTheme="minorEastAsia"/>
          <w:sz w:val="18"/>
          <w:szCs w:val="18"/>
          <w:lang w:eastAsia="zh-CN"/>
        </w:rPr>
        <w:drawing>
          <wp:inline distT="0" distB="0" distL="114300" distR="114300">
            <wp:extent cx="5285740" cy="4573905"/>
            <wp:effectExtent l="0" t="0" r="10160" b="10795"/>
            <wp:docPr id="5" name="图片 5" descr="20240425-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425-Figure S5"/>
                    <pic:cNvPicPr>
                      <a:picLocks noChangeAspect="1"/>
                    </pic:cNvPicPr>
                  </pic:nvPicPr>
                  <pic:blipFill>
                    <a:blip r:embed="rId10"/>
                    <a:srcRect l="2508" r="1965" b="1959"/>
                    <a:stretch>
                      <a:fillRect/>
                    </a:stretch>
                  </pic:blipFill>
                  <pic:spPr>
                    <a:xfrm>
                      <a:off x="0" y="0"/>
                      <a:ext cx="5285740" cy="4573905"/>
                    </a:xfrm>
                    <a:prstGeom prst="rect">
                      <a:avLst/>
                    </a:prstGeom>
                  </pic:spPr>
                </pic:pic>
              </a:graphicData>
            </a:graphic>
          </wp:inline>
        </w:drawing>
      </w:r>
    </w:p>
    <w:p w14:paraId="18CA6CE7">
      <w:pPr>
        <w:rPr>
          <w:rFonts w:hint="default" w:ascii="Times New Roman" w:hAnsi="Times New Roman" w:cs="Times New Roman"/>
          <w:sz w:val="18"/>
          <w:szCs w:val="18"/>
        </w:rPr>
      </w:pPr>
      <w:r>
        <w:rPr>
          <w:rFonts w:hint="default" w:ascii="Times New Roman" w:hAnsi="Times New Roman" w:cs="Times New Roman"/>
          <w:sz w:val="18"/>
          <w:szCs w:val="18"/>
        </w:rPr>
        <w:t>Figure S</w:t>
      </w:r>
      <w:r>
        <w:rPr>
          <w:rFonts w:hint="eastAsia" w:ascii="Times New Roman" w:hAnsi="Times New Roman" w:cs="Times New Roman"/>
          <w:sz w:val="18"/>
          <w:szCs w:val="18"/>
          <w:lang w:val="en-US" w:eastAsia="zh-CN"/>
        </w:rPr>
        <w:t>7</w:t>
      </w:r>
      <w:r>
        <w:rPr>
          <w:rFonts w:hint="default" w:ascii="Times New Roman" w:hAnsi="Times New Roman" w:cs="Times New Roman"/>
          <w:sz w:val="18"/>
          <w:szCs w:val="18"/>
        </w:rPr>
        <w:t>. Bcl-xL affects p27 subcellular localization in senescent cells. (a) The localization of p27 in non-senescent and drug induced senescent A549 cells without MG-132 treatment were detected by IF staining and imaged under confocal microscope. (b) Dox-induced senescent cells were treated with 5 μM of Bcl-xL inhibitors for 24 h, then cells were fixed and stained with p27 antibody. The p27 localization was photographed under confocal microscope. (c) A549 cells were treated with 5 μM of Bcl-xL inhibitors for 24 h, then cells were fixed and stained with p27 antibody. The p27 localization was photographed under confocal microscope. (d) A549 cells with or without Bcl2 stable knockdown were collected to analyze the expression of nuclear p27 using nuclear cytoplasmic protein extraction kit, followed by western blot. H3 was the nuclear protein marker and b-tublin was the cytoplasmic protein marker. Original blots are presented in Supplementary Figure S</w:t>
      </w:r>
      <w:r>
        <w:rPr>
          <w:rFonts w:hint="eastAsia" w:ascii="Times New Roman" w:hAnsi="Times New Roman" w:cs="Times New Roman"/>
          <w:sz w:val="18"/>
          <w:szCs w:val="18"/>
          <w:lang w:val="en-US" w:eastAsia="zh-CN"/>
        </w:rPr>
        <w:t>19</w:t>
      </w:r>
      <w:r>
        <w:rPr>
          <w:rFonts w:hint="default" w:ascii="Times New Roman" w:hAnsi="Times New Roman" w:cs="Times New Roman"/>
          <w:sz w:val="18"/>
          <w:szCs w:val="18"/>
        </w:rPr>
        <w:t>.</w:t>
      </w:r>
    </w:p>
    <w:p w14:paraId="11CD5A87">
      <w:pPr>
        <w:rPr>
          <w:rFonts w:hint="default" w:ascii="Times New Roman" w:hAnsi="Times New Roman" w:cs="Times New Roman"/>
        </w:rPr>
      </w:pPr>
    </w:p>
    <w:p w14:paraId="4724A334">
      <w:pPr>
        <w:rPr>
          <w:rFonts w:hint="default"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0A5F3"/>
    <w:multiLevelType w:val="singleLevel"/>
    <w:tmpl w:val="B700A5F3"/>
    <w:lvl w:ilvl="0" w:tentative="0">
      <w:start w:val="2"/>
      <w:numFmt w:val="decimal"/>
      <w:suff w:val="space"/>
      <w:lvlText w:val="%1."/>
      <w:lvlJc w:val="left"/>
      <w:rPr>
        <w:rFonts w:hint="default"/>
        <w:vertAlign w:val="superscript"/>
      </w:rPr>
    </w:lvl>
  </w:abstractNum>
  <w:abstractNum w:abstractNumId="1">
    <w:nsid w:val="E0F75AF1"/>
    <w:multiLevelType w:val="singleLevel"/>
    <w:tmpl w:val="E0F75AF1"/>
    <w:lvl w:ilvl="0" w:tentative="0">
      <w:start w:val="1"/>
      <w:numFmt w:val="decimal"/>
      <w:suff w:val="space"/>
      <w:lvlText w:val="%1."/>
      <w:lvlJc w:val="left"/>
      <w:rPr>
        <w:rFonts w:hint="default"/>
        <w:vertAlign w:val="superscrip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ZjBjNDA0ZThhYTU5NDk1ZTcxYTNhYjg5YWQ5ZTcifQ=="/>
  </w:docVars>
  <w:rsids>
    <w:rsidRoot w:val="00172A27"/>
    <w:rsid w:val="0B9538A8"/>
    <w:rsid w:val="0DA07577"/>
    <w:rsid w:val="130B5E9F"/>
    <w:rsid w:val="1CB0173A"/>
    <w:rsid w:val="1F7D0EBD"/>
    <w:rsid w:val="2D1B2184"/>
    <w:rsid w:val="4E4361B3"/>
    <w:rsid w:val="4ED72A06"/>
    <w:rsid w:val="5F1511D8"/>
    <w:rsid w:val="62713338"/>
    <w:rsid w:val="6893094A"/>
    <w:rsid w:val="6F0C1BBE"/>
    <w:rsid w:val="6F9E6F50"/>
    <w:rsid w:val="77061A19"/>
    <w:rsid w:val="7DDE5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character" w:styleId="5">
    <w:name w:val="Hyperlink"/>
    <w:basedOn w:val="4"/>
    <w:unhideWhenUsed/>
    <w:qFormat/>
    <w:uiPriority w:val="99"/>
    <w:rPr>
      <w:color w:val="0000FF"/>
      <w:u w:val="single"/>
    </w:rPr>
  </w:style>
  <w:style w:type="paragraph" w:styleId="6">
    <w:name w:val="List Paragraph"/>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886</Words>
  <Characters>5310</Characters>
  <Lines>0</Lines>
  <Paragraphs>0</Paragraphs>
  <TotalTime>9</TotalTime>
  <ScaleCrop>false</ScaleCrop>
  <LinksUpToDate>false</LinksUpToDate>
  <CharactersWithSpaces>6152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2024-04-27T08:05:00Z</dcterms:created>
  <dc:creator>柏林的林</dc:creator>
  <cp:lastModifiedBy>柏林的林</cp:lastModifiedBy>
  <dcterms:modified xsi:type="dcterms:W3CDTF">2025-08-01T08:21:46Z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4C5373DAA11F440691F04B8375AA2D98_11</vt:lpwstr>
  </property>
  <property fmtid="{D5CDD505-2E9C-101B-9397-08002B2CF9AE}" pid="4" name="KSOTemplateDocerSaveRecord">
    <vt:lpwstr>eyJoZGlkIjoiMDFiZjBjNDA0ZThhYTU5NDk1ZTcxYTNhYjg5YWQ5ZTciLCJ1c2VySWQiOiI2NzQzODEyOTMifQ==</vt:lpwstr>
  </property>
</Properties>
</file>