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D3721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rFonts w:hint="eastAsia"/>
          <w:b/>
          <w:bCs/>
        </w:rPr>
        <w:t xml:space="preserve">Supplementary </w:t>
      </w:r>
      <w:r w:rsidRPr="005C54F9">
        <w:rPr>
          <w:b/>
          <w:bCs/>
        </w:rPr>
        <w:t>I</w:t>
      </w:r>
      <w:r w:rsidRPr="005C54F9">
        <w:rPr>
          <w:rFonts w:hint="eastAsia"/>
          <w:b/>
          <w:bCs/>
        </w:rPr>
        <w:t>nformation</w:t>
      </w:r>
    </w:p>
    <w:p w14:paraId="1BF8D2E5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1: RNA-seq data (Control vs Non-Tumor vs HCC)</w:t>
      </w:r>
    </w:p>
    <w:p w14:paraId="33BF4FDE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2: Tumor-specific genes detected by DRAGEN Bio-IT Platform in WES (Non-Tumor_1 vs HCC_1)</w:t>
      </w:r>
    </w:p>
    <w:p w14:paraId="4D67C5B9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3: Tumor-specific genes detected by DRAGEN Bio-IT Platform in WES (Non-Tumor_2 vs HCC_2)</w:t>
      </w:r>
    </w:p>
    <w:p w14:paraId="21192E63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4: Tumor-specific genes detected by DRAGEN Bio-IT Platform in WES (Non-Tumor_3 vs HCC_3)</w:t>
      </w:r>
    </w:p>
    <w:p w14:paraId="5E15602F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5: Tumor-specific genes detected by DRAGEN Bio-IT Platform in WES (Non-Tumor_4 vs HCC_4)</w:t>
      </w:r>
    </w:p>
    <w:p w14:paraId="7517CB34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6: Tumor-specific genes detected by DRAGEN Bio-IT Platform in WES (Non-Tumor_5 vs HCC_5_1)</w:t>
      </w:r>
    </w:p>
    <w:p w14:paraId="2CDB8BD1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7: Tumor-specific genes detected by DRAGEN Bio-IT Platform in WES (Non-Tumor_5 vs HCC_5_2)</w:t>
      </w:r>
    </w:p>
    <w:p w14:paraId="7D8FA990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8: Selection of cancer-related genes from WES analyses</w:t>
      </w:r>
    </w:p>
    <w:p w14:paraId="0B68F4F3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9: RRBS data (Non-Tumor vs HCC)</w:t>
      </w:r>
    </w:p>
    <w:p w14:paraId="5489B6AA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10: Selection of cancer-related genes from among DNA demethylated genes</w:t>
      </w:r>
    </w:p>
    <w:p w14:paraId="42316DED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11: Depth and Sequencing saturation of Visium HD analysis</w:t>
      </w:r>
    </w:p>
    <w:p w14:paraId="7D52F296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12: List of antibodies</w:t>
      </w:r>
    </w:p>
    <w:p w14:paraId="72316E5C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</w:rPr>
      </w:pPr>
      <w:r w:rsidRPr="005C54F9">
        <w:rPr>
          <w:b/>
          <w:bCs/>
        </w:rPr>
        <w:t>Supplementary Table 13: List of primers</w:t>
      </w:r>
    </w:p>
    <w:p w14:paraId="6D63A1A7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  <w:color w:val="FF0000"/>
        </w:rPr>
      </w:pPr>
    </w:p>
    <w:p w14:paraId="223D629B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  <w:color w:val="000000" w:themeColor="text1"/>
        </w:rPr>
      </w:pPr>
      <w:r w:rsidRPr="005C54F9">
        <w:rPr>
          <w:b/>
          <w:bCs/>
          <w:color w:val="000000" w:themeColor="text1"/>
        </w:rPr>
        <w:t>Supplementary Figure 1. Re-analysis of TEAD4 ChIP-seq data in the Tet1 genomic region.</w:t>
      </w:r>
    </w:p>
    <w:p w14:paraId="27FC8D2E" w14:textId="77777777" w:rsidR="00BF4A75" w:rsidRPr="005C54F9" w:rsidRDefault="00BF4A75" w:rsidP="00BF4A75">
      <w:pPr>
        <w:widowControl/>
        <w:spacing w:line="480" w:lineRule="auto"/>
        <w:jc w:val="left"/>
        <w:rPr>
          <w:color w:val="000000" w:themeColor="text1"/>
        </w:rPr>
      </w:pPr>
      <w:r w:rsidRPr="005C54F9">
        <w:rPr>
          <w:color w:val="000000" w:themeColor="text1"/>
        </w:rPr>
        <w:lastRenderedPageBreak/>
        <w:t>The plot shows TEAD4 ChIP-seq data from the liver of R26-rtTA;tet-YAP mice</w:t>
      </w:r>
      <w:r>
        <w:rPr>
          <w:color w:val="000000" w:themeColor="text1"/>
        </w:rPr>
        <w:fldChar w:fldCharType="begin">
          <w:fldData xml:space="preserve">PEVuZE5vdGU+PENpdGU+PEF1dGhvcj5Dcm9jaTwvQXV0aG9yPjxZZWFyPjIwMTc8L1llYXI+PFJl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</w:fldData>
        </w:fldChar>
      </w:r>
      <w:r>
        <w:rPr>
          <w:color w:val="000000" w:themeColor="text1"/>
        </w:rPr>
        <w:instrText xml:space="preserve"> ADDIN EN.CITE </w:instrText>
      </w:r>
      <w:r>
        <w:rPr>
          <w:color w:val="000000" w:themeColor="text1"/>
        </w:rPr>
        <w:fldChar w:fldCharType="begin">
          <w:fldData xml:space="preserve">PEVuZE5vdGU+PENpdGU+PEF1dGhvcj5Dcm9jaTwvQXV0aG9yPjxZZWFyPjIwMTc8L1llYXI+PFJl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</w:fldData>
        </w:fldChar>
      </w:r>
      <w:r>
        <w:rPr>
          <w:color w:val="000000" w:themeColor="text1"/>
        </w:rPr>
        <w:instrText xml:space="preserve"> ADDIN EN.CITE.DATA </w:instrText>
      </w:r>
      <w:r>
        <w:rPr>
          <w:color w:val="000000" w:themeColor="text1"/>
        </w:rPr>
      </w:r>
      <w:r>
        <w:rPr>
          <w:color w:val="000000" w:themeColor="text1"/>
        </w:rPr>
        <w:fldChar w:fldCharType="end"/>
      </w:r>
      <w:r>
        <w:rPr>
          <w:color w:val="000000" w:themeColor="text1"/>
        </w:rPr>
      </w:r>
      <w:r>
        <w:rPr>
          <w:color w:val="000000" w:themeColor="text1"/>
        </w:rPr>
        <w:fldChar w:fldCharType="separate"/>
      </w:r>
      <w:r w:rsidRPr="00897B26">
        <w:rPr>
          <w:noProof/>
          <w:color w:val="000000" w:themeColor="text1"/>
          <w:vertAlign w:val="superscript"/>
        </w:rPr>
        <w:t>41</w:t>
      </w:r>
      <w:r>
        <w:rPr>
          <w:color w:val="000000" w:themeColor="text1"/>
        </w:rPr>
        <w:fldChar w:fldCharType="end"/>
      </w:r>
      <w:r w:rsidRPr="005C54F9">
        <w:rPr>
          <w:color w:val="000000" w:themeColor="text1"/>
        </w:rPr>
        <w:t>. TEAD4-binding peaks occur at the Tet1 genomic region on days 0, 3, and 7 after YAP(1SA) induction (doxycycline excluded).</w:t>
      </w:r>
    </w:p>
    <w:p w14:paraId="1EC0F262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  <w:color w:val="FF0000"/>
        </w:rPr>
      </w:pPr>
    </w:p>
    <w:p w14:paraId="6B1F56D1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  <w:color w:val="000000" w:themeColor="text1"/>
        </w:rPr>
      </w:pPr>
      <w:r w:rsidRPr="005C54F9">
        <w:rPr>
          <w:b/>
          <w:bCs/>
          <w:color w:val="000000" w:themeColor="text1"/>
        </w:rPr>
        <w:t>Supplementary Figure 2. Histological staining of six YAP1-TEAD-induced HCCs.</w:t>
      </w:r>
    </w:p>
    <w:p w14:paraId="2C527920" w14:textId="77777777" w:rsidR="00BF4A75" w:rsidRPr="005C54F9" w:rsidRDefault="00BF4A75" w:rsidP="00BF4A75">
      <w:pPr>
        <w:widowControl/>
        <w:spacing w:line="480" w:lineRule="auto"/>
        <w:jc w:val="left"/>
        <w:rPr>
          <w:color w:val="000000" w:themeColor="text1"/>
        </w:rPr>
      </w:pPr>
      <w:r w:rsidRPr="005C54F9">
        <w:rPr>
          <w:b/>
          <w:bCs/>
          <w:color w:val="000000" w:themeColor="text1"/>
        </w:rPr>
        <w:t>(a)</w:t>
      </w:r>
      <w:r w:rsidRPr="005C54F9">
        <w:rPr>
          <w:color w:val="000000" w:themeColor="text1"/>
        </w:rPr>
        <w:t xml:space="preserve"> H&amp;E staining and </w:t>
      </w:r>
      <w:r w:rsidRPr="005C54F9">
        <w:rPr>
          <w:b/>
          <w:bCs/>
          <w:color w:val="000000" w:themeColor="text1"/>
        </w:rPr>
        <w:t>(b)</w:t>
      </w:r>
      <w:r w:rsidRPr="005C54F9">
        <w:rPr>
          <w:color w:val="000000" w:themeColor="text1"/>
        </w:rPr>
        <w:t xml:space="preserve"> anti-Ki67 staining of the YAP1-TEAD-induced HCCs and non-tumor regions shown in Figure 2a. Scale bars, 100 µm.</w:t>
      </w:r>
    </w:p>
    <w:p w14:paraId="72FD9B5C" w14:textId="77777777" w:rsidR="00BF4A75" w:rsidRPr="005C54F9" w:rsidRDefault="00BF4A75" w:rsidP="00BF4A75">
      <w:pPr>
        <w:widowControl/>
        <w:spacing w:line="480" w:lineRule="auto"/>
        <w:jc w:val="left"/>
        <w:rPr>
          <w:color w:val="FF0000"/>
        </w:rPr>
      </w:pPr>
    </w:p>
    <w:p w14:paraId="063E175B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  <w:color w:val="000000" w:themeColor="text1"/>
        </w:rPr>
      </w:pPr>
      <w:r w:rsidRPr="005C54F9">
        <w:rPr>
          <w:b/>
          <w:bCs/>
          <w:color w:val="000000" w:themeColor="text1"/>
        </w:rPr>
        <w:t>Supplementary Figure 3. Raw, untrimmed Western blot data for Figure 4c.</w:t>
      </w:r>
    </w:p>
    <w:p w14:paraId="1712A626" w14:textId="77777777" w:rsidR="00BF4A75" w:rsidRPr="005C54F9" w:rsidRDefault="00BF4A75" w:rsidP="00BF4A75">
      <w:pPr>
        <w:widowControl/>
        <w:spacing w:line="480" w:lineRule="auto"/>
        <w:jc w:val="left"/>
        <w:rPr>
          <w:color w:val="000000" w:themeColor="text1"/>
        </w:rPr>
      </w:pPr>
      <w:r w:rsidRPr="005C54F9">
        <w:rPr>
          <w:color w:val="000000" w:themeColor="text1"/>
        </w:rPr>
        <w:t>Full, unprocessed immunoblots for the experiment presented in Figure 4c, showing levels of GAPDH and</w:t>
      </w:r>
      <w:r w:rsidRPr="002B11F0">
        <w:rPr>
          <w:color w:val="000000" w:themeColor="text1"/>
        </w:rPr>
        <w:t xml:space="preserve"> </w:t>
      </w:r>
      <w:r w:rsidRPr="005C54F9">
        <w:rPr>
          <w:color w:val="000000" w:themeColor="text1"/>
        </w:rPr>
        <w:t>TET1 in</w:t>
      </w:r>
      <w:r w:rsidRPr="005C54F9">
        <w:rPr>
          <w:rFonts w:hint="eastAsia"/>
          <w:color w:val="000000" w:themeColor="text1"/>
        </w:rPr>
        <w:t xml:space="preserve"> YAP1-TEAD-induced HCCs.</w:t>
      </w:r>
      <w:r w:rsidRPr="005C54F9">
        <w:rPr>
          <w:b/>
          <w:bCs/>
        </w:rPr>
        <w:t xml:space="preserve"> </w:t>
      </w:r>
      <w:r w:rsidRPr="005C54F9">
        <w:rPr>
          <w:b/>
          <w:bCs/>
          <w:color w:val="000000" w:themeColor="text1"/>
        </w:rPr>
        <w:t>(a)</w:t>
      </w:r>
      <w:r w:rsidRPr="005C54F9">
        <w:rPr>
          <w:color w:val="000000" w:themeColor="text1"/>
        </w:rPr>
        <w:t xml:space="preserve"> Full scan of the immunoblot for </w:t>
      </w:r>
      <w:r w:rsidRPr="005C54F9">
        <w:rPr>
          <w:rFonts w:hint="eastAsia"/>
          <w:color w:val="000000" w:themeColor="text1"/>
        </w:rPr>
        <w:t>GAPDH</w:t>
      </w:r>
      <w:r w:rsidRPr="005C54F9">
        <w:rPr>
          <w:color w:val="000000" w:themeColor="text1"/>
        </w:rPr>
        <w:t>.</w:t>
      </w:r>
      <w:r w:rsidRPr="005C54F9">
        <w:rPr>
          <w:rFonts w:hint="eastAsia"/>
          <w:color w:val="000000" w:themeColor="text1"/>
        </w:rPr>
        <w:t xml:space="preserve"> </w:t>
      </w:r>
      <w:r w:rsidRPr="005C54F9">
        <w:rPr>
          <w:b/>
          <w:bCs/>
        </w:rPr>
        <w:t xml:space="preserve">(b) </w:t>
      </w:r>
      <w:r w:rsidRPr="005C54F9">
        <w:t>F</w:t>
      </w:r>
      <w:r w:rsidRPr="005C54F9">
        <w:rPr>
          <w:color w:val="000000" w:themeColor="text1"/>
        </w:rPr>
        <w:t xml:space="preserve">ull scan of the immunoblot for </w:t>
      </w:r>
      <w:r w:rsidRPr="005C54F9">
        <w:rPr>
          <w:rFonts w:hint="eastAsia"/>
          <w:color w:val="000000" w:themeColor="text1"/>
        </w:rPr>
        <w:t>TET1</w:t>
      </w:r>
      <w:r w:rsidRPr="005C54F9">
        <w:rPr>
          <w:color w:val="000000" w:themeColor="text1"/>
        </w:rPr>
        <w:t>.</w:t>
      </w:r>
    </w:p>
    <w:p w14:paraId="417CBA19" w14:textId="77777777" w:rsidR="00BF4A75" w:rsidRPr="005C54F9" w:rsidRDefault="00BF4A75" w:rsidP="00BF4A75">
      <w:pPr>
        <w:widowControl/>
        <w:spacing w:line="480" w:lineRule="auto"/>
        <w:jc w:val="left"/>
        <w:rPr>
          <w:color w:val="FF0000"/>
          <w:u w:val="single"/>
        </w:rPr>
      </w:pPr>
    </w:p>
    <w:p w14:paraId="68FC370F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  <w:color w:val="000000" w:themeColor="text1"/>
        </w:rPr>
      </w:pPr>
      <w:r w:rsidRPr="005C54F9">
        <w:rPr>
          <w:b/>
          <w:bCs/>
          <w:color w:val="000000" w:themeColor="text1"/>
        </w:rPr>
        <w:t>Supplementary Figure</w:t>
      </w:r>
      <w:r w:rsidRPr="005C54F9">
        <w:rPr>
          <w:rFonts w:hint="eastAsia"/>
          <w:b/>
          <w:bCs/>
          <w:color w:val="000000" w:themeColor="text1"/>
        </w:rPr>
        <w:t xml:space="preserve"> </w:t>
      </w:r>
      <w:r w:rsidRPr="005C54F9">
        <w:rPr>
          <w:b/>
          <w:bCs/>
          <w:color w:val="000000" w:themeColor="text1"/>
        </w:rPr>
        <w:t>4. DNA hypermethylated and hypomethylated genes identified in six YAP1-TEAD-induced HCCs.</w:t>
      </w:r>
    </w:p>
    <w:p w14:paraId="2ED91C75" w14:textId="77777777" w:rsidR="00BF4A75" w:rsidRPr="005C54F9" w:rsidRDefault="00BF4A75" w:rsidP="00BF4A75">
      <w:pPr>
        <w:widowControl/>
        <w:spacing w:line="480" w:lineRule="auto"/>
        <w:jc w:val="left"/>
        <w:rPr>
          <w:color w:val="000000" w:themeColor="text1"/>
        </w:rPr>
      </w:pPr>
      <w:r w:rsidRPr="005C54F9">
        <w:rPr>
          <w:b/>
          <w:bCs/>
          <w:color w:val="000000" w:themeColor="text1"/>
        </w:rPr>
        <w:t>(a)</w:t>
      </w:r>
      <w:r w:rsidRPr="005C54F9">
        <w:rPr>
          <w:color w:val="000000" w:themeColor="text1"/>
        </w:rPr>
        <w:t xml:space="preserve"> Fifty-eight hypomethylated genes (blue) and 164 hypermethylated genes (red) located on the indicated chromosomes (Chr) and identified in YAP1-TEAD-induced HCCs. </w:t>
      </w:r>
      <w:r w:rsidRPr="005C54F9">
        <w:rPr>
          <w:b/>
          <w:bCs/>
          <w:color w:val="000000" w:themeColor="text1"/>
        </w:rPr>
        <w:t>(b)</w:t>
      </w:r>
      <w:r w:rsidRPr="005C54F9">
        <w:rPr>
          <w:color w:val="000000" w:themeColor="text1"/>
        </w:rPr>
        <w:t xml:space="preserve"> RNA-seq analysis results for the indicated genes showing decreased expression among the hypermethylated genes in HCCs vs. control or non-tumor tissues (n=6).</w:t>
      </w:r>
    </w:p>
    <w:p w14:paraId="5A257E75" w14:textId="77777777" w:rsidR="00BF4A75" w:rsidRPr="005C54F9" w:rsidRDefault="00BF4A75" w:rsidP="00BF4A75">
      <w:pPr>
        <w:widowControl/>
        <w:spacing w:line="480" w:lineRule="auto"/>
        <w:jc w:val="left"/>
        <w:rPr>
          <w:color w:val="FF0000"/>
        </w:rPr>
      </w:pPr>
    </w:p>
    <w:p w14:paraId="6B71330E" w14:textId="77777777" w:rsidR="00BF4A75" w:rsidRPr="005C54F9" w:rsidRDefault="00BF4A75" w:rsidP="00BF4A75">
      <w:pPr>
        <w:widowControl/>
        <w:spacing w:line="480" w:lineRule="auto"/>
        <w:jc w:val="left"/>
        <w:rPr>
          <w:b/>
          <w:bCs/>
          <w:color w:val="000000" w:themeColor="text1"/>
        </w:rPr>
      </w:pPr>
      <w:r w:rsidRPr="005C54F9">
        <w:rPr>
          <w:b/>
          <w:bCs/>
          <w:color w:val="000000" w:themeColor="text1"/>
        </w:rPr>
        <w:t>Supplementary Figure 5. Enrichment analysis of HCC subcluster-specific genes.</w:t>
      </w:r>
    </w:p>
    <w:p w14:paraId="70C09725" w14:textId="77777777" w:rsidR="00BF4A75" w:rsidRPr="0045087C" w:rsidRDefault="00BF4A75" w:rsidP="00BF4A75">
      <w:pPr>
        <w:widowControl/>
        <w:spacing w:line="480" w:lineRule="auto"/>
        <w:jc w:val="left"/>
        <w:rPr>
          <w:color w:val="000000" w:themeColor="text1"/>
        </w:rPr>
      </w:pPr>
      <w:r w:rsidRPr="005C54F9">
        <w:rPr>
          <w:b/>
          <w:bCs/>
          <w:color w:val="000000" w:themeColor="text1"/>
        </w:rPr>
        <w:t>(a)</w:t>
      </w:r>
      <w:r w:rsidRPr="005C54F9">
        <w:rPr>
          <w:color w:val="000000" w:themeColor="text1"/>
        </w:rPr>
        <w:t xml:space="preserve"> KEGG pathway analysis and </w:t>
      </w:r>
      <w:r w:rsidRPr="005C54F9">
        <w:rPr>
          <w:b/>
          <w:bCs/>
          <w:color w:val="000000" w:themeColor="text1"/>
        </w:rPr>
        <w:t>(b)</w:t>
      </w:r>
      <w:r w:rsidRPr="005C54F9">
        <w:rPr>
          <w:color w:val="000000" w:themeColor="text1"/>
        </w:rPr>
        <w:t xml:space="preserve"> GO analysis of genes specific to Cluster 01, Cluster 02, Cluster 03, Cluster 04, and normal hepatocyte Clusters 01-06 (Hepatocytes).</w:t>
      </w:r>
    </w:p>
    <w:p w14:paraId="3F7414C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A75"/>
    <w:rsid w:val="00011C58"/>
    <w:rsid w:val="0006021D"/>
    <w:rsid w:val="00331A6B"/>
    <w:rsid w:val="005F567B"/>
    <w:rsid w:val="00755780"/>
    <w:rsid w:val="00857596"/>
    <w:rsid w:val="00BF4A75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14BD3"/>
  <w15:chartTrackingRefBased/>
  <w15:docId w15:val="{8A85B401-16CE-4D88-A474-F33C61161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A75"/>
    <w:pPr>
      <w:widowControl w:val="0"/>
      <w:spacing w:after="0" w:line="240" w:lineRule="auto"/>
      <w:jc w:val="both"/>
    </w:pPr>
    <w:rPr>
      <w:rFonts w:ascii="Times New Roman" w:eastAsia="MS Mincho" w:hAnsi="Times New Roman" w:cs="Times New Roman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4A7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4A7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4A75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4A75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4A75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4A75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4A75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4A75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4A75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A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4A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4A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4A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4A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4A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4A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4A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4A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4A7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4A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4A75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4A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4A75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4A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4A75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4A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4A7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4A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4A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395</Words>
  <Characters>2256</Characters>
  <Application>Microsoft Office Word</Application>
  <DocSecurity>0</DocSecurity>
  <Lines>18</Lines>
  <Paragraphs>5</Paragraphs>
  <ScaleCrop>false</ScaleCrop>
  <Company>Springer Nature</Company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2025-08-22T04:58:00Z</dcterms:created>
  <dcterms:modified xsi:type="dcterms:W3CDTF">2025-08-22T04:58:00Z</dcterms:modified>
</cp:coreProperties>
</file>