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CA2" w14:textId="036495B1" w:rsidR="007D3170" w:rsidRPr="007D3170" w:rsidRDefault="007D3170" w:rsidP="007D3170">
      <w:pPr>
        <w:jc w:val="both"/>
        <w:rPr>
          <w:rFonts w:ascii="Calibri" w:hAnsi="Calibri" w:cs="Calibri"/>
          <w:b/>
          <w:bCs/>
          <w:sz w:val="24"/>
          <w:szCs w:val="24"/>
        </w:rPr>
      </w:pPr>
      <w:r w:rsidRPr="007D3170">
        <w:rPr>
          <w:rFonts w:ascii="Calibri" w:hAnsi="Calibri" w:cs="Calibri"/>
          <w:b/>
          <w:bCs/>
          <w:sz w:val="24"/>
          <w:szCs w:val="24"/>
        </w:rPr>
        <w:t xml:space="preserve">Supplementary </w:t>
      </w:r>
      <w:r w:rsidR="00631013">
        <w:rPr>
          <w:rFonts w:ascii="Calibri" w:hAnsi="Calibri" w:cs="Calibri"/>
          <w:b/>
          <w:bCs/>
          <w:sz w:val="24"/>
          <w:szCs w:val="24"/>
        </w:rPr>
        <w:t>T</w:t>
      </w:r>
      <w:r w:rsidRPr="007D3170">
        <w:rPr>
          <w:rFonts w:ascii="Calibri" w:hAnsi="Calibri" w:cs="Calibri"/>
          <w:b/>
          <w:bCs/>
          <w:sz w:val="24"/>
          <w:szCs w:val="24"/>
        </w:rPr>
        <w:t>ables:</w:t>
      </w:r>
    </w:p>
    <w:p w14:paraId="0ABDCC97" w14:textId="170F4003" w:rsidR="00CA1386" w:rsidRPr="00CA1386" w:rsidRDefault="00CA1386" w:rsidP="00CA1386">
      <w:pPr>
        <w:spacing w:after="0" w:line="240" w:lineRule="auto"/>
        <w:jc w:val="both"/>
        <w:rPr>
          <w:rFonts w:ascii="Calibri" w:hAnsi="Calibri" w:cs="Calibri"/>
          <w:b/>
          <w:bCs/>
          <w:sz w:val="20"/>
          <w:szCs w:val="20"/>
          <w:shd w:val="clear" w:color="auto" w:fill="FFFFFF"/>
        </w:rPr>
      </w:pPr>
      <w:r w:rsidRPr="00CA1386">
        <w:rPr>
          <w:rFonts w:ascii="Calibri" w:hAnsi="Calibri" w:cs="Calibri"/>
          <w:b/>
          <w:bCs/>
          <w:sz w:val="20"/>
          <w:szCs w:val="20"/>
        </w:rPr>
        <w:t>Supplementary Tab. 1</w:t>
      </w:r>
      <w:r w:rsidRPr="00CA1386">
        <w:rPr>
          <w:rFonts w:ascii="Calibri" w:hAnsi="Calibri" w:cs="Calibri"/>
          <w:b/>
          <w:bCs/>
          <w:sz w:val="20"/>
          <w:szCs w:val="20"/>
          <w:shd w:val="clear" w:color="auto" w:fill="FFFFFF"/>
        </w:rPr>
        <w:t>: Rearrangements and fusions assessed in our cohort of 50 PBTs.</w:t>
      </w:r>
    </w:p>
    <w:p w14:paraId="4D055937" w14:textId="77777777" w:rsidR="00CA1386" w:rsidRPr="00CA1386" w:rsidRDefault="00CA1386" w:rsidP="00CA1386">
      <w:pPr>
        <w:spacing w:line="278" w:lineRule="auto"/>
        <w:jc w:val="both"/>
        <w:rPr>
          <w:rFonts w:ascii="Calibri" w:hAnsi="Calibri" w:cs="Calibri"/>
          <w:sz w:val="20"/>
          <w:szCs w:val="20"/>
          <w:shd w:val="clear" w:color="auto" w:fill="FFFFFF"/>
        </w:rPr>
      </w:pPr>
      <w:r w:rsidRPr="00CA1386">
        <w:rPr>
          <w:rFonts w:ascii="Calibri" w:hAnsi="Calibri" w:cs="Calibri"/>
          <w:sz w:val="20"/>
          <w:szCs w:val="20"/>
          <w:shd w:val="clear" w:color="auto" w:fill="FFFFFF"/>
        </w:rPr>
        <w:t>The table summarizes the diagnostic subtypes of PBTs linked to specific structural variants, along with the frequency of these alterations within each diagnostic class, based on existing literature. The last three columns on the right display the number of cases analyzed in this study using FISH, methylation profiling, and whole-transcriptome sequencing techniques.</w:t>
      </w:r>
    </w:p>
    <w:tbl>
      <w:tblPr>
        <w:tblStyle w:val="Grigliatabella"/>
        <w:tblW w:w="9634" w:type="dxa"/>
        <w:jc w:val="center"/>
        <w:tblLayout w:type="fixed"/>
        <w:tblLook w:val="04A0" w:firstRow="1" w:lastRow="0" w:firstColumn="1" w:lastColumn="0" w:noHBand="0" w:noVBand="1"/>
      </w:tblPr>
      <w:tblGrid>
        <w:gridCol w:w="1980"/>
        <w:gridCol w:w="2693"/>
        <w:gridCol w:w="1559"/>
        <w:gridCol w:w="1134"/>
        <w:gridCol w:w="1134"/>
        <w:gridCol w:w="1134"/>
      </w:tblGrid>
      <w:tr w:rsidR="00CA1386" w:rsidRPr="00503E44" w14:paraId="1264999A" w14:textId="77777777" w:rsidTr="001C52D5">
        <w:trPr>
          <w:trHeight w:val="458"/>
          <w:jc w:val="center"/>
        </w:trPr>
        <w:tc>
          <w:tcPr>
            <w:tcW w:w="1980" w:type="dxa"/>
            <w:shd w:val="clear" w:color="auto" w:fill="F2CEED" w:themeFill="accent5" w:themeFillTint="33"/>
            <w:vAlign w:val="center"/>
            <w:hideMark/>
          </w:tcPr>
          <w:p w14:paraId="613C6F11" w14:textId="77777777" w:rsidR="00CA1386" w:rsidRPr="00503E44" w:rsidRDefault="00CA1386" w:rsidP="001C52D5">
            <w:pPr>
              <w:jc w:val="center"/>
              <w:rPr>
                <w:rFonts w:cstheme="minorHAnsi"/>
                <w:b/>
                <w:bCs/>
                <w:sz w:val="18"/>
                <w:szCs w:val="18"/>
                <w:lang w:eastAsia="en-GB"/>
              </w:rPr>
            </w:pPr>
            <w:r w:rsidRPr="00503E44">
              <w:rPr>
                <w:rFonts w:cstheme="minorHAnsi"/>
              </w:rPr>
              <w:br w:type="page"/>
            </w:r>
            <w:r w:rsidRPr="00503E44">
              <w:br w:type="page"/>
            </w:r>
            <w:r w:rsidRPr="00503E44">
              <w:rPr>
                <w:rFonts w:cstheme="minorHAnsi"/>
                <w:b/>
                <w:bCs/>
                <w:sz w:val="18"/>
                <w:szCs w:val="18"/>
                <w:lang w:eastAsia="en-GB"/>
              </w:rPr>
              <w:t>Genetic alteration</w:t>
            </w:r>
          </w:p>
        </w:tc>
        <w:tc>
          <w:tcPr>
            <w:tcW w:w="2693" w:type="dxa"/>
            <w:shd w:val="clear" w:color="auto" w:fill="F2CEED" w:themeFill="accent5" w:themeFillTint="33"/>
            <w:vAlign w:val="center"/>
          </w:tcPr>
          <w:p w14:paraId="667DC214" w14:textId="77777777" w:rsidR="00CA1386" w:rsidRPr="00CA1386" w:rsidRDefault="00CA1386" w:rsidP="001C52D5">
            <w:pPr>
              <w:jc w:val="center"/>
              <w:rPr>
                <w:rFonts w:cstheme="minorHAnsi"/>
                <w:b/>
                <w:bCs/>
                <w:sz w:val="18"/>
                <w:szCs w:val="18"/>
                <w:lang w:val="en-GB" w:eastAsia="en-GB"/>
              </w:rPr>
            </w:pPr>
            <w:r w:rsidRPr="00CA1386">
              <w:rPr>
                <w:rFonts w:cstheme="minorHAnsi"/>
                <w:b/>
                <w:bCs/>
                <w:sz w:val="18"/>
                <w:szCs w:val="18"/>
                <w:lang w:val="en-GB" w:eastAsia="en-GB"/>
              </w:rPr>
              <w:t>Tumor types harboured rearrangements and fusions</w:t>
            </w:r>
          </w:p>
        </w:tc>
        <w:tc>
          <w:tcPr>
            <w:tcW w:w="1559" w:type="dxa"/>
            <w:shd w:val="clear" w:color="auto" w:fill="F2CEED" w:themeFill="accent5" w:themeFillTint="33"/>
            <w:vAlign w:val="center"/>
          </w:tcPr>
          <w:p w14:paraId="018B707B" w14:textId="77777777" w:rsidR="00CA1386" w:rsidRPr="00503E44" w:rsidRDefault="00CA1386" w:rsidP="001C52D5">
            <w:pPr>
              <w:jc w:val="center"/>
              <w:rPr>
                <w:rFonts w:cstheme="minorHAnsi"/>
                <w:b/>
                <w:bCs/>
                <w:sz w:val="18"/>
                <w:szCs w:val="18"/>
                <w:lang w:eastAsia="en-GB"/>
              </w:rPr>
            </w:pPr>
            <w:r w:rsidRPr="00503E44">
              <w:rPr>
                <w:rFonts w:cstheme="minorHAnsi"/>
                <w:b/>
                <w:bCs/>
                <w:sz w:val="18"/>
                <w:szCs w:val="18"/>
                <w:lang w:eastAsia="en-GB"/>
              </w:rPr>
              <w:t xml:space="preserve">Frequency (%) in literature </w:t>
            </w:r>
          </w:p>
        </w:tc>
        <w:tc>
          <w:tcPr>
            <w:tcW w:w="1134" w:type="dxa"/>
            <w:shd w:val="clear" w:color="auto" w:fill="F2CEED" w:themeFill="accent5" w:themeFillTint="33"/>
            <w:vAlign w:val="center"/>
          </w:tcPr>
          <w:p w14:paraId="5D66D1C9" w14:textId="77777777" w:rsidR="00CA1386" w:rsidRPr="00503E44" w:rsidRDefault="00CA1386" w:rsidP="001C52D5">
            <w:pPr>
              <w:jc w:val="center"/>
              <w:rPr>
                <w:rFonts w:cstheme="minorHAnsi"/>
                <w:b/>
                <w:bCs/>
                <w:sz w:val="18"/>
                <w:szCs w:val="18"/>
                <w:lang w:eastAsia="en-GB"/>
              </w:rPr>
            </w:pPr>
            <w:r w:rsidRPr="00503E44">
              <w:rPr>
                <w:rFonts w:cstheme="minorHAnsi"/>
                <w:b/>
                <w:bCs/>
                <w:sz w:val="18"/>
                <w:szCs w:val="18"/>
                <w:lang w:eastAsia="en-GB"/>
              </w:rPr>
              <w:t>N° cases by FISH</w:t>
            </w:r>
          </w:p>
        </w:tc>
        <w:tc>
          <w:tcPr>
            <w:tcW w:w="1134" w:type="dxa"/>
            <w:shd w:val="clear" w:color="auto" w:fill="F2CEED" w:themeFill="accent5" w:themeFillTint="33"/>
            <w:vAlign w:val="center"/>
          </w:tcPr>
          <w:p w14:paraId="4C8AE137" w14:textId="77777777" w:rsidR="00CA1386" w:rsidRPr="00503E44" w:rsidRDefault="00CA1386" w:rsidP="001C52D5">
            <w:pPr>
              <w:jc w:val="center"/>
              <w:rPr>
                <w:rFonts w:cstheme="minorHAnsi"/>
                <w:b/>
                <w:bCs/>
                <w:sz w:val="18"/>
                <w:szCs w:val="18"/>
                <w:lang w:eastAsia="en-GB"/>
              </w:rPr>
            </w:pPr>
            <w:r w:rsidRPr="00503E44">
              <w:rPr>
                <w:rFonts w:cstheme="minorHAnsi"/>
                <w:b/>
                <w:bCs/>
                <w:sz w:val="18"/>
                <w:szCs w:val="18"/>
                <w:lang w:eastAsia="en-GB"/>
              </w:rPr>
              <w:t>N° cases by methylation</w:t>
            </w:r>
          </w:p>
        </w:tc>
        <w:tc>
          <w:tcPr>
            <w:tcW w:w="1134" w:type="dxa"/>
            <w:shd w:val="clear" w:color="auto" w:fill="F2CEED" w:themeFill="accent5" w:themeFillTint="33"/>
            <w:vAlign w:val="center"/>
          </w:tcPr>
          <w:p w14:paraId="06EECE14" w14:textId="77777777" w:rsidR="00CA1386" w:rsidRPr="00CA1386" w:rsidRDefault="00CA1386" w:rsidP="001C52D5">
            <w:pPr>
              <w:jc w:val="center"/>
              <w:rPr>
                <w:rFonts w:cstheme="minorHAnsi"/>
                <w:b/>
                <w:bCs/>
                <w:sz w:val="18"/>
                <w:szCs w:val="18"/>
                <w:lang w:val="en-GB" w:eastAsia="en-GB"/>
              </w:rPr>
            </w:pPr>
            <w:r w:rsidRPr="00CA1386">
              <w:rPr>
                <w:rFonts w:cstheme="minorHAnsi"/>
                <w:b/>
                <w:bCs/>
                <w:sz w:val="18"/>
                <w:szCs w:val="18"/>
                <w:lang w:val="en-GB" w:eastAsia="en-GB"/>
              </w:rPr>
              <w:t>N° cases by RNA-seq</w:t>
            </w:r>
          </w:p>
        </w:tc>
      </w:tr>
      <w:tr w:rsidR="00CA1386" w:rsidRPr="00493827" w14:paraId="282902B1" w14:textId="77777777" w:rsidTr="001C52D5">
        <w:trPr>
          <w:trHeight w:val="391"/>
          <w:jc w:val="center"/>
        </w:trPr>
        <w:tc>
          <w:tcPr>
            <w:tcW w:w="1980" w:type="dxa"/>
            <w:tcBorders>
              <w:bottom w:val="single" w:sz="4" w:space="0" w:color="auto"/>
            </w:tcBorders>
            <w:vAlign w:val="center"/>
            <w:hideMark/>
          </w:tcPr>
          <w:p w14:paraId="38657599" w14:textId="77777777" w:rsidR="00CA1386" w:rsidRPr="00C23B7A" w:rsidRDefault="00CA1386" w:rsidP="001C52D5">
            <w:pPr>
              <w:rPr>
                <w:rFonts w:cstheme="minorHAnsi"/>
                <w:b/>
                <w:bCs/>
                <w:sz w:val="18"/>
                <w:szCs w:val="18"/>
                <w:lang w:eastAsia="en-GB"/>
              </w:rPr>
            </w:pPr>
            <w:r w:rsidRPr="00C23B7A">
              <w:rPr>
                <w:rFonts w:cstheme="minorHAnsi"/>
                <w:b/>
                <w:bCs/>
                <w:i/>
                <w:iCs/>
                <w:sz w:val="18"/>
                <w:szCs w:val="18"/>
                <w:lang w:eastAsia="en-GB"/>
              </w:rPr>
              <w:t>MYB</w:t>
            </w:r>
            <w:r w:rsidRPr="00C23B7A">
              <w:rPr>
                <w:rFonts w:cstheme="minorHAnsi"/>
                <w:b/>
                <w:bCs/>
                <w:sz w:val="18"/>
                <w:szCs w:val="18"/>
                <w:lang w:eastAsia="en-GB"/>
              </w:rPr>
              <w:t xml:space="preserve"> rearrangements</w:t>
            </w:r>
          </w:p>
        </w:tc>
        <w:tc>
          <w:tcPr>
            <w:tcW w:w="2693" w:type="dxa"/>
            <w:vMerge w:val="restart"/>
            <w:tcBorders>
              <w:bottom w:val="single" w:sz="4" w:space="0" w:color="auto"/>
            </w:tcBorders>
            <w:vAlign w:val="center"/>
          </w:tcPr>
          <w:p w14:paraId="275D4174" w14:textId="77777777" w:rsidR="00CA1386" w:rsidRPr="00CA1386" w:rsidRDefault="00CA1386" w:rsidP="001C52D5">
            <w:pPr>
              <w:jc w:val="center"/>
              <w:rPr>
                <w:rFonts w:cstheme="minorHAnsi"/>
                <w:i/>
                <w:iCs/>
                <w:sz w:val="16"/>
                <w:szCs w:val="16"/>
                <w:lang w:val="en-GB" w:eastAsia="en-GB"/>
              </w:rPr>
            </w:pPr>
            <w:r w:rsidRPr="00CA1386">
              <w:rPr>
                <w:rFonts w:cstheme="minorHAnsi"/>
                <w:sz w:val="16"/>
                <w:szCs w:val="16"/>
                <w:lang w:val="en-GB" w:eastAsia="en-GB"/>
              </w:rPr>
              <w:t>Diffuse astrocytoma </w:t>
            </w:r>
            <w:r w:rsidRPr="00CA1386">
              <w:rPr>
                <w:rFonts w:cstheme="minorHAnsi"/>
                <w:i/>
                <w:iCs/>
                <w:sz w:val="16"/>
                <w:szCs w:val="16"/>
                <w:lang w:val="en-GB" w:eastAsia="en-GB"/>
              </w:rPr>
              <w:t>MYB-</w:t>
            </w:r>
            <w:r w:rsidRPr="00CA1386">
              <w:rPr>
                <w:rFonts w:cstheme="minorHAnsi"/>
                <w:sz w:val="16"/>
                <w:szCs w:val="16"/>
                <w:lang w:val="en-GB" w:eastAsia="en-GB"/>
              </w:rPr>
              <w:t> or </w:t>
            </w:r>
            <w:r w:rsidRPr="00CA1386">
              <w:rPr>
                <w:rFonts w:cstheme="minorHAnsi"/>
                <w:i/>
                <w:iCs/>
                <w:sz w:val="16"/>
                <w:szCs w:val="16"/>
                <w:lang w:val="en-GB" w:eastAsia="en-GB"/>
              </w:rPr>
              <w:t>MYBL1</w:t>
            </w:r>
            <w:r w:rsidRPr="00CA1386">
              <w:rPr>
                <w:rFonts w:cstheme="minorHAnsi"/>
                <w:sz w:val="16"/>
                <w:szCs w:val="16"/>
                <w:lang w:val="en-GB" w:eastAsia="en-GB"/>
              </w:rPr>
              <w:t>-altered</w:t>
            </w:r>
          </w:p>
        </w:tc>
        <w:tc>
          <w:tcPr>
            <w:tcW w:w="1559" w:type="dxa"/>
            <w:vMerge w:val="restart"/>
            <w:tcBorders>
              <w:bottom w:val="single" w:sz="4" w:space="0" w:color="auto"/>
            </w:tcBorders>
            <w:vAlign w:val="center"/>
          </w:tcPr>
          <w:p w14:paraId="3FA4D4EF"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100%</w:t>
            </w:r>
          </w:p>
        </w:tc>
        <w:tc>
          <w:tcPr>
            <w:tcW w:w="1134" w:type="dxa"/>
            <w:vMerge w:val="restart"/>
            <w:vAlign w:val="center"/>
          </w:tcPr>
          <w:p w14:paraId="3189ADD7"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10</w:t>
            </w:r>
          </w:p>
        </w:tc>
        <w:tc>
          <w:tcPr>
            <w:tcW w:w="1134" w:type="dxa"/>
            <w:vMerge w:val="restart"/>
            <w:vAlign w:val="center"/>
          </w:tcPr>
          <w:p w14:paraId="09DEE2DB"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4</w:t>
            </w:r>
          </w:p>
        </w:tc>
        <w:tc>
          <w:tcPr>
            <w:tcW w:w="1134" w:type="dxa"/>
            <w:vMerge w:val="restart"/>
            <w:vAlign w:val="center"/>
          </w:tcPr>
          <w:p w14:paraId="46B1A58E" w14:textId="77777777" w:rsidR="00CA1386" w:rsidRPr="00505E79" w:rsidRDefault="00CA1386" w:rsidP="001C52D5">
            <w:pPr>
              <w:jc w:val="center"/>
              <w:rPr>
                <w:rFonts w:eastAsia="Times New Roman" w:cstheme="minorHAnsi"/>
                <w:color w:val="FF0000"/>
                <w:sz w:val="20"/>
                <w:szCs w:val="20"/>
                <w:lang w:eastAsia="en-GB"/>
              </w:rPr>
            </w:pPr>
            <w:r w:rsidRPr="00505E79">
              <w:rPr>
                <w:rFonts w:cstheme="minorHAnsi"/>
                <w:sz w:val="20"/>
                <w:szCs w:val="20"/>
                <w:lang w:eastAsia="en-GB"/>
              </w:rPr>
              <w:t>4</w:t>
            </w:r>
          </w:p>
        </w:tc>
      </w:tr>
      <w:tr w:rsidR="00CA1386" w:rsidRPr="00493827" w14:paraId="6AA2797E" w14:textId="77777777" w:rsidTr="001C52D5">
        <w:trPr>
          <w:trHeight w:val="288"/>
          <w:jc w:val="center"/>
        </w:trPr>
        <w:tc>
          <w:tcPr>
            <w:tcW w:w="1980" w:type="dxa"/>
            <w:vAlign w:val="center"/>
          </w:tcPr>
          <w:p w14:paraId="48590C6E" w14:textId="77777777" w:rsidR="00CA1386" w:rsidRPr="00C23B7A" w:rsidRDefault="00CA1386" w:rsidP="001C52D5">
            <w:pPr>
              <w:rPr>
                <w:rFonts w:eastAsia="Times New Roman" w:cstheme="minorHAnsi"/>
                <w:b/>
                <w:bCs/>
                <w:i/>
                <w:iCs/>
                <w:sz w:val="18"/>
                <w:szCs w:val="18"/>
                <w:lang w:eastAsia="en-GB"/>
              </w:rPr>
            </w:pPr>
            <w:r w:rsidRPr="00C23B7A">
              <w:rPr>
                <w:rFonts w:cstheme="minorHAnsi"/>
                <w:b/>
                <w:bCs/>
                <w:i/>
                <w:iCs/>
                <w:sz w:val="18"/>
                <w:szCs w:val="18"/>
                <w:lang w:eastAsia="en-GB"/>
              </w:rPr>
              <w:t xml:space="preserve">MYBL1 </w:t>
            </w:r>
            <w:r w:rsidRPr="00C23B7A">
              <w:rPr>
                <w:rFonts w:cstheme="minorHAnsi"/>
                <w:b/>
                <w:bCs/>
                <w:sz w:val="18"/>
                <w:szCs w:val="18"/>
                <w:lang w:eastAsia="en-GB"/>
              </w:rPr>
              <w:t>rearrangements</w:t>
            </w:r>
          </w:p>
        </w:tc>
        <w:tc>
          <w:tcPr>
            <w:tcW w:w="2693" w:type="dxa"/>
            <w:vMerge/>
            <w:vAlign w:val="center"/>
          </w:tcPr>
          <w:p w14:paraId="1B3EA06B" w14:textId="77777777" w:rsidR="00CA1386" w:rsidRPr="0040676F" w:rsidRDefault="00CA1386" w:rsidP="001C52D5">
            <w:pPr>
              <w:jc w:val="center"/>
              <w:rPr>
                <w:rFonts w:eastAsia="Times New Roman" w:cstheme="minorHAnsi"/>
                <w:sz w:val="16"/>
                <w:szCs w:val="16"/>
                <w:lang w:eastAsia="en-GB"/>
              </w:rPr>
            </w:pPr>
          </w:p>
        </w:tc>
        <w:tc>
          <w:tcPr>
            <w:tcW w:w="1559" w:type="dxa"/>
            <w:vMerge/>
            <w:vAlign w:val="center"/>
          </w:tcPr>
          <w:p w14:paraId="4C9CF526" w14:textId="77777777" w:rsidR="00CA1386" w:rsidRPr="00505E79" w:rsidRDefault="00CA1386" w:rsidP="001C52D5">
            <w:pPr>
              <w:jc w:val="center"/>
              <w:rPr>
                <w:rFonts w:eastAsia="Times New Roman" w:cstheme="minorHAnsi"/>
                <w:sz w:val="18"/>
                <w:szCs w:val="18"/>
                <w:lang w:eastAsia="en-GB"/>
              </w:rPr>
            </w:pPr>
          </w:p>
        </w:tc>
        <w:tc>
          <w:tcPr>
            <w:tcW w:w="1134" w:type="dxa"/>
            <w:vMerge/>
            <w:vAlign w:val="center"/>
          </w:tcPr>
          <w:p w14:paraId="3C758933" w14:textId="77777777" w:rsidR="00CA1386" w:rsidRPr="00505E79" w:rsidRDefault="00CA1386" w:rsidP="001C52D5">
            <w:pPr>
              <w:jc w:val="center"/>
              <w:rPr>
                <w:rFonts w:eastAsia="Times New Roman" w:cstheme="minorHAnsi"/>
                <w:sz w:val="20"/>
                <w:szCs w:val="20"/>
                <w:lang w:eastAsia="en-GB"/>
              </w:rPr>
            </w:pPr>
          </w:p>
        </w:tc>
        <w:tc>
          <w:tcPr>
            <w:tcW w:w="1134" w:type="dxa"/>
            <w:vMerge/>
            <w:vAlign w:val="center"/>
          </w:tcPr>
          <w:p w14:paraId="041D2D91" w14:textId="77777777" w:rsidR="00CA1386" w:rsidRPr="00505E79" w:rsidRDefault="00CA1386" w:rsidP="001C52D5">
            <w:pPr>
              <w:jc w:val="center"/>
              <w:rPr>
                <w:rFonts w:eastAsia="Times New Roman" w:cstheme="minorHAnsi"/>
                <w:sz w:val="20"/>
                <w:szCs w:val="20"/>
                <w:lang w:eastAsia="en-GB"/>
              </w:rPr>
            </w:pPr>
          </w:p>
        </w:tc>
        <w:tc>
          <w:tcPr>
            <w:tcW w:w="1134" w:type="dxa"/>
            <w:vMerge/>
          </w:tcPr>
          <w:p w14:paraId="6E69C474" w14:textId="77777777" w:rsidR="00CA1386" w:rsidRPr="00505E79" w:rsidRDefault="00CA1386" w:rsidP="001C52D5">
            <w:pPr>
              <w:jc w:val="center"/>
              <w:rPr>
                <w:rFonts w:eastAsia="Times New Roman" w:cstheme="minorHAnsi"/>
                <w:color w:val="FF0000"/>
                <w:sz w:val="20"/>
                <w:szCs w:val="20"/>
                <w:lang w:eastAsia="en-GB"/>
              </w:rPr>
            </w:pPr>
          </w:p>
        </w:tc>
      </w:tr>
      <w:tr w:rsidR="00CA1386" w:rsidRPr="00493827" w14:paraId="2A83CA47" w14:textId="77777777" w:rsidTr="001C52D5">
        <w:trPr>
          <w:trHeight w:val="385"/>
          <w:jc w:val="center"/>
        </w:trPr>
        <w:tc>
          <w:tcPr>
            <w:tcW w:w="1980" w:type="dxa"/>
            <w:shd w:val="clear" w:color="auto" w:fill="F2F2F2" w:themeFill="background1" w:themeFillShade="F2"/>
            <w:vAlign w:val="center"/>
            <w:hideMark/>
          </w:tcPr>
          <w:p w14:paraId="761BD194" w14:textId="77777777" w:rsidR="00CA1386" w:rsidRPr="00C23B7A" w:rsidRDefault="00CA1386" w:rsidP="001C52D5">
            <w:pPr>
              <w:rPr>
                <w:rFonts w:eastAsia="Times New Roman" w:cstheme="minorHAnsi"/>
                <w:b/>
                <w:bCs/>
                <w:sz w:val="18"/>
                <w:szCs w:val="18"/>
                <w:lang w:eastAsia="en-GB"/>
              </w:rPr>
            </w:pPr>
            <w:r w:rsidRPr="00C23B7A">
              <w:rPr>
                <w:rFonts w:eastAsia="Times New Roman" w:cstheme="minorHAnsi"/>
                <w:b/>
                <w:bCs/>
                <w:i/>
                <w:iCs/>
                <w:sz w:val="18"/>
                <w:szCs w:val="18"/>
                <w:lang w:eastAsia="en-GB"/>
              </w:rPr>
              <w:t xml:space="preserve">ZFTA </w:t>
            </w:r>
            <w:r w:rsidRPr="00C23B7A">
              <w:rPr>
                <w:rFonts w:cstheme="minorHAnsi"/>
                <w:b/>
                <w:bCs/>
                <w:sz w:val="18"/>
                <w:szCs w:val="18"/>
                <w:lang w:eastAsia="en-GB"/>
              </w:rPr>
              <w:t xml:space="preserve">rearrangements </w:t>
            </w:r>
          </w:p>
        </w:tc>
        <w:tc>
          <w:tcPr>
            <w:tcW w:w="2693" w:type="dxa"/>
            <w:vMerge w:val="restart"/>
            <w:shd w:val="clear" w:color="auto" w:fill="F2F2F2" w:themeFill="background1" w:themeFillShade="F2"/>
            <w:vAlign w:val="center"/>
          </w:tcPr>
          <w:p w14:paraId="24440FCE" w14:textId="77777777" w:rsidR="00CA1386" w:rsidRPr="0040676F" w:rsidRDefault="00CA1386" w:rsidP="001C52D5">
            <w:pPr>
              <w:jc w:val="center"/>
              <w:rPr>
                <w:rFonts w:eastAsia="Times New Roman" w:cstheme="minorHAnsi"/>
                <w:i/>
                <w:iCs/>
                <w:sz w:val="16"/>
                <w:szCs w:val="16"/>
                <w:lang w:eastAsia="en-GB"/>
              </w:rPr>
            </w:pPr>
            <w:r w:rsidRPr="0040676F">
              <w:rPr>
                <w:rFonts w:eastAsia="Times New Roman" w:cstheme="minorHAnsi"/>
                <w:sz w:val="16"/>
                <w:szCs w:val="16"/>
                <w:lang w:eastAsia="en-GB"/>
              </w:rPr>
              <w:t>Supratentorial ependymomas</w:t>
            </w:r>
          </w:p>
        </w:tc>
        <w:tc>
          <w:tcPr>
            <w:tcW w:w="1559" w:type="dxa"/>
            <w:shd w:val="clear" w:color="auto" w:fill="F2F2F2" w:themeFill="background1" w:themeFillShade="F2"/>
            <w:vAlign w:val="center"/>
          </w:tcPr>
          <w:p w14:paraId="621F212F"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70%</w:t>
            </w:r>
          </w:p>
        </w:tc>
        <w:tc>
          <w:tcPr>
            <w:tcW w:w="1134" w:type="dxa"/>
            <w:vMerge w:val="restart"/>
            <w:shd w:val="clear" w:color="auto" w:fill="F2F2F2" w:themeFill="background1" w:themeFillShade="F2"/>
            <w:vAlign w:val="center"/>
          </w:tcPr>
          <w:p w14:paraId="5F48EFA0"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12</w:t>
            </w:r>
          </w:p>
        </w:tc>
        <w:tc>
          <w:tcPr>
            <w:tcW w:w="1134" w:type="dxa"/>
            <w:vMerge w:val="restart"/>
            <w:shd w:val="clear" w:color="auto" w:fill="F2F2F2" w:themeFill="background1" w:themeFillShade="F2"/>
            <w:vAlign w:val="center"/>
          </w:tcPr>
          <w:p w14:paraId="0C1DA804"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5</w:t>
            </w:r>
          </w:p>
        </w:tc>
        <w:tc>
          <w:tcPr>
            <w:tcW w:w="1134" w:type="dxa"/>
            <w:vMerge w:val="restart"/>
            <w:shd w:val="clear" w:color="auto" w:fill="F2F2F2" w:themeFill="background1" w:themeFillShade="F2"/>
            <w:vAlign w:val="center"/>
          </w:tcPr>
          <w:p w14:paraId="68C36197" w14:textId="77777777" w:rsidR="00CA1386" w:rsidRPr="00505E79" w:rsidRDefault="00CA1386" w:rsidP="001C52D5">
            <w:pPr>
              <w:jc w:val="center"/>
              <w:rPr>
                <w:rFonts w:eastAsia="Times New Roman" w:cstheme="minorHAnsi"/>
                <w:color w:val="FF0000"/>
                <w:sz w:val="20"/>
                <w:szCs w:val="20"/>
                <w:lang w:eastAsia="en-GB"/>
              </w:rPr>
            </w:pPr>
            <w:r w:rsidRPr="00505E79">
              <w:rPr>
                <w:rFonts w:cstheme="minorHAnsi"/>
                <w:sz w:val="20"/>
                <w:szCs w:val="20"/>
                <w:lang w:eastAsia="en-GB"/>
              </w:rPr>
              <w:t>5</w:t>
            </w:r>
          </w:p>
        </w:tc>
      </w:tr>
      <w:tr w:rsidR="00CA1386" w:rsidRPr="00493827" w14:paraId="52C0193B" w14:textId="77777777" w:rsidTr="001C52D5">
        <w:trPr>
          <w:trHeight w:val="288"/>
          <w:jc w:val="center"/>
        </w:trPr>
        <w:tc>
          <w:tcPr>
            <w:tcW w:w="1980" w:type="dxa"/>
            <w:shd w:val="clear" w:color="auto" w:fill="F2F2F2" w:themeFill="background1" w:themeFillShade="F2"/>
            <w:vAlign w:val="center"/>
          </w:tcPr>
          <w:p w14:paraId="1CF3D944" w14:textId="77777777" w:rsidR="00CA1386" w:rsidRPr="00C23B7A" w:rsidRDefault="00CA1386" w:rsidP="001C52D5">
            <w:pPr>
              <w:rPr>
                <w:rFonts w:eastAsia="Times New Roman" w:cstheme="minorHAnsi"/>
                <w:b/>
                <w:bCs/>
                <w:i/>
                <w:iCs/>
                <w:sz w:val="18"/>
                <w:szCs w:val="18"/>
                <w:lang w:eastAsia="en-GB"/>
              </w:rPr>
            </w:pPr>
            <w:r w:rsidRPr="00C23B7A">
              <w:rPr>
                <w:rFonts w:eastAsia="Times New Roman" w:cstheme="minorHAnsi"/>
                <w:b/>
                <w:bCs/>
                <w:i/>
                <w:iCs/>
                <w:sz w:val="18"/>
                <w:szCs w:val="18"/>
                <w:lang w:eastAsia="en-GB"/>
              </w:rPr>
              <w:t>YAP1</w:t>
            </w:r>
            <w:r w:rsidRPr="00C23B7A">
              <w:rPr>
                <w:rFonts w:eastAsia="Times New Roman" w:cstheme="minorHAnsi"/>
                <w:b/>
                <w:bCs/>
                <w:sz w:val="18"/>
                <w:szCs w:val="18"/>
                <w:lang w:eastAsia="en-GB"/>
              </w:rPr>
              <w:t xml:space="preserve"> </w:t>
            </w:r>
            <w:r w:rsidRPr="00C23B7A">
              <w:rPr>
                <w:rFonts w:cstheme="minorHAnsi"/>
                <w:b/>
                <w:bCs/>
                <w:sz w:val="18"/>
                <w:szCs w:val="18"/>
                <w:lang w:eastAsia="en-GB"/>
              </w:rPr>
              <w:t xml:space="preserve">rearrangements </w:t>
            </w:r>
          </w:p>
        </w:tc>
        <w:tc>
          <w:tcPr>
            <w:tcW w:w="2693" w:type="dxa"/>
            <w:vMerge/>
            <w:shd w:val="clear" w:color="auto" w:fill="F2F2F2" w:themeFill="background1" w:themeFillShade="F2"/>
            <w:vAlign w:val="center"/>
          </w:tcPr>
          <w:p w14:paraId="51E2C684" w14:textId="77777777" w:rsidR="00CA1386" w:rsidRPr="0040676F" w:rsidRDefault="00CA1386" w:rsidP="001C52D5">
            <w:pPr>
              <w:jc w:val="center"/>
              <w:rPr>
                <w:rFonts w:eastAsia="Times New Roman" w:cstheme="minorHAnsi"/>
                <w:sz w:val="16"/>
                <w:szCs w:val="16"/>
                <w:lang w:eastAsia="en-GB"/>
              </w:rPr>
            </w:pPr>
          </w:p>
        </w:tc>
        <w:tc>
          <w:tcPr>
            <w:tcW w:w="1559" w:type="dxa"/>
            <w:shd w:val="clear" w:color="auto" w:fill="F2F2F2" w:themeFill="background1" w:themeFillShade="F2"/>
            <w:vAlign w:val="center"/>
          </w:tcPr>
          <w:p w14:paraId="03E6945E"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10%</w:t>
            </w:r>
          </w:p>
          <w:p w14:paraId="3FD68888"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&gt;20% in &lt;3 years</w:t>
            </w:r>
          </w:p>
        </w:tc>
        <w:tc>
          <w:tcPr>
            <w:tcW w:w="1134" w:type="dxa"/>
            <w:vMerge/>
            <w:shd w:val="clear" w:color="auto" w:fill="F2F2F2" w:themeFill="background1" w:themeFillShade="F2"/>
            <w:vAlign w:val="center"/>
          </w:tcPr>
          <w:p w14:paraId="24408D98" w14:textId="77777777" w:rsidR="00CA1386" w:rsidRPr="00505E79" w:rsidRDefault="00CA1386" w:rsidP="001C52D5">
            <w:pPr>
              <w:jc w:val="center"/>
              <w:rPr>
                <w:rFonts w:eastAsia="Times New Roman" w:cstheme="minorHAnsi"/>
                <w:sz w:val="20"/>
                <w:szCs w:val="20"/>
                <w:lang w:eastAsia="en-GB"/>
              </w:rPr>
            </w:pPr>
          </w:p>
        </w:tc>
        <w:tc>
          <w:tcPr>
            <w:tcW w:w="1134" w:type="dxa"/>
            <w:vMerge/>
            <w:shd w:val="clear" w:color="auto" w:fill="F2F2F2" w:themeFill="background1" w:themeFillShade="F2"/>
            <w:vAlign w:val="center"/>
          </w:tcPr>
          <w:p w14:paraId="5B84BEEF" w14:textId="77777777" w:rsidR="00CA1386" w:rsidRPr="00505E79" w:rsidRDefault="00CA1386" w:rsidP="001C52D5">
            <w:pPr>
              <w:jc w:val="center"/>
              <w:rPr>
                <w:rFonts w:eastAsia="Times New Roman" w:cstheme="minorHAnsi"/>
                <w:sz w:val="20"/>
                <w:szCs w:val="20"/>
                <w:lang w:eastAsia="en-GB"/>
              </w:rPr>
            </w:pPr>
          </w:p>
        </w:tc>
        <w:tc>
          <w:tcPr>
            <w:tcW w:w="1134" w:type="dxa"/>
            <w:vMerge/>
            <w:shd w:val="clear" w:color="auto" w:fill="F2F2F2" w:themeFill="background1" w:themeFillShade="F2"/>
          </w:tcPr>
          <w:p w14:paraId="0E9DB1F1" w14:textId="77777777" w:rsidR="00CA1386" w:rsidRPr="00505E79" w:rsidRDefault="00CA1386" w:rsidP="001C52D5">
            <w:pPr>
              <w:jc w:val="center"/>
              <w:rPr>
                <w:rFonts w:eastAsia="Times New Roman" w:cstheme="minorHAnsi"/>
                <w:color w:val="FF0000"/>
                <w:sz w:val="20"/>
                <w:szCs w:val="20"/>
                <w:lang w:eastAsia="en-GB"/>
              </w:rPr>
            </w:pPr>
          </w:p>
        </w:tc>
      </w:tr>
      <w:tr w:rsidR="00CA1386" w:rsidRPr="00493827" w14:paraId="4B8B91E7" w14:textId="77777777" w:rsidTr="001C52D5">
        <w:trPr>
          <w:trHeight w:val="415"/>
          <w:jc w:val="center"/>
        </w:trPr>
        <w:tc>
          <w:tcPr>
            <w:tcW w:w="1980" w:type="dxa"/>
            <w:vAlign w:val="center"/>
            <w:hideMark/>
          </w:tcPr>
          <w:p w14:paraId="2E94CC7E" w14:textId="77777777" w:rsidR="00CA1386" w:rsidRPr="00C23B7A" w:rsidRDefault="00CA1386" w:rsidP="001C52D5">
            <w:pPr>
              <w:rPr>
                <w:rFonts w:eastAsia="Times New Roman" w:cstheme="minorHAnsi"/>
                <w:b/>
                <w:bCs/>
                <w:sz w:val="18"/>
                <w:szCs w:val="18"/>
                <w:lang w:eastAsia="en-GB"/>
              </w:rPr>
            </w:pPr>
            <w:r w:rsidRPr="00C23B7A">
              <w:rPr>
                <w:rFonts w:eastAsia="Times New Roman" w:cstheme="minorHAnsi"/>
                <w:b/>
                <w:bCs/>
                <w:i/>
                <w:iCs/>
                <w:sz w:val="18"/>
                <w:szCs w:val="18"/>
                <w:lang w:eastAsia="en-GB"/>
              </w:rPr>
              <w:t xml:space="preserve">MN1 </w:t>
            </w:r>
            <w:r w:rsidRPr="00C23B7A">
              <w:rPr>
                <w:rFonts w:cstheme="minorHAnsi"/>
                <w:b/>
                <w:bCs/>
                <w:sz w:val="18"/>
                <w:szCs w:val="18"/>
                <w:lang w:eastAsia="en-GB"/>
              </w:rPr>
              <w:t>rearrangements</w:t>
            </w:r>
          </w:p>
        </w:tc>
        <w:tc>
          <w:tcPr>
            <w:tcW w:w="2693" w:type="dxa"/>
            <w:vAlign w:val="center"/>
          </w:tcPr>
          <w:p w14:paraId="1D75D25F" w14:textId="77777777" w:rsidR="00CA1386" w:rsidRPr="0040676F" w:rsidRDefault="00CA1386" w:rsidP="001C52D5">
            <w:pPr>
              <w:jc w:val="center"/>
              <w:rPr>
                <w:rFonts w:eastAsia="Times New Roman" w:cstheme="minorHAnsi"/>
                <w:i/>
                <w:iCs/>
                <w:sz w:val="16"/>
                <w:szCs w:val="16"/>
                <w:lang w:eastAsia="en-GB"/>
              </w:rPr>
            </w:pPr>
            <w:r w:rsidRPr="0040676F">
              <w:rPr>
                <w:rFonts w:eastAsia="Times New Roman" w:cstheme="minorHAnsi"/>
                <w:sz w:val="16"/>
                <w:szCs w:val="16"/>
                <w:lang w:eastAsia="en-GB"/>
              </w:rPr>
              <w:t>Astroblastoma, </w:t>
            </w:r>
            <w:r w:rsidRPr="0040676F">
              <w:rPr>
                <w:rFonts w:eastAsia="Times New Roman" w:cstheme="minorHAnsi"/>
                <w:i/>
                <w:iCs/>
                <w:sz w:val="16"/>
                <w:szCs w:val="16"/>
                <w:lang w:eastAsia="en-GB"/>
              </w:rPr>
              <w:t>MN1</w:t>
            </w:r>
            <w:r w:rsidRPr="0040676F">
              <w:rPr>
                <w:rFonts w:eastAsia="Times New Roman" w:cstheme="minorHAnsi"/>
                <w:sz w:val="16"/>
                <w:szCs w:val="16"/>
                <w:lang w:eastAsia="en-GB"/>
              </w:rPr>
              <w:t>-altered</w:t>
            </w:r>
          </w:p>
        </w:tc>
        <w:tc>
          <w:tcPr>
            <w:tcW w:w="1559" w:type="dxa"/>
            <w:vAlign w:val="center"/>
          </w:tcPr>
          <w:p w14:paraId="4C143CC2"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100%</w:t>
            </w:r>
          </w:p>
        </w:tc>
        <w:tc>
          <w:tcPr>
            <w:tcW w:w="1134" w:type="dxa"/>
            <w:vAlign w:val="center"/>
          </w:tcPr>
          <w:p w14:paraId="3F6BCBCC"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8</w:t>
            </w:r>
          </w:p>
        </w:tc>
        <w:tc>
          <w:tcPr>
            <w:tcW w:w="1134" w:type="dxa"/>
            <w:vAlign w:val="center"/>
          </w:tcPr>
          <w:p w14:paraId="25762B7A"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4</w:t>
            </w:r>
          </w:p>
        </w:tc>
        <w:tc>
          <w:tcPr>
            <w:tcW w:w="1134" w:type="dxa"/>
            <w:vAlign w:val="center"/>
          </w:tcPr>
          <w:p w14:paraId="416E9D0B" w14:textId="77777777" w:rsidR="00CA1386" w:rsidRPr="00505E79" w:rsidRDefault="00CA1386" w:rsidP="001C52D5">
            <w:pPr>
              <w:jc w:val="center"/>
              <w:rPr>
                <w:rFonts w:eastAsia="Times New Roman" w:cstheme="minorHAnsi"/>
                <w:color w:val="FF0000"/>
                <w:sz w:val="20"/>
                <w:szCs w:val="20"/>
                <w:lang w:eastAsia="en-GB"/>
              </w:rPr>
            </w:pPr>
            <w:r w:rsidRPr="00505E79">
              <w:rPr>
                <w:rFonts w:cstheme="minorHAnsi"/>
                <w:sz w:val="20"/>
                <w:szCs w:val="20"/>
                <w:lang w:eastAsia="en-GB"/>
              </w:rPr>
              <w:t>3</w:t>
            </w:r>
          </w:p>
        </w:tc>
      </w:tr>
      <w:tr w:rsidR="00CA1386" w:rsidRPr="00493827" w14:paraId="2C8F008D" w14:textId="77777777" w:rsidTr="001C52D5">
        <w:trPr>
          <w:trHeight w:val="482"/>
          <w:jc w:val="center"/>
        </w:trPr>
        <w:tc>
          <w:tcPr>
            <w:tcW w:w="1980" w:type="dxa"/>
            <w:shd w:val="clear" w:color="auto" w:fill="F2F2F2" w:themeFill="background1" w:themeFillShade="F2"/>
            <w:vAlign w:val="center"/>
            <w:hideMark/>
          </w:tcPr>
          <w:p w14:paraId="44691BC4" w14:textId="77777777" w:rsidR="00CA1386" w:rsidRPr="00C23B7A" w:rsidRDefault="00CA1386" w:rsidP="001C52D5">
            <w:pPr>
              <w:rPr>
                <w:rFonts w:eastAsia="Times New Roman" w:cstheme="minorHAnsi"/>
                <w:b/>
                <w:bCs/>
                <w:sz w:val="18"/>
                <w:szCs w:val="18"/>
                <w:lang w:eastAsia="en-GB"/>
              </w:rPr>
            </w:pPr>
            <w:r w:rsidRPr="00C23B7A">
              <w:rPr>
                <w:rFonts w:eastAsia="Times New Roman" w:cstheme="minorHAnsi"/>
                <w:b/>
                <w:bCs/>
                <w:i/>
                <w:iCs/>
                <w:sz w:val="18"/>
                <w:szCs w:val="18"/>
                <w:lang w:eastAsia="en-GB"/>
              </w:rPr>
              <w:t>KIAA1549-BRAF</w:t>
            </w:r>
            <w:r w:rsidRPr="00C23B7A">
              <w:rPr>
                <w:rFonts w:eastAsia="Times New Roman" w:cstheme="minorHAnsi"/>
                <w:b/>
                <w:bCs/>
                <w:sz w:val="18"/>
                <w:szCs w:val="18"/>
                <w:lang w:eastAsia="en-GB"/>
              </w:rPr>
              <w:t xml:space="preserve"> fusion</w:t>
            </w:r>
          </w:p>
        </w:tc>
        <w:tc>
          <w:tcPr>
            <w:tcW w:w="2693" w:type="dxa"/>
            <w:shd w:val="clear" w:color="auto" w:fill="F2F2F2" w:themeFill="background1" w:themeFillShade="F2"/>
            <w:vAlign w:val="center"/>
          </w:tcPr>
          <w:p w14:paraId="0F5B07AC" w14:textId="77777777" w:rsidR="00CA1386" w:rsidRPr="00CA1386" w:rsidRDefault="00CA1386" w:rsidP="001C52D5">
            <w:pPr>
              <w:jc w:val="center"/>
              <w:rPr>
                <w:rFonts w:eastAsia="Times New Roman" w:cstheme="minorHAnsi"/>
                <w:i/>
                <w:iCs/>
                <w:sz w:val="16"/>
                <w:szCs w:val="16"/>
                <w:lang w:val="en-GB" w:eastAsia="en-GB"/>
              </w:rPr>
            </w:pPr>
            <w:r w:rsidRPr="00CA1386">
              <w:rPr>
                <w:rFonts w:eastAsia="Times New Roman" w:cstheme="minorHAnsi"/>
                <w:sz w:val="16"/>
                <w:szCs w:val="16"/>
                <w:lang w:val="en-GB" w:eastAsia="en-GB"/>
              </w:rPr>
              <w:t>Pilocytic astrocytoma and diffuse leptomeningeal glioneuronal tumor</w:t>
            </w:r>
          </w:p>
        </w:tc>
        <w:tc>
          <w:tcPr>
            <w:tcW w:w="1559" w:type="dxa"/>
            <w:shd w:val="clear" w:color="auto" w:fill="F2F2F2" w:themeFill="background1" w:themeFillShade="F2"/>
            <w:vAlign w:val="center"/>
          </w:tcPr>
          <w:p w14:paraId="32420051"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 xml:space="preserve">80% and 70% </w:t>
            </w:r>
          </w:p>
          <w:p w14:paraId="2912EB0F"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respectively</w:t>
            </w:r>
          </w:p>
        </w:tc>
        <w:tc>
          <w:tcPr>
            <w:tcW w:w="1134" w:type="dxa"/>
            <w:shd w:val="clear" w:color="auto" w:fill="F2F2F2" w:themeFill="background1" w:themeFillShade="F2"/>
            <w:vAlign w:val="center"/>
          </w:tcPr>
          <w:p w14:paraId="55D06ACD"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10</w:t>
            </w:r>
          </w:p>
        </w:tc>
        <w:tc>
          <w:tcPr>
            <w:tcW w:w="1134" w:type="dxa"/>
            <w:shd w:val="clear" w:color="auto" w:fill="F2F2F2" w:themeFill="background1" w:themeFillShade="F2"/>
            <w:vAlign w:val="center"/>
          </w:tcPr>
          <w:p w14:paraId="379E17D6"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4</w:t>
            </w:r>
          </w:p>
        </w:tc>
        <w:tc>
          <w:tcPr>
            <w:tcW w:w="1134" w:type="dxa"/>
            <w:shd w:val="clear" w:color="auto" w:fill="F2F2F2" w:themeFill="background1" w:themeFillShade="F2"/>
            <w:vAlign w:val="center"/>
          </w:tcPr>
          <w:p w14:paraId="47052CA8" w14:textId="77777777" w:rsidR="00CA1386" w:rsidRPr="00505E79" w:rsidRDefault="00CA1386" w:rsidP="001C52D5">
            <w:pPr>
              <w:jc w:val="center"/>
              <w:rPr>
                <w:rFonts w:eastAsia="Times New Roman" w:cstheme="minorHAnsi"/>
                <w:color w:val="FF0000"/>
                <w:sz w:val="20"/>
                <w:szCs w:val="20"/>
                <w:lang w:eastAsia="en-GB"/>
              </w:rPr>
            </w:pPr>
            <w:r w:rsidRPr="00505E79">
              <w:rPr>
                <w:rFonts w:cstheme="minorHAnsi"/>
                <w:sz w:val="20"/>
                <w:szCs w:val="20"/>
                <w:lang w:eastAsia="en-GB"/>
              </w:rPr>
              <w:t>2</w:t>
            </w:r>
          </w:p>
        </w:tc>
      </w:tr>
      <w:tr w:rsidR="00CA1386" w:rsidRPr="00493827" w14:paraId="332B2A08" w14:textId="77777777" w:rsidTr="001C52D5">
        <w:trPr>
          <w:trHeight w:val="401"/>
          <w:jc w:val="center"/>
        </w:trPr>
        <w:tc>
          <w:tcPr>
            <w:tcW w:w="1980" w:type="dxa"/>
            <w:vAlign w:val="center"/>
          </w:tcPr>
          <w:p w14:paraId="0514DAB2" w14:textId="77777777" w:rsidR="00CA1386" w:rsidRPr="00C23B7A" w:rsidRDefault="00CA1386" w:rsidP="001C52D5">
            <w:pPr>
              <w:rPr>
                <w:rFonts w:eastAsia="Times New Roman" w:cstheme="minorHAnsi"/>
                <w:b/>
                <w:bCs/>
                <w:i/>
                <w:iCs/>
                <w:sz w:val="18"/>
                <w:szCs w:val="18"/>
                <w:lang w:eastAsia="en-GB"/>
              </w:rPr>
            </w:pPr>
            <w:r w:rsidRPr="00C23B7A">
              <w:rPr>
                <w:rFonts w:eastAsia="Times New Roman" w:cstheme="minorHAnsi"/>
                <w:b/>
                <w:bCs/>
                <w:i/>
                <w:iCs/>
                <w:sz w:val="18"/>
                <w:szCs w:val="18"/>
                <w:lang w:eastAsia="en-GB"/>
              </w:rPr>
              <w:t>FGFR1-TACC1</w:t>
            </w:r>
            <w:r w:rsidRPr="00C23B7A">
              <w:rPr>
                <w:rFonts w:eastAsia="Times New Roman" w:cstheme="minorHAnsi"/>
                <w:b/>
                <w:bCs/>
                <w:sz w:val="18"/>
                <w:szCs w:val="18"/>
                <w:lang w:eastAsia="en-GB"/>
              </w:rPr>
              <w:t> fusion</w:t>
            </w:r>
          </w:p>
        </w:tc>
        <w:tc>
          <w:tcPr>
            <w:tcW w:w="2693" w:type="dxa"/>
            <w:vAlign w:val="center"/>
          </w:tcPr>
          <w:p w14:paraId="0C169E5B" w14:textId="77777777" w:rsidR="00CA1386" w:rsidRPr="0040676F" w:rsidRDefault="00CA1386" w:rsidP="001C52D5">
            <w:pPr>
              <w:jc w:val="center"/>
              <w:rPr>
                <w:rFonts w:eastAsia="Times New Roman" w:cstheme="minorHAnsi"/>
                <w:sz w:val="16"/>
                <w:szCs w:val="16"/>
                <w:lang w:eastAsia="en-GB"/>
              </w:rPr>
            </w:pPr>
            <w:r w:rsidRPr="0040676F">
              <w:rPr>
                <w:rFonts w:eastAsia="Times New Roman" w:cstheme="minorHAnsi"/>
                <w:sz w:val="16"/>
                <w:szCs w:val="16"/>
                <w:lang w:eastAsia="en-GB"/>
              </w:rPr>
              <w:t>Extraventricular neurocytoma</w:t>
            </w:r>
          </w:p>
        </w:tc>
        <w:tc>
          <w:tcPr>
            <w:tcW w:w="1559" w:type="dxa"/>
            <w:vAlign w:val="center"/>
          </w:tcPr>
          <w:p w14:paraId="5AC5CBAB"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70%</w:t>
            </w:r>
          </w:p>
        </w:tc>
        <w:tc>
          <w:tcPr>
            <w:tcW w:w="1134" w:type="dxa"/>
            <w:vAlign w:val="center"/>
          </w:tcPr>
          <w:p w14:paraId="71234B51"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6</w:t>
            </w:r>
          </w:p>
        </w:tc>
        <w:tc>
          <w:tcPr>
            <w:tcW w:w="1134" w:type="dxa"/>
            <w:vAlign w:val="center"/>
          </w:tcPr>
          <w:p w14:paraId="720D475A"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3</w:t>
            </w:r>
          </w:p>
        </w:tc>
        <w:tc>
          <w:tcPr>
            <w:tcW w:w="1134" w:type="dxa"/>
            <w:vAlign w:val="center"/>
          </w:tcPr>
          <w:p w14:paraId="02773B50" w14:textId="77777777" w:rsidR="00CA1386" w:rsidRPr="00505E79" w:rsidRDefault="00CA1386" w:rsidP="001C52D5">
            <w:pPr>
              <w:jc w:val="center"/>
              <w:rPr>
                <w:rFonts w:eastAsia="Times New Roman" w:cstheme="minorHAnsi"/>
                <w:color w:val="FF0000"/>
                <w:sz w:val="20"/>
                <w:szCs w:val="20"/>
                <w:lang w:eastAsia="en-GB"/>
              </w:rPr>
            </w:pPr>
            <w:r w:rsidRPr="00505E79">
              <w:rPr>
                <w:rFonts w:cstheme="minorHAnsi"/>
                <w:sz w:val="20"/>
                <w:szCs w:val="20"/>
                <w:lang w:eastAsia="en-GB"/>
              </w:rPr>
              <w:t>1</w:t>
            </w:r>
          </w:p>
        </w:tc>
      </w:tr>
      <w:tr w:rsidR="00CA1386" w:rsidRPr="00493827" w14:paraId="196A273E" w14:textId="77777777" w:rsidTr="001C52D5">
        <w:trPr>
          <w:trHeight w:val="401"/>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F830B4" w14:textId="77777777" w:rsidR="00CA1386" w:rsidRPr="00C23B7A" w:rsidRDefault="00CA1386" w:rsidP="001C52D5">
            <w:pPr>
              <w:rPr>
                <w:rFonts w:eastAsia="Times New Roman" w:cstheme="minorHAnsi"/>
                <w:b/>
                <w:bCs/>
                <w:sz w:val="18"/>
                <w:szCs w:val="18"/>
                <w:lang w:eastAsia="en-GB"/>
              </w:rPr>
            </w:pPr>
            <w:r w:rsidRPr="00C23B7A">
              <w:rPr>
                <w:rFonts w:eastAsia="Times New Roman" w:cstheme="minorHAnsi"/>
                <w:b/>
                <w:bCs/>
                <w:i/>
                <w:iCs/>
                <w:sz w:val="18"/>
                <w:szCs w:val="18"/>
                <w:lang w:eastAsia="en-GB"/>
              </w:rPr>
              <w:t>PRKCA-SLC44A1</w:t>
            </w:r>
            <w:r w:rsidRPr="00C23B7A">
              <w:rPr>
                <w:rFonts w:eastAsia="Times New Roman" w:cstheme="minorHAnsi"/>
                <w:b/>
                <w:bCs/>
                <w:sz w:val="18"/>
                <w:szCs w:val="18"/>
                <w:lang w:eastAsia="en-GB"/>
              </w:rPr>
              <w:t xml:space="preserve"> fusion</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131EB" w14:textId="77777777" w:rsidR="00CA1386" w:rsidRPr="0040676F" w:rsidRDefault="00CA1386" w:rsidP="001C52D5">
            <w:pPr>
              <w:jc w:val="center"/>
              <w:rPr>
                <w:rFonts w:eastAsia="Times New Roman" w:cstheme="minorHAnsi"/>
                <w:i/>
                <w:iCs/>
                <w:sz w:val="16"/>
                <w:szCs w:val="16"/>
                <w:lang w:eastAsia="en-GB"/>
              </w:rPr>
            </w:pPr>
            <w:r w:rsidRPr="0040676F">
              <w:rPr>
                <w:rFonts w:eastAsia="Times New Roman" w:cstheme="minorHAnsi"/>
                <w:sz w:val="16"/>
                <w:szCs w:val="16"/>
                <w:lang w:eastAsia="en-GB"/>
              </w:rPr>
              <w:t>Papillary glioneuronal tumor</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4FDFB" w14:textId="77777777" w:rsidR="00CA1386" w:rsidRPr="00505E79" w:rsidRDefault="00CA1386" w:rsidP="001C52D5">
            <w:pPr>
              <w:jc w:val="center"/>
              <w:rPr>
                <w:rFonts w:eastAsia="Times New Roman" w:cstheme="minorHAnsi"/>
                <w:sz w:val="18"/>
                <w:szCs w:val="18"/>
                <w:lang w:eastAsia="en-GB"/>
              </w:rPr>
            </w:pPr>
            <w:r w:rsidRPr="00505E79">
              <w:rPr>
                <w:rFonts w:eastAsia="Times New Roman" w:cstheme="minorHAnsi"/>
                <w:sz w:val="18"/>
                <w:szCs w:val="18"/>
                <w:lang w:eastAsia="en-GB"/>
              </w:rPr>
              <w:t>Multiple reported cases (70%)</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44E05874"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E44E9" w14:textId="77777777" w:rsidR="00CA1386" w:rsidRPr="00505E79" w:rsidRDefault="00CA1386" w:rsidP="001C52D5">
            <w:pPr>
              <w:jc w:val="center"/>
              <w:rPr>
                <w:rFonts w:eastAsia="Times New Roman" w:cstheme="minorHAnsi"/>
                <w:sz w:val="20"/>
                <w:szCs w:val="20"/>
                <w:lang w:eastAsia="en-GB"/>
              </w:rPr>
            </w:pPr>
            <w:r w:rsidRPr="00505E79">
              <w:rPr>
                <w:rFonts w:cstheme="minorHAnsi"/>
                <w:sz w:val="20"/>
                <w:szCs w:val="20"/>
                <w:lang w:eastAsia="en-GB"/>
              </w:rPr>
              <w:t xml:space="preserve">3 </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519698A1" w14:textId="77777777" w:rsidR="00CA1386" w:rsidRPr="00505E79" w:rsidRDefault="00CA1386" w:rsidP="001C52D5">
            <w:pPr>
              <w:jc w:val="center"/>
              <w:rPr>
                <w:rFonts w:eastAsia="Times New Roman" w:cstheme="minorHAnsi"/>
                <w:color w:val="FF0000"/>
                <w:sz w:val="20"/>
                <w:szCs w:val="20"/>
                <w:lang w:eastAsia="en-GB"/>
              </w:rPr>
            </w:pPr>
            <w:r w:rsidRPr="00505E79">
              <w:rPr>
                <w:rFonts w:cstheme="minorHAnsi"/>
                <w:sz w:val="20"/>
                <w:szCs w:val="20"/>
                <w:lang w:eastAsia="en-GB"/>
              </w:rPr>
              <w:t xml:space="preserve">1 </w:t>
            </w:r>
          </w:p>
        </w:tc>
      </w:tr>
      <w:tr w:rsidR="00CA1386" w:rsidRPr="00493827" w14:paraId="6E1E41AD" w14:textId="77777777" w:rsidTr="001C52D5">
        <w:trPr>
          <w:trHeight w:val="392"/>
          <w:jc w:val="center"/>
        </w:trPr>
        <w:tc>
          <w:tcPr>
            <w:tcW w:w="1980" w:type="dxa"/>
            <w:tcBorders>
              <w:top w:val="single" w:sz="4" w:space="0" w:color="auto"/>
              <w:left w:val="nil"/>
              <w:bottom w:val="nil"/>
              <w:right w:val="nil"/>
            </w:tcBorders>
            <w:vAlign w:val="center"/>
          </w:tcPr>
          <w:p w14:paraId="18702555" w14:textId="77777777" w:rsidR="00CA1386" w:rsidRPr="00B8627D" w:rsidRDefault="00CA1386" w:rsidP="001C52D5">
            <w:pPr>
              <w:rPr>
                <w:rFonts w:eastAsia="Times New Roman" w:cstheme="minorHAnsi"/>
                <w:i/>
                <w:iCs/>
                <w:sz w:val="18"/>
                <w:szCs w:val="18"/>
                <w:lang w:eastAsia="en-GB"/>
              </w:rPr>
            </w:pPr>
          </w:p>
        </w:tc>
        <w:tc>
          <w:tcPr>
            <w:tcW w:w="2693" w:type="dxa"/>
            <w:tcBorders>
              <w:top w:val="single" w:sz="4" w:space="0" w:color="auto"/>
              <w:left w:val="nil"/>
              <w:bottom w:val="nil"/>
              <w:right w:val="nil"/>
            </w:tcBorders>
            <w:vAlign w:val="center"/>
          </w:tcPr>
          <w:p w14:paraId="2154DD03" w14:textId="77777777" w:rsidR="00CA1386" w:rsidRPr="00B8627D" w:rsidRDefault="00CA1386" w:rsidP="001C52D5">
            <w:pPr>
              <w:rPr>
                <w:rFonts w:eastAsia="Times New Roman" w:cstheme="minorHAnsi"/>
                <w:sz w:val="18"/>
                <w:szCs w:val="18"/>
                <w:lang w:eastAsia="en-GB"/>
              </w:rPr>
            </w:pPr>
          </w:p>
        </w:tc>
        <w:tc>
          <w:tcPr>
            <w:tcW w:w="1559" w:type="dxa"/>
            <w:tcBorders>
              <w:top w:val="single" w:sz="4" w:space="0" w:color="auto"/>
              <w:left w:val="nil"/>
              <w:bottom w:val="nil"/>
              <w:right w:val="single" w:sz="4" w:space="0" w:color="auto"/>
            </w:tcBorders>
            <w:vAlign w:val="center"/>
          </w:tcPr>
          <w:p w14:paraId="4FAF793B" w14:textId="77777777" w:rsidR="00CA1386" w:rsidRPr="00B8627D" w:rsidRDefault="00CA1386" w:rsidP="001C52D5">
            <w:pPr>
              <w:jc w:val="center"/>
              <w:rPr>
                <w:rFonts w:eastAsia="Times New Roman" w:cstheme="minorHAnsi"/>
                <w:sz w:val="18"/>
                <w:szCs w:val="18"/>
                <w:lang w:eastAsia="en-GB"/>
              </w:rPr>
            </w:pPr>
          </w:p>
        </w:tc>
        <w:tc>
          <w:tcPr>
            <w:tcW w:w="1134" w:type="dxa"/>
            <w:tcBorders>
              <w:left w:val="single" w:sz="4" w:space="0" w:color="auto"/>
              <w:right w:val="single" w:sz="4" w:space="0" w:color="auto"/>
            </w:tcBorders>
            <w:vAlign w:val="center"/>
          </w:tcPr>
          <w:p w14:paraId="19CAAEAB" w14:textId="77777777" w:rsidR="00CA1386" w:rsidRPr="00134A0B" w:rsidRDefault="00CA1386" w:rsidP="001C52D5">
            <w:pPr>
              <w:jc w:val="center"/>
              <w:rPr>
                <w:rFonts w:eastAsia="Times New Roman" w:cstheme="minorHAnsi"/>
                <w:b/>
                <w:bCs/>
                <w:szCs w:val="16"/>
                <w:lang w:eastAsia="en-GB"/>
              </w:rPr>
            </w:pPr>
            <w:r w:rsidRPr="00134A0B">
              <w:rPr>
                <w:rFonts w:cstheme="minorHAnsi"/>
                <w:b/>
                <w:bCs/>
                <w:szCs w:val="20"/>
                <w:lang w:eastAsia="en-GB"/>
              </w:rPr>
              <w:t>50 tot</w:t>
            </w:r>
          </w:p>
        </w:tc>
        <w:tc>
          <w:tcPr>
            <w:tcW w:w="1134" w:type="dxa"/>
            <w:tcBorders>
              <w:top w:val="single" w:sz="4" w:space="0" w:color="auto"/>
              <w:left w:val="single" w:sz="4" w:space="0" w:color="auto"/>
              <w:bottom w:val="single" w:sz="4" w:space="0" w:color="auto"/>
              <w:right w:val="single" w:sz="4" w:space="0" w:color="auto"/>
            </w:tcBorders>
            <w:vAlign w:val="center"/>
          </w:tcPr>
          <w:p w14:paraId="0F9B8E9F" w14:textId="77777777" w:rsidR="00CA1386" w:rsidRPr="00134A0B" w:rsidRDefault="00CA1386" w:rsidP="001C52D5">
            <w:pPr>
              <w:jc w:val="center"/>
              <w:rPr>
                <w:rFonts w:eastAsia="Times New Roman" w:cstheme="minorHAnsi"/>
                <w:b/>
                <w:bCs/>
                <w:szCs w:val="18"/>
                <w:lang w:eastAsia="en-GB"/>
              </w:rPr>
            </w:pPr>
            <w:r w:rsidRPr="00134A0B">
              <w:rPr>
                <w:rFonts w:cstheme="minorHAnsi"/>
                <w:b/>
                <w:bCs/>
                <w:szCs w:val="20"/>
                <w:lang w:eastAsia="en-GB"/>
              </w:rPr>
              <w:t>23 tot</w:t>
            </w:r>
          </w:p>
        </w:tc>
        <w:tc>
          <w:tcPr>
            <w:tcW w:w="1134" w:type="dxa"/>
            <w:tcBorders>
              <w:top w:val="single" w:sz="4" w:space="0" w:color="auto"/>
              <w:left w:val="single" w:sz="4" w:space="0" w:color="auto"/>
              <w:bottom w:val="single" w:sz="4" w:space="0" w:color="auto"/>
              <w:right w:val="single" w:sz="4" w:space="0" w:color="auto"/>
            </w:tcBorders>
            <w:vAlign w:val="center"/>
          </w:tcPr>
          <w:p w14:paraId="5DBB1B96" w14:textId="77777777" w:rsidR="00CA1386" w:rsidRPr="00134A0B" w:rsidRDefault="00CA1386" w:rsidP="001C52D5">
            <w:pPr>
              <w:jc w:val="center"/>
              <w:rPr>
                <w:rFonts w:eastAsia="Times New Roman" w:cstheme="minorHAnsi"/>
                <w:b/>
                <w:bCs/>
                <w:color w:val="FF0000"/>
                <w:szCs w:val="20"/>
                <w:lang w:eastAsia="en-GB"/>
              </w:rPr>
            </w:pPr>
            <w:r w:rsidRPr="00134A0B">
              <w:rPr>
                <w:rFonts w:cstheme="minorHAnsi"/>
                <w:b/>
                <w:bCs/>
                <w:szCs w:val="20"/>
                <w:lang w:eastAsia="en-GB"/>
              </w:rPr>
              <w:t>16 tot</w:t>
            </w:r>
          </w:p>
        </w:tc>
      </w:tr>
    </w:tbl>
    <w:p w14:paraId="00061A37" w14:textId="03ED98A3" w:rsidR="00CA1386" w:rsidRDefault="00CA1386" w:rsidP="00CA1386">
      <w:pPr>
        <w:spacing w:line="278" w:lineRule="auto"/>
        <w:rPr>
          <w:rFonts w:ascii="Calibri" w:hAnsi="Calibri" w:cs="Calibri"/>
          <w:b/>
          <w:bCs/>
          <w:sz w:val="20"/>
          <w:szCs w:val="20"/>
        </w:rPr>
      </w:pPr>
      <w:r>
        <w:rPr>
          <w:rFonts w:ascii="Calibri" w:hAnsi="Calibri" w:cs="Calibri"/>
          <w:b/>
          <w:bCs/>
          <w:sz w:val="20"/>
          <w:szCs w:val="20"/>
        </w:rPr>
        <w:br w:type="page"/>
      </w:r>
    </w:p>
    <w:p w14:paraId="78543004" w14:textId="3D58EFE5" w:rsidR="007D3170" w:rsidRPr="00005870" w:rsidRDefault="007D3170" w:rsidP="007D3170">
      <w:pPr>
        <w:spacing w:after="0" w:line="240" w:lineRule="auto"/>
        <w:jc w:val="both"/>
        <w:rPr>
          <w:rFonts w:ascii="Calibri" w:hAnsi="Calibri" w:cs="Calibri"/>
          <w:b/>
          <w:bCs/>
          <w:sz w:val="20"/>
          <w:szCs w:val="20"/>
        </w:rPr>
      </w:pPr>
      <w:r w:rsidRPr="00005870">
        <w:rPr>
          <w:rFonts w:ascii="Calibri" w:hAnsi="Calibri" w:cs="Calibri"/>
          <w:b/>
          <w:bCs/>
          <w:sz w:val="20"/>
          <w:szCs w:val="20"/>
        </w:rPr>
        <w:lastRenderedPageBreak/>
        <w:t xml:space="preserve">Supplementary Tab. </w:t>
      </w:r>
      <w:r>
        <w:rPr>
          <w:rFonts w:ascii="Calibri" w:hAnsi="Calibri" w:cs="Calibri"/>
          <w:b/>
          <w:bCs/>
          <w:sz w:val="20"/>
          <w:szCs w:val="20"/>
        </w:rPr>
        <w:t>2</w:t>
      </w:r>
      <w:r w:rsidRPr="00005870">
        <w:rPr>
          <w:rFonts w:ascii="Calibri" w:hAnsi="Calibri" w:cs="Calibri"/>
          <w:b/>
          <w:bCs/>
          <w:sz w:val="20"/>
          <w:szCs w:val="20"/>
        </w:rPr>
        <w:t>: Key clinical and histopathological characteristics from a cohort of 50 PBTs, spanning various diagnostic classes.</w:t>
      </w:r>
    </w:p>
    <w:p w14:paraId="4643D96C" w14:textId="4F596644" w:rsidR="007D3170" w:rsidRPr="007D3170" w:rsidRDefault="007D3170" w:rsidP="007D3170">
      <w:pPr>
        <w:spacing w:after="0" w:line="240" w:lineRule="auto"/>
        <w:jc w:val="both"/>
        <w:rPr>
          <w:rFonts w:ascii="Calibri" w:hAnsi="Calibri" w:cs="Calibri"/>
          <w:b/>
          <w:bCs/>
          <w:sz w:val="20"/>
          <w:szCs w:val="20"/>
        </w:rPr>
      </w:pPr>
      <w:r w:rsidRPr="00005870">
        <w:rPr>
          <w:rFonts w:ascii="Calibri" w:hAnsi="Calibri" w:cs="Calibri"/>
          <w:sz w:val="20"/>
          <w:szCs w:val="20"/>
        </w:rPr>
        <w:t>Frequencies for each parameter are provided, offering a comprehensive overview of the cohort's features and aiding in the understanding of tumor distribution and associated clinical profiles.</w:t>
      </w:r>
    </w:p>
    <w:tbl>
      <w:tblPr>
        <w:tblStyle w:val="Tabellasemplice-1"/>
        <w:tblpPr w:leftFromText="180" w:rightFromText="180" w:vertAnchor="page" w:horzAnchor="margin" w:tblpXSpec="center" w:tblpY="2965"/>
        <w:tblW w:w="0" w:type="auto"/>
        <w:tblLook w:val="0000" w:firstRow="0" w:lastRow="0" w:firstColumn="0" w:lastColumn="0" w:noHBand="0" w:noVBand="0"/>
      </w:tblPr>
      <w:tblGrid>
        <w:gridCol w:w="1433"/>
        <w:gridCol w:w="3524"/>
        <w:gridCol w:w="1842"/>
      </w:tblGrid>
      <w:tr w:rsidR="007D3170" w:rsidRPr="00AD244D" w14:paraId="56CAFBB8"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tcBorders>
              <w:top w:val="nil"/>
              <w:left w:val="nil"/>
              <w:bottom w:val="single" w:sz="4" w:space="0" w:color="auto"/>
              <w:right w:val="single" w:sz="4" w:space="0" w:color="auto"/>
            </w:tcBorders>
            <w:shd w:val="clear" w:color="auto" w:fill="auto"/>
          </w:tcPr>
          <w:p w14:paraId="3183F5E4" w14:textId="6B802C8F" w:rsidR="007D3170" w:rsidRPr="00AD244D" w:rsidRDefault="007D3170" w:rsidP="005976C3">
            <w:pPr>
              <w:jc w:val="center"/>
              <w:rPr>
                <w:rFonts w:ascii="Arial" w:hAnsi="Arial" w:cs="Arial"/>
                <w:b/>
                <w:bCs/>
                <w:color w:val="FF0000"/>
                <w:lang w:eastAsia="en-GB"/>
              </w:rPr>
            </w:pPr>
          </w:p>
        </w:tc>
        <w:tc>
          <w:tcPr>
            <w:tcW w:w="3524" w:type="dxa"/>
            <w:tcBorders>
              <w:top w:val="single" w:sz="4" w:space="0" w:color="auto"/>
              <w:left w:val="single" w:sz="4" w:space="0" w:color="auto"/>
              <w:bottom w:val="single" w:sz="4" w:space="0" w:color="auto"/>
              <w:right w:val="single" w:sz="4" w:space="0" w:color="auto"/>
            </w:tcBorders>
          </w:tcPr>
          <w:p w14:paraId="2E7CEF57"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eastAsia="en-GB"/>
              </w:rPr>
            </w:pPr>
            <w:r w:rsidRPr="00AD244D">
              <w:rPr>
                <w:rFonts w:ascii="Arial" w:hAnsi="Arial" w:cs="Arial"/>
                <w:b/>
                <w:bCs/>
                <w:lang w:eastAsia="en-GB"/>
              </w:rPr>
              <w:t>Clinical data</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tcPr>
          <w:p w14:paraId="09F6A956" w14:textId="77777777" w:rsidR="007D3170" w:rsidRPr="00AD244D" w:rsidRDefault="007D3170" w:rsidP="005976C3">
            <w:pPr>
              <w:jc w:val="center"/>
              <w:rPr>
                <w:rFonts w:ascii="Arial" w:hAnsi="Arial" w:cs="Arial"/>
                <w:b/>
                <w:bCs/>
                <w:iCs/>
                <w:lang w:eastAsia="en-GB"/>
              </w:rPr>
            </w:pPr>
            <w:r w:rsidRPr="00AD244D">
              <w:rPr>
                <w:rFonts w:ascii="Arial" w:hAnsi="Arial" w:cs="Arial"/>
                <w:b/>
                <w:bCs/>
                <w:iCs/>
                <w:lang w:eastAsia="en-GB"/>
              </w:rPr>
              <w:t xml:space="preserve">Frequency </w:t>
            </w:r>
          </w:p>
        </w:tc>
      </w:tr>
      <w:tr w:rsidR="007D3170" w:rsidRPr="00AD244D" w14:paraId="3A52D7EB"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val="restart"/>
            <w:tcBorders>
              <w:top w:val="single" w:sz="4" w:space="0" w:color="auto"/>
              <w:left w:val="single" w:sz="4" w:space="0" w:color="auto"/>
              <w:bottom w:val="single" w:sz="4" w:space="0" w:color="auto"/>
              <w:right w:val="single" w:sz="4" w:space="0" w:color="auto"/>
            </w:tcBorders>
            <w:vAlign w:val="center"/>
          </w:tcPr>
          <w:p w14:paraId="44279384" w14:textId="77777777" w:rsidR="007D3170" w:rsidRPr="00AD244D" w:rsidRDefault="007D3170" w:rsidP="005976C3">
            <w:pPr>
              <w:jc w:val="center"/>
              <w:rPr>
                <w:rFonts w:ascii="Arial" w:hAnsi="Arial" w:cs="Arial"/>
                <w:b/>
                <w:sz w:val="20"/>
                <w:szCs w:val="20"/>
                <w:lang w:eastAsia="en-GB"/>
              </w:rPr>
            </w:pPr>
            <w:r w:rsidRPr="00AD244D">
              <w:rPr>
                <w:rFonts w:ascii="Arial" w:hAnsi="Arial" w:cs="Arial"/>
                <w:b/>
                <w:sz w:val="20"/>
                <w:szCs w:val="20"/>
                <w:lang w:eastAsia="en-GB"/>
              </w:rPr>
              <w:t>Sex</w:t>
            </w:r>
          </w:p>
        </w:tc>
        <w:tc>
          <w:tcPr>
            <w:tcW w:w="3524" w:type="dxa"/>
            <w:tcBorders>
              <w:top w:val="single" w:sz="4" w:space="0" w:color="auto"/>
              <w:left w:val="single" w:sz="4" w:space="0" w:color="auto"/>
              <w:right w:val="single" w:sz="4" w:space="0" w:color="auto"/>
            </w:tcBorders>
          </w:tcPr>
          <w:p w14:paraId="3D530858"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Male</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right w:val="single" w:sz="4" w:space="0" w:color="auto"/>
            </w:tcBorders>
          </w:tcPr>
          <w:p w14:paraId="3573E632"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64%</w:t>
            </w:r>
            <w:r w:rsidRPr="00AD244D">
              <w:rPr>
                <w:rFonts w:ascii="Arial" w:hAnsi="Arial" w:cs="Arial"/>
                <w:lang w:eastAsia="en-GB"/>
              </w:rPr>
              <w:t xml:space="preserve"> </w:t>
            </w:r>
            <w:r w:rsidRPr="00AD244D">
              <w:rPr>
                <w:rFonts w:ascii="Arial" w:hAnsi="Arial" w:cs="Arial"/>
                <w:sz w:val="18"/>
                <w:szCs w:val="18"/>
                <w:lang w:eastAsia="en-GB"/>
              </w:rPr>
              <w:t>(32/50)</w:t>
            </w:r>
          </w:p>
        </w:tc>
      </w:tr>
      <w:tr w:rsidR="007D3170" w:rsidRPr="00AD244D" w14:paraId="130E5325" w14:textId="77777777" w:rsidTr="005976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17321E5A"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bottom w:val="single" w:sz="4" w:space="0" w:color="auto"/>
              <w:right w:val="single" w:sz="4" w:space="0" w:color="auto"/>
            </w:tcBorders>
          </w:tcPr>
          <w:p w14:paraId="78C31D36"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Female</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bottom w:val="single" w:sz="4" w:space="0" w:color="auto"/>
              <w:right w:val="single" w:sz="4" w:space="0" w:color="auto"/>
            </w:tcBorders>
          </w:tcPr>
          <w:p w14:paraId="70449B7F"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36%</w:t>
            </w:r>
            <w:r w:rsidRPr="00AD244D">
              <w:rPr>
                <w:rFonts w:ascii="Arial" w:hAnsi="Arial" w:cs="Arial"/>
                <w:lang w:eastAsia="en-GB"/>
              </w:rPr>
              <w:t xml:space="preserve"> </w:t>
            </w:r>
            <w:r w:rsidRPr="00AD244D">
              <w:rPr>
                <w:rFonts w:ascii="Arial" w:hAnsi="Arial" w:cs="Arial"/>
                <w:sz w:val="18"/>
                <w:szCs w:val="20"/>
                <w:lang w:eastAsia="en-GB"/>
              </w:rPr>
              <w:t>(18/50)</w:t>
            </w:r>
          </w:p>
        </w:tc>
      </w:tr>
      <w:tr w:rsidR="007D3170" w:rsidRPr="00AD244D" w14:paraId="42AAD144"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val="restart"/>
            <w:tcBorders>
              <w:top w:val="single" w:sz="4" w:space="0" w:color="auto"/>
              <w:left w:val="single" w:sz="4" w:space="0" w:color="auto"/>
              <w:bottom w:val="single" w:sz="4" w:space="0" w:color="auto"/>
              <w:right w:val="single" w:sz="4" w:space="0" w:color="auto"/>
            </w:tcBorders>
            <w:vAlign w:val="center"/>
          </w:tcPr>
          <w:p w14:paraId="27987D99" w14:textId="77777777" w:rsidR="007D3170" w:rsidRPr="00AD244D" w:rsidRDefault="007D3170" w:rsidP="005976C3">
            <w:pPr>
              <w:jc w:val="center"/>
              <w:rPr>
                <w:rFonts w:ascii="Arial" w:hAnsi="Arial" w:cs="Arial"/>
                <w:b/>
                <w:sz w:val="20"/>
                <w:szCs w:val="20"/>
                <w:lang w:eastAsia="en-GB"/>
              </w:rPr>
            </w:pPr>
            <w:r w:rsidRPr="00AD244D">
              <w:rPr>
                <w:rFonts w:ascii="Arial" w:hAnsi="Arial" w:cs="Arial"/>
                <w:b/>
                <w:sz w:val="20"/>
                <w:szCs w:val="20"/>
                <w:lang w:eastAsia="en-GB"/>
              </w:rPr>
              <w:t>Age at onset</w:t>
            </w:r>
          </w:p>
        </w:tc>
        <w:tc>
          <w:tcPr>
            <w:tcW w:w="3524" w:type="dxa"/>
            <w:tcBorders>
              <w:top w:val="single" w:sz="4" w:space="0" w:color="auto"/>
              <w:left w:val="single" w:sz="4" w:space="0" w:color="auto"/>
              <w:right w:val="single" w:sz="4" w:space="0" w:color="auto"/>
            </w:tcBorders>
          </w:tcPr>
          <w:p w14:paraId="2017112E"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≤5 years</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right w:val="single" w:sz="4" w:space="0" w:color="auto"/>
            </w:tcBorders>
          </w:tcPr>
          <w:p w14:paraId="2FFAC6D6"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26%</w:t>
            </w:r>
            <w:r w:rsidRPr="00AD244D">
              <w:rPr>
                <w:rFonts w:ascii="Arial" w:hAnsi="Arial" w:cs="Arial"/>
                <w:lang w:eastAsia="en-GB"/>
              </w:rPr>
              <w:t xml:space="preserve"> </w:t>
            </w:r>
            <w:r w:rsidRPr="00AD244D">
              <w:rPr>
                <w:rFonts w:ascii="Arial" w:hAnsi="Arial" w:cs="Arial"/>
                <w:sz w:val="18"/>
                <w:szCs w:val="20"/>
                <w:lang w:eastAsia="en-GB"/>
              </w:rPr>
              <w:t>(13/50)</w:t>
            </w:r>
          </w:p>
        </w:tc>
      </w:tr>
      <w:tr w:rsidR="007D3170" w:rsidRPr="00AD244D" w14:paraId="60BD8262"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2E2AE928"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3F3F7A00"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6-10 years</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01381D02"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 xml:space="preserve">42% </w:t>
            </w:r>
            <w:r w:rsidRPr="00AD244D">
              <w:rPr>
                <w:rFonts w:ascii="Arial" w:hAnsi="Arial" w:cs="Arial"/>
                <w:sz w:val="18"/>
                <w:szCs w:val="20"/>
                <w:lang w:eastAsia="en-GB"/>
              </w:rPr>
              <w:t>(21/50)</w:t>
            </w:r>
          </w:p>
        </w:tc>
      </w:tr>
      <w:tr w:rsidR="007D3170" w:rsidRPr="00AD244D" w14:paraId="0AADF8D9"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613FCD55"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67B5121D"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&gt;10 years</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2884D361"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32%</w:t>
            </w:r>
            <w:r w:rsidRPr="00AD244D">
              <w:rPr>
                <w:rFonts w:ascii="Arial" w:hAnsi="Arial" w:cs="Arial"/>
                <w:lang w:eastAsia="en-GB"/>
              </w:rPr>
              <w:t xml:space="preserve"> </w:t>
            </w:r>
            <w:r w:rsidRPr="00AD244D">
              <w:rPr>
                <w:rFonts w:ascii="Arial" w:hAnsi="Arial" w:cs="Arial"/>
                <w:sz w:val="18"/>
                <w:szCs w:val="20"/>
                <w:lang w:eastAsia="en-GB"/>
              </w:rPr>
              <w:t>(16/50)</w:t>
            </w:r>
          </w:p>
        </w:tc>
      </w:tr>
      <w:tr w:rsidR="007D3170" w:rsidRPr="00AD244D" w14:paraId="16771629" w14:textId="77777777" w:rsidTr="005976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4F3050AF"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bottom w:val="single" w:sz="4" w:space="0" w:color="auto"/>
              <w:right w:val="single" w:sz="4" w:space="0" w:color="auto"/>
            </w:tcBorders>
          </w:tcPr>
          <w:p w14:paraId="0B9417BA"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Medium age</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bottom w:val="single" w:sz="4" w:space="0" w:color="auto"/>
              <w:right w:val="single" w:sz="4" w:space="0" w:color="auto"/>
            </w:tcBorders>
          </w:tcPr>
          <w:p w14:paraId="4B5EFF5B"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 xml:space="preserve">8,4 </w:t>
            </w:r>
            <w:r w:rsidRPr="00AD244D">
              <w:rPr>
                <w:rFonts w:ascii="Arial" w:hAnsi="Arial" w:cs="Arial"/>
                <w:sz w:val="18"/>
                <w:szCs w:val="20"/>
                <w:lang w:eastAsia="en-GB"/>
              </w:rPr>
              <w:t>(1 min/19 max)</w:t>
            </w:r>
          </w:p>
        </w:tc>
      </w:tr>
      <w:tr w:rsidR="007D3170" w:rsidRPr="00AD244D" w14:paraId="07806560"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val="restart"/>
            <w:tcBorders>
              <w:top w:val="single" w:sz="4" w:space="0" w:color="auto"/>
              <w:left w:val="single" w:sz="4" w:space="0" w:color="auto"/>
              <w:bottom w:val="single" w:sz="4" w:space="0" w:color="auto"/>
              <w:right w:val="single" w:sz="4" w:space="0" w:color="auto"/>
            </w:tcBorders>
            <w:vAlign w:val="center"/>
          </w:tcPr>
          <w:p w14:paraId="7199DD09" w14:textId="77777777" w:rsidR="007D3170" w:rsidRPr="00AD244D" w:rsidRDefault="007D3170" w:rsidP="005976C3">
            <w:pPr>
              <w:jc w:val="center"/>
              <w:rPr>
                <w:rFonts w:ascii="Arial" w:hAnsi="Arial" w:cs="Arial"/>
                <w:b/>
                <w:sz w:val="20"/>
                <w:szCs w:val="20"/>
                <w:lang w:eastAsia="en-GB"/>
              </w:rPr>
            </w:pPr>
            <w:r w:rsidRPr="00AD244D">
              <w:rPr>
                <w:rFonts w:ascii="Arial" w:hAnsi="Arial" w:cs="Arial"/>
                <w:b/>
                <w:sz w:val="20"/>
                <w:szCs w:val="20"/>
                <w:lang w:eastAsia="en-GB"/>
              </w:rPr>
              <w:t>Localization</w:t>
            </w:r>
          </w:p>
        </w:tc>
        <w:tc>
          <w:tcPr>
            <w:tcW w:w="3524" w:type="dxa"/>
            <w:tcBorders>
              <w:top w:val="single" w:sz="4" w:space="0" w:color="auto"/>
              <w:left w:val="single" w:sz="4" w:space="0" w:color="auto"/>
              <w:right w:val="single" w:sz="4" w:space="0" w:color="auto"/>
            </w:tcBorders>
          </w:tcPr>
          <w:p w14:paraId="36C1A0AD"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Parietal</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right w:val="single" w:sz="4" w:space="0" w:color="auto"/>
            </w:tcBorders>
          </w:tcPr>
          <w:p w14:paraId="3D3DD0CF"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18%</w:t>
            </w:r>
            <w:r w:rsidRPr="00AD244D">
              <w:rPr>
                <w:rFonts w:ascii="Arial" w:hAnsi="Arial" w:cs="Arial"/>
                <w:lang w:eastAsia="en-GB"/>
              </w:rPr>
              <w:t xml:space="preserve"> </w:t>
            </w:r>
            <w:r w:rsidRPr="00AD244D">
              <w:rPr>
                <w:rFonts w:ascii="Arial" w:hAnsi="Arial" w:cs="Arial"/>
                <w:sz w:val="18"/>
                <w:szCs w:val="20"/>
                <w:lang w:eastAsia="en-GB"/>
              </w:rPr>
              <w:t>(9/50)</w:t>
            </w:r>
          </w:p>
        </w:tc>
      </w:tr>
      <w:tr w:rsidR="007D3170" w:rsidRPr="00AD244D" w14:paraId="6C0F7542"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63BDD4FC"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04A0C1D5"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Occipital</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2638CCA4"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4%</w:t>
            </w:r>
            <w:r w:rsidRPr="00AD244D">
              <w:rPr>
                <w:rFonts w:ascii="Arial" w:hAnsi="Arial" w:cs="Arial"/>
                <w:lang w:eastAsia="en-GB"/>
              </w:rPr>
              <w:t xml:space="preserve"> </w:t>
            </w:r>
            <w:r w:rsidRPr="00AD244D">
              <w:rPr>
                <w:rFonts w:ascii="Arial" w:hAnsi="Arial" w:cs="Arial"/>
                <w:sz w:val="18"/>
                <w:szCs w:val="20"/>
                <w:lang w:eastAsia="en-GB"/>
              </w:rPr>
              <w:t>(2/50)</w:t>
            </w:r>
          </w:p>
        </w:tc>
      </w:tr>
      <w:tr w:rsidR="007D3170" w:rsidRPr="00AD244D" w14:paraId="7B71A7AE"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28126255"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64532C5F"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Temporal</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65DA1C04"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 xml:space="preserve">14% </w:t>
            </w:r>
            <w:r w:rsidRPr="00AD244D">
              <w:rPr>
                <w:rFonts w:ascii="Arial" w:hAnsi="Arial" w:cs="Arial"/>
                <w:sz w:val="18"/>
                <w:szCs w:val="20"/>
                <w:lang w:eastAsia="en-GB"/>
              </w:rPr>
              <w:t>(7/50)</w:t>
            </w:r>
          </w:p>
        </w:tc>
      </w:tr>
      <w:tr w:rsidR="007D3170" w:rsidRPr="00AD244D" w14:paraId="78F99509"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523AC36F"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336851AA"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Frontal</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4411C684"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 xml:space="preserve">38% </w:t>
            </w:r>
            <w:r w:rsidRPr="00AD244D">
              <w:rPr>
                <w:rFonts w:ascii="Arial" w:hAnsi="Arial" w:cs="Arial"/>
                <w:sz w:val="18"/>
                <w:szCs w:val="20"/>
                <w:lang w:eastAsia="en-GB"/>
              </w:rPr>
              <w:t>(19/50)</w:t>
            </w:r>
          </w:p>
        </w:tc>
      </w:tr>
      <w:tr w:rsidR="007D3170" w:rsidRPr="00AD244D" w14:paraId="03C84469"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19D7675E"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77A5469B"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Hemispheric</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1A9290C3"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 xml:space="preserve">12% </w:t>
            </w:r>
            <w:r w:rsidRPr="00AD244D">
              <w:rPr>
                <w:rFonts w:ascii="Arial" w:hAnsi="Arial" w:cs="Arial"/>
                <w:sz w:val="18"/>
                <w:szCs w:val="20"/>
                <w:lang w:eastAsia="en-GB"/>
              </w:rPr>
              <w:t>(6/50)</w:t>
            </w:r>
          </w:p>
        </w:tc>
      </w:tr>
      <w:tr w:rsidR="007D3170" w:rsidRPr="00AD244D" w14:paraId="5D8CFFAD"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34F53322"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right w:val="single" w:sz="4" w:space="0" w:color="auto"/>
            </w:tcBorders>
          </w:tcPr>
          <w:p w14:paraId="3DB761AA"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Mesencephalic</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3F2A8715"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 xml:space="preserve">4% </w:t>
            </w:r>
            <w:r w:rsidRPr="00AD244D">
              <w:rPr>
                <w:rFonts w:ascii="Arial" w:hAnsi="Arial" w:cs="Arial"/>
                <w:sz w:val="18"/>
                <w:szCs w:val="20"/>
                <w:lang w:eastAsia="en-GB"/>
              </w:rPr>
              <w:t>(2/50)</w:t>
            </w:r>
          </w:p>
        </w:tc>
      </w:tr>
      <w:tr w:rsidR="007D3170" w:rsidRPr="00AD244D" w14:paraId="5036FD88" w14:textId="77777777" w:rsidTr="005976C3">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vAlign w:val="center"/>
          </w:tcPr>
          <w:p w14:paraId="053981E4" w14:textId="77777777" w:rsidR="007D3170" w:rsidRPr="00AD244D" w:rsidRDefault="007D3170" w:rsidP="005976C3">
            <w:pPr>
              <w:jc w:val="center"/>
              <w:rPr>
                <w:rFonts w:ascii="Arial" w:hAnsi="Arial" w:cs="Arial"/>
                <w:sz w:val="20"/>
                <w:szCs w:val="20"/>
                <w:lang w:eastAsia="en-GB"/>
              </w:rPr>
            </w:pPr>
          </w:p>
        </w:tc>
        <w:tc>
          <w:tcPr>
            <w:tcW w:w="3524" w:type="dxa"/>
            <w:tcBorders>
              <w:left w:val="single" w:sz="4" w:space="0" w:color="auto"/>
              <w:bottom w:val="single" w:sz="4" w:space="0" w:color="auto"/>
              <w:right w:val="single" w:sz="4" w:space="0" w:color="auto"/>
            </w:tcBorders>
          </w:tcPr>
          <w:p w14:paraId="0A38CCD7"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Cerebellum/cranial fossa/4° ventricle</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bottom w:val="single" w:sz="4" w:space="0" w:color="auto"/>
              <w:right w:val="single" w:sz="4" w:space="0" w:color="auto"/>
            </w:tcBorders>
          </w:tcPr>
          <w:p w14:paraId="401712BF"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 xml:space="preserve">10% </w:t>
            </w:r>
            <w:r w:rsidRPr="00AD244D">
              <w:rPr>
                <w:rFonts w:ascii="Arial" w:hAnsi="Arial" w:cs="Arial"/>
                <w:sz w:val="18"/>
                <w:szCs w:val="20"/>
                <w:lang w:eastAsia="en-GB"/>
              </w:rPr>
              <w:t>(5/50)</w:t>
            </w:r>
          </w:p>
        </w:tc>
      </w:tr>
      <w:tr w:rsidR="007D3170" w:rsidRPr="00AD244D" w14:paraId="3C0A5702"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val="restart"/>
            <w:tcBorders>
              <w:top w:val="single" w:sz="4" w:space="0" w:color="auto"/>
              <w:left w:val="single" w:sz="4" w:space="0" w:color="auto"/>
              <w:bottom w:val="single" w:sz="4" w:space="0" w:color="auto"/>
              <w:right w:val="single" w:sz="4" w:space="0" w:color="auto"/>
            </w:tcBorders>
            <w:vAlign w:val="center"/>
          </w:tcPr>
          <w:p w14:paraId="68A92392" w14:textId="77777777" w:rsidR="007D3170" w:rsidRPr="00AD244D" w:rsidRDefault="007D3170" w:rsidP="005976C3">
            <w:pPr>
              <w:jc w:val="center"/>
              <w:rPr>
                <w:rFonts w:ascii="Arial" w:hAnsi="Arial" w:cs="Arial"/>
                <w:b/>
                <w:sz w:val="20"/>
                <w:szCs w:val="20"/>
                <w:lang w:eastAsia="en-GB"/>
              </w:rPr>
            </w:pPr>
            <w:r w:rsidRPr="00AD244D">
              <w:rPr>
                <w:rFonts w:ascii="Arial" w:hAnsi="Arial" w:cs="Arial"/>
                <w:b/>
                <w:sz w:val="20"/>
                <w:szCs w:val="20"/>
                <w:lang w:eastAsia="en-GB"/>
              </w:rPr>
              <w:t>First Histological diagnosis</w:t>
            </w:r>
          </w:p>
        </w:tc>
        <w:tc>
          <w:tcPr>
            <w:tcW w:w="3524" w:type="dxa"/>
            <w:tcBorders>
              <w:top w:val="single" w:sz="4" w:space="0" w:color="auto"/>
              <w:left w:val="single" w:sz="4" w:space="0" w:color="auto"/>
              <w:right w:val="single" w:sz="4" w:space="0" w:color="auto"/>
            </w:tcBorders>
          </w:tcPr>
          <w:p w14:paraId="3BC677B9"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t-IT" w:eastAsia="en-GB"/>
              </w:rPr>
            </w:pPr>
            <w:r w:rsidRPr="00AD244D">
              <w:rPr>
                <w:rFonts w:ascii="Arial" w:hAnsi="Arial" w:cs="Arial"/>
                <w:sz w:val="20"/>
                <w:szCs w:val="20"/>
                <w:lang w:val="it-IT" w:eastAsia="en-GB"/>
              </w:rPr>
              <w:t>Low-grade astrocytoma</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right w:val="single" w:sz="4" w:space="0" w:color="auto"/>
            </w:tcBorders>
          </w:tcPr>
          <w:p w14:paraId="47EBCC53"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20%</w:t>
            </w:r>
            <w:r w:rsidRPr="00AD244D">
              <w:rPr>
                <w:rFonts w:ascii="Arial" w:hAnsi="Arial" w:cs="Arial"/>
                <w:lang w:eastAsia="en-GB"/>
              </w:rPr>
              <w:t xml:space="preserve"> </w:t>
            </w:r>
            <w:r w:rsidRPr="00AD244D">
              <w:rPr>
                <w:rFonts w:ascii="Arial" w:hAnsi="Arial" w:cs="Arial"/>
                <w:sz w:val="18"/>
                <w:szCs w:val="20"/>
                <w:lang w:eastAsia="en-GB"/>
              </w:rPr>
              <w:t>(10/50)</w:t>
            </w:r>
          </w:p>
        </w:tc>
      </w:tr>
      <w:tr w:rsidR="007D3170" w:rsidRPr="00AD244D" w14:paraId="34F56323"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tcPr>
          <w:p w14:paraId="73B8ACCF" w14:textId="77777777" w:rsidR="007D3170" w:rsidRPr="00AD244D" w:rsidRDefault="007D3170" w:rsidP="005976C3">
            <w:pPr>
              <w:rPr>
                <w:rFonts w:ascii="Arial" w:hAnsi="Arial" w:cs="Arial"/>
                <w:color w:val="FF0000"/>
                <w:lang w:eastAsia="en-GB"/>
              </w:rPr>
            </w:pPr>
          </w:p>
        </w:tc>
        <w:tc>
          <w:tcPr>
            <w:tcW w:w="3524" w:type="dxa"/>
            <w:tcBorders>
              <w:left w:val="single" w:sz="4" w:space="0" w:color="auto"/>
              <w:right w:val="single" w:sz="4" w:space="0" w:color="auto"/>
            </w:tcBorders>
          </w:tcPr>
          <w:p w14:paraId="0ECA6D2D"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Supratentorial ependymoma</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06CB0116"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24%</w:t>
            </w:r>
            <w:r w:rsidRPr="00AD244D">
              <w:rPr>
                <w:rFonts w:ascii="Arial" w:hAnsi="Arial" w:cs="Arial"/>
                <w:lang w:eastAsia="en-GB"/>
              </w:rPr>
              <w:t xml:space="preserve"> </w:t>
            </w:r>
            <w:r w:rsidRPr="00AD244D">
              <w:rPr>
                <w:rFonts w:ascii="Arial" w:hAnsi="Arial" w:cs="Arial"/>
                <w:sz w:val="18"/>
                <w:szCs w:val="20"/>
                <w:lang w:eastAsia="en-GB"/>
              </w:rPr>
              <w:t>(12/50)</w:t>
            </w:r>
          </w:p>
        </w:tc>
      </w:tr>
      <w:tr w:rsidR="007D3170" w:rsidRPr="00AD244D" w14:paraId="6DC3F481"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tcPr>
          <w:p w14:paraId="44E90DC1" w14:textId="77777777" w:rsidR="007D3170" w:rsidRPr="00AD244D" w:rsidRDefault="007D3170" w:rsidP="005976C3">
            <w:pPr>
              <w:rPr>
                <w:rFonts w:ascii="Arial" w:hAnsi="Arial" w:cs="Arial"/>
                <w:color w:val="FF0000"/>
                <w:lang w:eastAsia="en-GB"/>
              </w:rPr>
            </w:pPr>
          </w:p>
        </w:tc>
        <w:tc>
          <w:tcPr>
            <w:tcW w:w="3524" w:type="dxa"/>
            <w:tcBorders>
              <w:left w:val="single" w:sz="4" w:space="0" w:color="auto"/>
              <w:right w:val="single" w:sz="4" w:space="0" w:color="auto"/>
            </w:tcBorders>
          </w:tcPr>
          <w:p w14:paraId="3BC18F5D"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Astroblastoma</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0BA5ABFE"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16%</w:t>
            </w:r>
            <w:r w:rsidRPr="00AD244D">
              <w:rPr>
                <w:rFonts w:ascii="Arial" w:hAnsi="Arial" w:cs="Arial"/>
                <w:lang w:eastAsia="en-GB"/>
              </w:rPr>
              <w:t xml:space="preserve"> </w:t>
            </w:r>
            <w:r w:rsidRPr="00AD244D">
              <w:rPr>
                <w:rFonts w:ascii="Arial" w:hAnsi="Arial" w:cs="Arial"/>
                <w:sz w:val="18"/>
                <w:szCs w:val="20"/>
                <w:lang w:eastAsia="en-GB"/>
              </w:rPr>
              <w:t>(8/50)</w:t>
            </w:r>
          </w:p>
        </w:tc>
      </w:tr>
      <w:tr w:rsidR="007D3170" w:rsidRPr="00AD244D" w14:paraId="56A979CA"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tcPr>
          <w:p w14:paraId="1187F2C6" w14:textId="77777777" w:rsidR="007D3170" w:rsidRPr="00AD244D" w:rsidRDefault="007D3170" w:rsidP="005976C3">
            <w:pPr>
              <w:rPr>
                <w:rFonts w:ascii="Arial" w:hAnsi="Arial" w:cs="Arial"/>
                <w:color w:val="FF0000"/>
                <w:lang w:eastAsia="en-GB"/>
              </w:rPr>
            </w:pPr>
          </w:p>
        </w:tc>
        <w:tc>
          <w:tcPr>
            <w:tcW w:w="3524" w:type="dxa"/>
            <w:tcBorders>
              <w:left w:val="single" w:sz="4" w:space="0" w:color="auto"/>
              <w:right w:val="single" w:sz="4" w:space="0" w:color="auto"/>
            </w:tcBorders>
          </w:tcPr>
          <w:p w14:paraId="27795DCA"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Pilocytic astrocitoma</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760FC946" w14:textId="77777777" w:rsidR="007D3170" w:rsidRPr="00AD244D" w:rsidRDefault="007D3170" w:rsidP="005976C3">
            <w:pPr>
              <w:jc w:val="center"/>
              <w:rPr>
                <w:rFonts w:ascii="Arial" w:hAnsi="Arial" w:cs="Arial"/>
                <w:lang w:eastAsia="en-GB"/>
              </w:rPr>
            </w:pPr>
            <w:r w:rsidRPr="00AD244D">
              <w:rPr>
                <w:rFonts w:ascii="Arial" w:hAnsi="Arial" w:cs="Arial"/>
                <w:b/>
                <w:bCs/>
                <w:lang w:eastAsia="en-GB"/>
              </w:rPr>
              <w:t>14%</w:t>
            </w:r>
            <w:r w:rsidRPr="00AD244D">
              <w:rPr>
                <w:rFonts w:ascii="Arial" w:hAnsi="Arial" w:cs="Arial"/>
                <w:lang w:eastAsia="en-GB"/>
              </w:rPr>
              <w:t xml:space="preserve"> </w:t>
            </w:r>
            <w:r w:rsidRPr="00AD244D">
              <w:rPr>
                <w:rFonts w:ascii="Arial" w:hAnsi="Arial" w:cs="Arial"/>
                <w:sz w:val="18"/>
                <w:szCs w:val="20"/>
                <w:lang w:eastAsia="en-GB"/>
              </w:rPr>
              <w:t>(7/50)</w:t>
            </w:r>
          </w:p>
        </w:tc>
      </w:tr>
      <w:tr w:rsidR="007D3170" w:rsidRPr="00AD244D" w14:paraId="5EB02D9E" w14:textId="77777777" w:rsidTr="00AD24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tcPr>
          <w:p w14:paraId="3EB221DC" w14:textId="77777777" w:rsidR="007D3170" w:rsidRPr="00AD244D" w:rsidRDefault="007D3170" w:rsidP="005976C3">
            <w:pPr>
              <w:rPr>
                <w:rFonts w:ascii="Arial" w:hAnsi="Arial" w:cs="Arial"/>
                <w:color w:val="FF0000"/>
                <w:lang w:eastAsia="en-GB"/>
              </w:rPr>
            </w:pPr>
          </w:p>
        </w:tc>
        <w:tc>
          <w:tcPr>
            <w:tcW w:w="3524" w:type="dxa"/>
            <w:tcBorders>
              <w:left w:val="single" w:sz="4" w:space="0" w:color="auto"/>
              <w:right w:val="single" w:sz="4" w:space="0" w:color="auto"/>
            </w:tcBorders>
          </w:tcPr>
          <w:p w14:paraId="52C9C8D7"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diffuse leptomeningeal glioneuronal</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222ACABB"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6%</w:t>
            </w:r>
            <w:r w:rsidRPr="00AD244D">
              <w:rPr>
                <w:rFonts w:ascii="Arial" w:hAnsi="Arial" w:cs="Arial"/>
                <w:lang w:eastAsia="en-GB"/>
              </w:rPr>
              <w:t xml:space="preserve"> </w:t>
            </w:r>
            <w:r w:rsidRPr="00AD244D">
              <w:rPr>
                <w:rFonts w:ascii="Arial" w:hAnsi="Arial" w:cs="Arial"/>
                <w:sz w:val="18"/>
                <w:szCs w:val="20"/>
                <w:lang w:eastAsia="en-GB"/>
              </w:rPr>
              <w:t>(3/50)</w:t>
            </w:r>
          </w:p>
        </w:tc>
      </w:tr>
      <w:tr w:rsidR="007D3170" w:rsidRPr="00AD244D" w14:paraId="0D6E5D17" w14:textId="77777777" w:rsidTr="00AD244D">
        <w:trPr>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tcPr>
          <w:p w14:paraId="27D2DD64" w14:textId="77777777" w:rsidR="007D3170" w:rsidRPr="00AD244D" w:rsidRDefault="007D3170" w:rsidP="005976C3">
            <w:pPr>
              <w:rPr>
                <w:rFonts w:ascii="Arial" w:hAnsi="Arial" w:cs="Arial"/>
                <w:color w:val="FF0000"/>
                <w:lang w:eastAsia="en-GB"/>
              </w:rPr>
            </w:pPr>
          </w:p>
        </w:tc>
        <w:tc>
          <w:tcPr>
            <w:tcW w:w="3524" w:type="dxa"/>
            <w:tcBorders>
              <w:left w:val="single" w:sz="4" w:space="0" w:color="auto"/>
              <w:right w:val="single" w:sz="4" w:space="0" w:color="auto"/>
            </w:tcBorders>
          </w:tcPr>
          <w:p w14:paraId="5F841ABF" w14:textId="77777777" w:rsidR="007D3170" w:rsidRPr="00AD244D" w:rsidRDefault="007D3170" w:rsidP="005976C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Extraventricular Neurocytoma</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right w:val="single" w:sz="4" w:space="0" w:color="auto"/>
            </w:tcBorders>
          </w:tcPr>
          <w:p w14:paraId="6A02EDEC"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12%</w:t>
            </w:r>
            <w:r w:rsidRPr="00AD244D">
              <w:rPr>
                <w:rFonts w:ascii="Arial" w:hAnsi="Arial" w:cs="Arial"/>
                <w:lang w:eastAsia="en-GB"/>
              </w:rPr>
              <w:t xml:space="preserve"> </w:t>
            </w:r>
            <w:r w:rsidRPr="00AD244D">
              <w:rPr>
                <w:rFonts w:ascii="Arial" w:hAnsi="Arial" w:cs="Arial"/>
                <w:sz w:val="18"/>
                <w:szCs w:val="20"/>
                <w:lang w:eastAsia="en-GB"/>
              </w:rPr>
              <w:t>(6/50)</w:t>
            </w:r>
          </w:p>
        </w:tc>
      </w:tr>
      <w:tr w:rsidR="007D3170" w:rsidRPr="00AD244D" w14:paraId="709BBA54" w14:textId="77777777" w:rsidTr="005976C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33" w:type="dxa"/>
            <w:vMerge/>
            <w:tcBorders>
              <w:left w:val="single" w:sz="4" w:space="0" w:color="auto"/>
              <w:bottom w:val="single" w:sz="4" w:space="0" w:color="auto"/>
              <w:right w:val="single" w:sz="4" w:space="0" w:color="auto"/>
            </w:tcBorders>
          </w:tcPr>
          <w:p w14:paraId="5DF5F37A" w14:textId="77777777" w:rsidR="007D3170" w:rsidRPr="00AD244D" w:rsidRDefault="007D3170" w:rsidP="005976C3">
            <w:pPr>
              <w:rPr>
                <w:rFonts w:ascii="Arial" w:hAnsi="Arial" w:cs="Arial"/>
                <w:color w:val="FF0000"/>
                <w:lang w:eastAsia="en-GB"/>
              </w:rPr>
            </w:pPr>
          </w:p>
        </w:tc>
        <w:tc>
          <w:tcPr>
            <w:tcW w:w="3524" w:type="dxa"/>
            <w:tcBorders>
              <w:left w:val="single" w:sz="4" w:space="0" w:color="auto"/>
              <w:bottom w:val="single" w:sz="4" w:space="0" w:color="auto"/>
              <w:right w:val="single" w:sz="4" w:space="0" w:color="auto"/>
            </w:tcBorders>
          </w:tcPr>
          <w:p w14:paraId="3F8A6B08" w14:textId="77777777" w:rsidR="007D3170" w:rsidRPr="00AD244D" w:rsidRDefault="007D3170" w:rsidP="005976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D244D">
              <w:rPr>
                <w:rFonts w:ascii="Arial" w:hAnsi="Arial" w:cs="Arial"/>
                <w:sz w:val="20"/>
                <w:szCs w:val="20"/>
                <w:lang w:eastAsia="en-GB"/>
              </w:rPr>
              <w:t>Papillary Glioneuronal Tumor</w:t>
            </w:r>
          </w:p>
        </w:tc>
        <w:tc>
          <w:tcPr>
            <w:cnfStyle w:val="000010000000" w:firstRow="0" w:lastRow="0" w:firstColumn="0" w:lastColumn="0" w:oddVBand="1" w:evenVBand="0" w:oddHBand="0" w:evenHBand="0" w:firstRowFirstColumn="0" w:firstRowLastColumn="0" w:lastRowFirstColumn="0" w:lastRowLastColumn="0"/>
            <w:tcW w:w="1842" w:type="dxa"/>
            <w:tcBorders>
              <w:left w:val="single" w:sz="4" w:space="0" w:color="auto"/>
              <w:bottom w:val="single" w:sz="4" w:space="0" w:color="auto"/>
              <w:right w:val="single" w:sz="4" w:space="0" w:color="auto"/>
            </w:tcBorders>
          </w:tcPr>
          <w:p w14:paraId="3C38F855" w14:textId="77777777" w:rsidR="007D3170" w:rsidRPr="00AD244D" w:rsidRDefault="007D3170" w:rsidP="005976C3">
            <w:pPr>
              <w:jc w:val="center"/>
              <w:rPr>
                <w:rFonts w:ascii="Arial" w:hAnsi="Arial" w:cs="Arial"/>
                <w:b/>
                <w:bCs/>
                <w:lang w:eastAsia="en-GB"/>
              </w:rPr>
            </w:pPr>
            <w:r w:rsidRPr="00AD244D">
              <w:rPr>
                <w:rFonts w:ascii="Arial" w:hAnsi="Arial" w:cs="Arial"/>
                <w:b/>
                <w:bCs/>
                <w:lang w:eastAsia="en-GB"/>
              </w:rPr>
              <w:t>8%</w:t>
            </w:r>
            <w:r w:rsidRPr="00AD244D">
              <w:rPr>
                <w:rFonts w:ascii="Arial" w:hAnsi="Arial" w:cs="Arial"/>
                <w:lang w:eastAsia="en-GB"/>
              </w:rPr>
              <w:t xml:space="preserve"> </w:t>
            </w:r>
            <w:r w:rsidRPr="00AD244D">
              <w:rPr>
                <w:rFonts w:ascii="Arial" w:hAnsi="Arial" w:cs="Arial"/>
                <w:sz w:val="18"/>
                <w:szCs w:val="20"/>
                <w:lang w:eastAsia="en-GB"/>
              </w:rPr>
              <w:t>(4/50)</w:t>
            </w:r>
          </w:p>
        </w:tc>
      </w:tr>
    </w:tbl>
    <w:p w14:paraId="71FBDDDB" w14:textId="77777777" w:rsidR="007D3170" w:rsidRDefault="007D3170">
      <w:pPr>
        <w:spacing w:after="0" w:line="240" w:lineRule="auto"/>
        <w:jc w:val="both"/>
        <w:rPr>
          <w:rFonts w:ascii="Calibri" w:hAnsi="Calibri" w:cs="Calibri"/>
          <w:b/>
          <w:bCs/>
          <w:sz w:val="20"/>
          <w:szCs w:val="20"/>
        </w:rPr>
      </w:pPr>
    </w:p>
    <w:p w14:paraId="56641C0E" w14:textId="77777777" w:rsidR="007D3170" w:rsidRDefault="007D3170">
      <w:pPr>
        <w:spacing w:after="0" w:line="240" w:lineRule="auto"/>
        <w:jc w:val="both"/>
        <w:rPr>
          <w:rFonts w:ascii="Calibri" w:hAnsi="Calibri" w:cs="Calibri"/>
          <w:b/>
          <w:bCs/>
          <w:sz w:val="20"/>
          <w:szCs w:val="20"/>
        </w:rPr>
      </w:pPr>
    </w:p>
    <w:p w14:paraId="478E4A41" w14:textId="77777777" w:rsidR="007D3170" w:rsidRDefault="007D3170">
      <w:pPr>
        <w:spacing w:after="0" w:line="240" w:lineRule="auto"/>
        <w:jc w:val="both"/>
        <w:rPr>
          <w:rFonts w:ascii="Calibri" w:hAnsi="Calibri" w:cs="Calibri"/>
          <w:b/>
          <w:bCs/>
          <w:sz w:val="20"/>
          <w:szCs w:val="20"/>
        </w:rPr>
      </w:pPr>
    </w:p>
    <w:p w14:paraId="3E33E785" w14:textId="77777777" w:rsidR="007D3170" w:rsidRDefault="007D3170">
      <w:pPr>
        <w:spacing w:after="0" w:line="240" w:lineRule="auto"/>
        <w:jc w:val="both"/>
        <w:rPr>
          <w:rFonts w:ascii="Calibri" w:hAnsi="Calibri" w:cs="Calibri"/>
          <w:b/>
          <w:bCs/>
          <w:sz w:val="20"/>
          <w:szCs w:val="20"/>
        </w:rPr>
      </w:pPr>
    </w:p>
    <w:p w14:paraId="54785CE4" w14:textId="77777777" w:rsidR="007D3170" w:rsidRDefault="007D3170">
      <w:pPr>
        <w:spacing w:after="0" w:line="240" w:lineRule="auto"/>
        <w:jc w:val="both"/>
        <w:rPr>
          <w:rFonts w:ascii="Calibri" w:hAnsi="Calibri" w:cs="Calibri"/>
          <w:b/>
          <w:bCs/>
          <w:sz w:val="20"/>
          <w:szCs w:val="20"/>
        </w:rPr>
      </w:pPr>
    </w:p>
    <w:p w14:paraId="4C5B3276" w14:textId="77777777" w:rsidR="007D3170" w:rsidRDefault="007D3170">
      <w:pPr>
        <w:spacing w:after="0" w:line="240" w:lineRule="auto"/>
        <w:jc w:val="both"/>
        <w:rPr>
          <w:rFonts w:ascii="Calibri" w:hAnsi="Calibri" w:cs="Calibri"/>
          <w:b/>
          <w:bCs/>
          <w:sz w:val="20"/>
          <w:szCs w:val="20"/>
        </w:rPr>
      </w:pPr>
    </w:p>
    <w:p w14:paraId="1110B128" w14:textId="77777777" w:rsidR="007D3170" w:rsidRDefault="007D3170">
      <w:pPr>
        <w:spacing w:after="0" w:line="240" w:lineRule="auto"/>
        <w:jc w:val="both"/>
        <w:rPr>
          <w:rFonts w:ascii="Calibri" w:hAnsi="Calibri" w:cs="Calibri"/>
          <w:b/>
          <w:bCs/>
          <w:sz w:val="20"/>
          <w:szCs w:val="20"/>
        </w:rPr>
      </w:pPr>
    </w:p>
    <w:p w14:paraId="7F3F7F11" w14:textId="77777777" w:rsidR="007D3170" w:rsidRDefault="007D3170">
      <w:pPr>
        <w:spacing w:after="0" w:line="240" w:lineRule="auto"/>
        <w:jc w:val="both"/>
        <w:rPr>
          <w:rFonts w:ascii="Calibri" w:hAnsi="Calibri" w:cs="Calibri"/>
          <w:b/>
          <w:bCs/>
          <w:sz w:val="20"/>
          <w:szCs w:val="20"/>
        </w:rPr>
      </w:pPr>
    </w:p>
    <w:p w14:paraId="49776A5D" w14:textId="77777777" w:rsidR="007D3170" w:rsidRDefault="007D3170">
      <w:pPr>
        <w:spacing w:after="0" w:line="240" w:lineRule="auto"/>
        <w:jc w:val="both"/>
        <w:rPr>
          <w:rFonts w:ascii="Calibri" w:hAnsi="Calibri" w:cs="Calibri"/>
          <w:b/>
          <w:bCs/>
          <w:sz w:val="20"/>
          <w:szCs w:val="20"/>
        </w:rPr>
      </w:pPr>
    </w:p>
    <w:p w14:paraId="5CA8A010" w14:textId="77777777" w:rsidR="007D3170" w:rsidRDefault="007D3170">
      <w:pPr>
        <w:spacing w:after="0" w:line="240" w:lineRule="auto"/>
        <w:jc w:val="both"/>
        <w:rPr>
          <w:rFonts w:ascii="Calibri" w:hAnsi="Calibri" w:cs="Calibri"/>
          <w:b/>
          <w:bCs/>
          <w:sz w:val="20"/>
          <w:szCs w:val="20"/>
        </w:rPr>
      </w:pPr>
    </w:p>
    <w:p w14:paraId="51F9B68E" w14:textId="77777777" w:rsidR="007D3170" w:rsidRDefault="007D3170">
      <w:pPr>
        <w:spacing w:after="0" w:line="240" w:lineRule="auto"/>
        <w:jc w:val="both"/>
        <w:rPr>
          <w:rFonts w:ascii="Calibri" w:hAnsi="Calibri" w:cs="Calibri"/>
          <w:b/>
          <w:bCs/>
          <w:sz w:val="20"/>
          <w:szCs w:val="20"/>
        </w:rPr>
      </w:pPr>
    </w:p>
    <w:p w14:paraId="09EB295E" w14:textId="77777777" w:rsidR="007D3170" w:rsidRDefault="007D3170">
      <w:pPr>
        <w:spacing w:after="0" w:line="240" w:lineRule="auto"/>
        <w:jc w:val="both"/>
        <w:rPr>
          <w:rFonts w:ascii="Calibri" w:hAnsi="Calibri" w:cs="Calibri"/>
          <w:b/>
          <w:bCs/>
          <w:sz w:val="20"/>
          <w:szCs w:val="20"/>
        </w:rPr>
      </w:pPr>
    </w:p>
    <w:p w14:paraId="6CFCB204" w14:textId="77777777" w:rsidR="007D3170" w:rsidRDefault="007D3170">
      <w:pPr>
        <w:spacing w:after="0" w:line="240" w:lineRule="auto"/>
        <w:jc w:val="both"/>
        <w:rPr>
          <w:rFonts w:ascii="Calibri" w:hAnsi="Calibri" w:cs="Calibri"/>
          <w:b/>
          <w:bCs/>
          <w:sz w:val="20"/>
          <w:szCs w:val="20"/>
        </w:rPr>
      </w:pPr>
    </w:p>
    <w:p w14:paraId="62F1DD89" w14:textId="77777777" w:rsidR="007D3170" w:rsidRDefault="007D3170">
      <w:pPr>
        <w:spacing w:after="0" w:line="240" w:lineRule="auto"/>
        <w:jc w:val="both"/>
        <w:rPr>
          <w:rFonts w:ascii="Calibri" w:hAnsi="Calibri" w:cs="Calibri"/>
          <w:b/>
          <w:bCs/>
          <w:sz w:val="20"/>
          <w:szCs w:val="20"/>
        </w:rPr>
      </w:pPr>
    </w:p>
    <w:p w14:paraId="11436B9C" w14:textId="77777777" w:rsidR="007D3170" w:rsidRDefault="007D3170">
      <w:pPr>
        <w:spacing w:after="0" w:line="240" w:lineRule="auto"/>
        <w:jc w:val="both"/>
        <w:rPr>
          <w:rFonts w:ascii="Calibri" w:hAnsi="Calibri" w:cs="Calibri"/>
          <w:b/>
          <w:bCs/>
          <w:sz w:val="20"/>
          <w:szCs w:val="20"/>
        </w:rPr>
      </w:pPr>
    </w:p>
    <w:p w14:paraId="7BF40063" w14:textId="77777777" w:rsidR="007D3170" w:rsidRDefault="007D3170">
      <w:pPr>
        <w:spacing w:after="0" w:line="240" w:lineRule="auto"/>
        <w:jc w:val="both"/>
        <w:rPr>
          <w:rFonts w:ascii="Calibri" w:hAnsi="Calibri" w:cs="Calibri"/>
          <w:b/>
          <w:bCs/>
          <w:sz w:val="20"/>
          <w:szCs w:val="20"/>
        </w:rPr>
      </w:pPr>
    </w:p>
    <w:p w14:paraId="0A491B3D" w14:textId="77777777" w:rsidR="007D3170" w:rsidRDefault="007D3170">
      <w:pPr>
        <w:spacing w:after="0" w:line="240" w:lineRule="auto"/>
        <w:jc w:val="both"/>
        <w:rPr>
          <w:rFonts w:ascii="Calibri" w:hAnsi="Calibri" w:cs="Calibri"/>
          <w:b/>
          <w:bCs/>
          <w:sz w:val="20"/>
          <w:szCs w:val="20"/>
        </w:rPr>
      </w:pPr>
    </w:p>
    <w:p w14:paraId="5F56C3C7" w14:textId="77777777" w:rsidR="007D3170" w:rsidRDefault="007D3170">
      <w:pPr>
        <w:spacing w:after="0" w:line="240" w:lineRule="auto"/>
        <w:jc w:val="both"/>
        <w:rPr>
          <w:rFonts w:ascii="Calibri" w:hAnsi="Calibri" w:cs="Calibri"/>
          <w:b/>
          <w:bCs/>
          <w:sz w:val="20"/>
          <w:szCs w:val="20"/>
        </w:rPr>
      </w:pPr>
    </w:p>
    <w:p w14:paraId="353360E5" w14:textId="77777777" w:rsidR="007D3170" w:rsidRDefault="007D3170">
      <w:pPr>
        <w:spacing w:after="0" w:line="240" w:lineRule="auto"/>
        <w:jc w:val="both"/>
        <w:rPr>
          <w:rFonts w:ascii="Calibri" w:hAnsi="Calibri" w:cs="Calibri"/>
          <w:b/>
          <w:bCs/>
          <w:sz w:val="20"/>
          <w:szCs w:val="20"/>
        </w:rPr>
      </w:pPr>
    </w:p>
    <w:p w14:paraId="4E19AB77" w14:textId="77777777" w:rsidR="007D3170" w:rsidRDefault="007D3170">
      <w:pPr>
        <w:spacing w:after="0" w:line="240" w:lineRule="auto"/>
        <w:jc w:val="both"/>
        <w:rPr>
          <w:rFonts w:ascii="Calibri" w:hAnsi="Calibri" w:cs="Calibri"/>
          <w:b/>
          <w:bCs/>
          <w:sz w:val="20"/>
          <w:szCs w:val="20"/>
        </w:rPr>
      </w:pPr>
    </w:p>
    <w:p w14:paraId="60B19663" w14:textId="77777777" w:rsidR="007D3170" w:rsidRDefault="007D3170">
      <w:pPr>
        <w:spacing w:after="0" w:line="240" w:lineRule="auto"/>
        <w:jc w:val="both"/>
        <w:rPr>
          <w:rFonts w:ascii="Calibri" w:hAnsi="Calibri" w:cs="Calibri"/>
          <w:b/>
          <w:bCs/>
          <w:sz w:val="20"/>
          <w:szCs w:val="20"/>
        </w:rPr>
      </w:pPr>
    </w:p>
    <w:p w14:paraId="02B71A1F" w14:textId="77777777" w:rsidR="007D3170" w:rsidRDefault="007D3170">
      <w:pPr>
        <w:spacing w:after="0" w:line="240" w:lineRule="auto"/>
        <w:jc w:val="both"/>
        <w:rPr>
          <w:rFonts w:ascii="Calibri" w:hAnsi="Calibri" w:cs="Calibri"/>
          <w:b/>
          <w:bCs/>
          <w:sz w:val="20"/>
          <w:szCs w:val="20"/>
        </w:rPr>
      </w:pPr>
    </w:p>
    <w:p w14:paraId="3AA958C1" w14:textId="77777777" w:rsidR="007D3170" w:rsidRDefault="007D3170">
      <w:pPr>
        <w:spacing w:after="0" w:line="240" w:lineRule="auto"/>
        <w:jc w:val="both"/>
        <w:rPr>
          <w:rFonts w:ascii="Calibri" w:hAnsi="Calibri" w:cs="Calibri"/>
          <w:b/>
          <w:bCs/>
          <w:sz w:val="20"/>
          <w:szCs w:val="20"/>
        </w:rPr>
      </w:pPr>
    </w:p>
    <w:p w14:paraId="6B5036E0" w14:textId="77777777" w:rsidR="007D3170" w:rsidRDefault="007D3170">
      <w:pPr>
        <w:spacing w:after="0" w:line="240" w:lineRule="auto"/>
        <w:jc w:val="both"/>
        <w:rPr>
          <w:rFonts w:ascii="Calibri" w:hAnsi="Calibri" w:cs="Calibri"/>
          <w:b/>
          <w:bCs/>
          <w:sz w:val="20"/>
          <w:szCs w:val="20"/>
        </w:rPr>
      </w:pPr>
    </w:p>
    <w:p w14:paraId="2883117B" w14:textId="77777777" w:rsidR="007D3170" w:rsidRDefault="007D3170">
      <w:pPr>
        <w:spacing w:after="0" w:line="240" w:lineRule="auto"/>
        <w:jc w:val="both"/>
        <w:rPr>
          <w:rFonts w:ascii="Calibri" w:hAnsi="Calibri" w:cs="Calibri"/>
          <w:b/>
          <w:bCs/>
          <w:sz w:val="20"/>
          <w:szCs w:val="20"/>
        </w:rPr>
      </w:pPr>
    </w:p>
    <w:p w14:paraId="57AF94E0" w14:textId="77777777" w:rsidR="007D3170" w:rsidRDefault="007D3170">
      <w:pPr>
        <w:spacing w:after="0" w:line="240" w:lineRule="auto"/>
        <w:jc w:val="both"/>
        <w:rPr>
          <w:rFonts w:ascii="Calibri" w:hAnsi="Calibri" w:cs="Calibri"/>
          <w:b/>
          <w:bCs/>
          <w:sz w:val="20"/>
          <w:szCs w:val="20"/>
        </w:rPr>
      </w:pPr>
    </w:p>
    <w:p w14:paraId="42CDEFD8" w14:textId="77777777" w:rsidR="007D3170" w:rsidRDefault="007D3170">
      <w:pPr>
        <w:spacing w:after="0" w:line="240" w:lineRule="auto"/>
        <w:jc w:val="both"/>
        <w:rPr>
          <w:rFonts w:ascii="Calibri" w:hAnsi="Calibri" w:cs="Calibri"/>
          <w:b/>
          <w:bCs/>
          <w:sz w:val="20"/>
          <w:szCs w:val="20"/>
        </w:rPr>
      </w:pPr>
    </w:p>
    <w:p w14:paraId="7EA92AFD" w14:textId="77777777" w:rsidR="007D3170" w:rsidRDefault="007D3170">
      <w:pPr>
        <w:spacing w:after="0" w:line="240" w:lineRule="auto"/>
        <w:jc w:val="both"/>
        <w:rPr>
          <w:rFonts w:ascii="Calibri" w:hAnsi="Calibri" w:cs="Calibri"/>
          <w:b/>
          <w:bCs/>
          <w:sz w:val="20"/>
          <w:szCs w:val="20"/>
        </w:rPr>
      </w:pPr>
    </w:p>
    <w:p w14:paraId="38202648" w14:textId="77777777" w:rsidR="007D3170" w:rsidRDefault="007D3170">
      <w:pPr>
        <w:spacing w:after="0" w:line="240" w:lineRule="auto"/>
        <w:jc w:val="both"/>
        <w:rPr>
          <w:rFonts w:ascii="Calibri" w:hAnsi="Calibri" w:cs="Calibri"/>
          <w:b/>
          <w:bCs/>
          <w:sz w:val="20"/>
          <w:szCs w:val="20"/>
        </w:rPr>
      </w:pPr>
    </w:p>
    <w:p w14:paraId="1D412A0F" w14:textId="1567EF39" w:rsidR="007D3170" w:rsidRDefault="007D3170">
      <w:pPr>
        <w:spacing w:line="278" w:lineRule="auto"/>
        <w:rPr>
          <w:rFonts w:ascii="Calibri" w:hAnsi="Calibri" w:cs="Calibri"/>
          <w:b/>
          <w:bCs/>
          <w:sz w:val="20"/>
          <w:szCs w:val="20"/>
        </w:rPr>
      </w:pPr>
      <w:r>
        <w:rPr>
          <w:rFonts w:ascii="Calibri" w:hAnsi="Calibri" w:cs="Calibri"/>
          <w:b/>
          <w:bCs/>
          <w:sz w:val="20"/>
          <w:szCs w:val="20"/>
        </w:rPr>
        <w:br w:type="page"/>
      </w:r>
    </w:p>
    <w:p w14:paraId="125EEE38" w14:textId="7F90222D" w:rsidR="005F2AC3" w:rsidRDefault="007D3170">
      <w:pPr>
        <w:spacing w:after="0" w:line="240" w:lineRule="auto"/>
        <w:jc w:val="both"/>
        <w:rPr>
          <w:rFonts w:ascii="Calibri" w:hAnsi="Calibri" w:cs="Calibri"/>
          <w:sz w:val="20"/>
          <w:szCs w:val="20"/>
        </w:rPr>
      </w:pPr>
      <w:r w:rsidRPr="00005870">
        <w:rPr>
          <w:rFonts w:ascii="Calibri" w:hAnsi="Calibri" w:cs="Calibri"/>
          <w:b/>
          <w:bCs/>
          <w:sz w:val="20"/>
          <w:szCs w:val="20"/>
        </w:rPr>
        <w:lastRenderedPageBreak/>
        <w:t xml:space="preserve">Supplementary Tab. </w:t>
      </w:r>
      <w:r>
        <w:rPr>
          <w:rFonts w:ascii="Calibri" w:hAnsi="Calibri" w:cs="Calibri"/>
          <w:b/>
          <w:bCs/>
          <w:sz w:val="20"/>
          <w:szCs w:val="20"/>
        </w:rPr>
        <w:t>3</w:t>
      </w:r>
      <w:r w:rsidRPr="00005870">
        <w:rPr>
          <w:rFonts w:ascii="Calibri" w:hAnsi="Calibri" w:cs="Calibri"/>
          <w:b/>
          <w:bCs/>
          <w:sz w:val="20"/>
          <w:szCs w:val="20"/>
        </w:rPr>
        <w:t xml:space="preserve">: </w:t>
      </w:r>
      <w:r w:rsidR="00D119F0" w:rsidRPr="005F2AC3">
        <w:rPr>
          <w:rFonts w:ascii="Calibri" w:hAnsi="Calibri" w:cs="Calibri"/>
          <w:b/>
          <w:bCs/>
          <w:sz w:val="20"/>
          <w:szCs w:val="20"/>
        </w:rPr>
        <w:t>Comparative analysis of results obtained using FISH,</w:t>
      </w:r>
      <w:r w:rsidR="000405FC" w:rsidRPr="005F2AC3">
        <w:rPr>
          <w:rFonts w:ascii="Calibri" w:hAnsi="Calibri" w:cs="Calibri"/>
          <w:b/>
          <w:bCs/>
          <w:sz w:val="20"/>
          <w:szCs w:val="20"/>
        </w:rPr>
        <w:t xml:space="preserve"> genomic DNA methylation profiling and whole-transcriptome sequencing.</w:t>
      </w:r>
      <w:r w:rsidR="000405FC">
        <w:rPr>
          <w:rFonts w:ascii="Calibri" w:hAnsi="Calibri" w:cs="Calibri"/>
          <w:sz w:val="20"/>
          <w:szCs w:val="20"/>
        </w:rPr>
        <w:t xml:space="preserve"> </w:t>
      </w:r>
    </w:p>
    <w:p w14:paraId="5E5C8150" w14:textId="1822713F" w:rsidR="00163F50" w:rsidRPr="00126E97" w:rsidRDefault="00163F50" w:rsidP="00163F50">
      <w:pPr>
        <w:spacing w:after="0" w:line="240" w:lineRule="auto"/>
        <w:jc w:val="both"/>
        <w:rPr>
          <w:rFonts w:ascii="Calibri" w:hAnsi="Calibri" w:cs="Calibri"/>
          <w:sz w:val="20"/>
          <w:szCs w:val="20"/>
        </w:rPr>
      </w:pPr>
      <w:r w:rsidRPr="00126E97">
        <w:rPr>
          <w:rFonts w:ascii="Calibri" w:hAnsi="Calibri" w:cs="Calibri"/>
          <w:sz w:val="20"/>
          <w:szCs w:val="20"/>
        </w:rPr>
        <w:t>The FISH evaluation methods, including "signal distance measurement" for detecting rearrangements and "signal pattern analysis" for identifying fusions, demonstrate high concordance with methylation profiling (91.3%) and RNA-seq (81.2%) in diagnosing structural variants in pediatric brain tumors (PBTs). Discrepancies between FISH and other analytical methods are primarily attributed to two factors. First, in DNA methylation profiling, low epigenetic scores (&lt;0.6) indicate unreliable predictions based on methylation patterns. Second, in RNA</w:t>
      </w:r>
      <w:r w:rsidR="00126E97" w:rsidRPr="00126E97">
        <w:rPr>
          <w:rFonts w:ascii="Calibri" w:hAnsi="Calibri" w:cs="Calibri"/>
          <w:sz w:val="20"/>
          <w:szCs w:val="20"/>
        </w:rPr>
        <w:t>-</w:t>
      </w:r>
      <w:r w:rsidRPr="00126E97">
        <w:rPr>
          <w:rFonts w:ascii="Calibri" w:hAnsi="Calibri" w:cs="Calibri"/>
          <w:sz w:val="20"/>
          <w:szCs w:val="20"/>
        </w:rPr>
        <w:t>seq, poor RNA quality and high intratumoral genetic heterogeneity significantly reduce sequencing sensitivity, leading to inconsistent results.</w:t>
      </w:r>
    </w:p>
    <w:p w14:paraId="62FB9438" w14:textId="77777777" w:rsidR="00087956" w:rsidRPr="00D119F0" w:rsidRDefault="00087956">
      <w:pPr>
        <w:spacing w:after="0" w:line="240" w:lineRule="auto"/>
        <w:jc w:val="both"/>
        <w:rPr>
          <w:rFonts w:ascii="Calibri" w:hAnsi="Calibri" w:cs="Calibri"/>
          <w:b/>
          <w:bCs/>
          <w:sz w:val="20"/>
          <w:szCs w:val="20"/>
        </w:rPr>
      </w:pPr>
    </w:p>
    <w:tbl>
      <w:tblPr>
        <w:tblStyle w:val="Tabellasemplice-1"/>
        <w:tblW w:w="0" w:type="auto"/>
        <w:tblInd w:w="-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2"/>
        <w:gridCol w:w="1483"/>
        <w:gridCol w:w="3432"/>
      </w:tblGrid>
      <w:tr w:rsidR="00087956" w:rsidRPr="00087956" w14:paraId="249A2BDC" w14:textId="77777777" w:rsidTr="00126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2" w:type="dxa"/>
            <w:tcBorders>
              <w:bottom w:val="single" w:sz="4" w:space="0" w:color="auto"/>
            </w:tcBorders>
            <w:vAlign w:val="center"/>
            <w:hideMark/>
          </w:tcPr>
          <w:p w14:paraId="1DB7575A" w14:textId="494FFB52" w:rsidR="00087956" w:rsidRPr="00087956" w:rsidRDefault="00090E88" w:rsidP="00087956">
            <w:pPr>
              <w:spacing w:line="240" w:lineRule="auto"/>
              <w:jc w:val="cente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 </w:t>
            </w:r>
            <w:r w:rsidR="00087956" w:rsidRPr="00087956">
              <w:rPr>
                <w:rFonts w:ascii="Arial" w:eastAsia="Times New Roman" w:hAnsi="Arial" w:cs="Arial"/>
                <w:kern w:val="0"/>
                <w:lang w:eastAsia="en-GB"/>
                <w14:ligatures w14:val="none"/>
              </w:rPr>
              <w:t>Analysis</w:t>
            </w:r>
          </w:p>
        </w:tc>
        <w:tc>
          <w:tcPr>
            <w:tcW w:w="1483" w:type="dxa"/>
            <w:tcBorders>
              <w:bottom w:val="single" w:sz="4" w:space="0" w:color="auto"/>
            </w:tcBorders>
            <w:vAlign w:val="center"/>
            <w:hideMark/>
          </w:tcPr>
          <w:p w14:paraId="1D9EE88C" w14:textId="0713195D" w:rsidR="00087956" w:rsidRPr="00087956" w:rsidRDefault="00087956" w:rsidP="0008795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en-GB"/>
                <w14:ligatures w14:val="none"/>
              </w:rPr>
            </w:pPr>
            <w:r>
              <w:rPr>
                <w:rFonts w:ascii="Arial" w:eastAsia="Times New Roman" w:hAnsi="Arial" w:cs="Arial"/>
                <w:kern w:val="0"/>
                <w:lang w:eastAsia="en-GB"/>
                <w14:ligatures w14:val="none"/>
              </w:rPr>
              <w:t>N°</w:t>
            </w:r>
            <w:r w:rsidRPr="00087956">
              <w:rPr>
                <w:rFonts w:ascii="Arial" w:eastAsia="Times New Roman" w:hAnsi="Arial" w:cs="Arial"/>
                <w:kern w:val="0"/>
                <w:lang w:eastAsia="en-GB"/>
                <w14:ligatures w14:val="none"/>
              </w:rPr>
              <w:t xml:space="preserve"> of Cases</w:t>
            </w:r>
          </w:p>
        </w:tc>
        <w:tc>
          <w:tcPr>
            <w:tcW w:w="3432" w:type="dxa"/>
            <w:tcBorders>
              <w:bottom w:val="single" w:sz="4" w:space="0" w:color="auto"/>
            </w:tcBorders>
            <w:vAlign w:val="center"/>
            <w:hideMark/>
          </w:tcPr>
          <w:p w14:paraId="744C0CF6" w14:textId="77777777" w:rsidR="00087956" w:rsidRPr="00087956" w:rsidRDefault="00087956" w:rsidP="0008795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en-GB"/>
                <w14:ligatures w14:val="none"/>
              </w:rPr>
            </w:pPr>
            <w:r w:rsidRPr="00087956">
              <w:rPr>
                <w:rFonts w:ascii="Arial" w:eastAsia="Times New Roman" w:hAnsi="Arial" w:cs="Arial"/>
                <w:kern w:val="0"/>
                <w:lang w:eastAsia="en-GB"/>
                <w14:ligatures w14:val="none"/>
              </w:rPr>
              <w:t>Additional Information</w:t>
            </w:r>
          </w:p>
        </w:tc>
      </w:tr>
      <w:tr w:rsidR="00087956" w:rsidRPr="00087956" w14:paraId="7DAD185D" w14:textId="77777777" w:rsidTr="0012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2" w:type="dxa"/>
            <w:tcBorders>
              <w:top w:val="single" w:sz="4" w:space="0" w:color="auto"/>
              <w:bottom w:val="single" w:sz="4" w:space="0" w:color="BFBFBF" w:themeColor="background1" w:themeShade="BF"/>
            </w:tcBorders>
            <w:vAlign w:val="center"/>
            <w:hideMark/>
          </w:tcPr>
          <w:p w14:paraId="49915F61" w14:textId="69F89AB5" w:rsidR="00087956" w:rsidRPr="00087956" w:rsidRDefault="00087956" w:rsidP="00087956">
            <w:pPr>
              <w:spacing w:line="240" w:lineRule="auto"/>
              <w:rPr>
                <w:rFonts w:ascii="Arial" w:eastAsia="Times New Roman" w:hAnsi="Arial" w:cs="Arial"/>
                <w:kern w:val="0"/>
                <w:sz w:val="20"/>
                <w:szCs w:val="20"/>
                <w:lang w:eastAsia="en-GB"/>
                <w14:ligatures w14:val="none"/>
              </w:rPr>
            </w:pPr>
            <w:r w:rsidRPr="00090E88">
              <w:rPr>
                <w:rFonts w:ascii="Arial" w:eastAsia="Times New Roman" w:hAnsi="Arial" w:cs="Arial"/>
                <w:kern w:val="0"/>
                <w:sz w:val="20"/>
                <w:szCs w:val="20"/>
                <w:lang w:eastAsia="en-GB"/>
                <w14:ligatures w14:val="none"/>
              </w:rPr>
              <w:t>Samples</w:t>
            </w:r>
            <w:r w:rsidRPr="00087956">
              <w:rPr>
                <w:rFonts w:ascii="Arial" w:eastAsia="Times New Roman" w:hAnsi="Arial" w:cs="Arial"/>
                <w:kern w:val="0"/>
                <w:sz w:val="20"/>
                <w:szCs w:val="20"/>
                <w:lang w:eastAsia="en-GB"/>
                <w14:ligatures w14:val="none"/>
              </w:rPr>
              <w:t xml:space="preserve"> analyzed </w:t>
            </w:r>
            <w:r w:rsidR="00090E88" w:rsidRPr="00090E88">
              <w:rPr>
                <w:rFonts w:ascii="Arial" w:eastAsia="Times New Roman" w:hAnsi="Arial" w:cs="Arial"/>
                <w:kern w:val="0"/>
                <w:sz w:val="20"/>
                <w:szCs w:val="20"/>
                <w:lang w:eastAsia="en-GB"/>
                <w14:ligatures w14:val="none"/>
              </w:rPr>
              <w:t>via</w:t>
            </w:r>
            <w:r w:rsidRPr="00087956">
              <w:rPr>
                <w:rFonts w:ascii="Arial" w:eastAsia="Times New Roman" w:hAnsi="Arial" w:cs="Arial"/>
                <w:kern w:val="0"/>
                <w:sz w:val="20"/>
                <w:szCs w:val="20"/>
                <w:lang w:eastAsia="en-GB"/>
                <w14:ligatures w14:val="none"/>
              </w:rPr>
              <w:t xml:space="preserve"> </w:t>
            </w:r>
            <w:r w:rsidR="00090E88" w:rsidRPr="00090E88">
              <w:rPr>
                <w:rFonts w:ascii="Arial" w:eastAsia="Times New Roman" w:hAnsi="Arial" w:cs="Arial"/>
                <w:kern w:val="0"/>
                <w:sz w:val="20"/>
                <w:szCs w:val="20"/>
                <w:lang w:eastAsia="en-GB"/>
                <w14:ligatures w14:val="none"/>
              </w:rPr>
              <w:t xml:space="preserve">DNA </w:t>
            </w:r>
            <w:r w:rsidRPr="00087956">
              <w:rPr>
                <w:rFonts w:ascii="Arial" w:eastAsia="Times New Roman" w:hAnsi="Arial" w:cs="Arial"/>
                <w:kern w:val="0"/>
                <w:sz w:val="20"/>
                <w:szCs w:val="20"/>
                <w:lang w:eastAsia="en-GB"/>
                <w14:ligatures w14:val="none"/>
              </w:rPr>
              <w:t>methylation profiling</w:t>
            </w:r>
          </w:p>
        </w:tc>
        <w:tc>
          <w:tcPr>
            <w:tcW w:w="1483" w:type="dxa"/>
            <w:tcBorders>
              <w:top w:val="single" w:sz="4" w:space="0" w:color="auto"/>
              <w:bottom w:val="single" w:sz="4" w:space="0" w:color="BFBFBF" w:themeColor="background1" w:themeShade="BF"/>
            </w:tcBorders>
            <w:vAlign w:val="center"/>
            <w:hideMark/>
          </w:tcPr>
          <w:p w14:paraId="6904D883" w14:textId="5A8FC0DE" w:rsidR="00087956" w:rsidRPr="00087956" w:rsidRDefault="00087956" w:rsidP="00090E8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GB"/>
                <w14:ligatures w14:val="none"/>
              </w:rPr>
            </w:pPr>
            <w:r w:rsidRPr="00087956">
              <w:rPr>
                <w:rFonts w:ascii="Arial" w:eastAsia="Times New Roman" w:hAnsi="Arial" w:cs="Arial"/>
                <w:b/>
                <w:bCs/>
                <w:kern w:val="0"/>
                <w:lang w:eastAsia="en-GB"/>
                <w14:ligatures w14:val="none"/>
              </w:rPr>
              <w:t>23</w:t>
            </w:r>
            <w:r w:rsidRPr="00090E88">
              <w:rPr>
                <w:rFonts w:ascii="Arial" w:eastAsia="Times New Roman" w:hAnsi="Arial" w:cs="Arial"/>
                <w:b/>
                <w:bCs/>
                <w:kern w:val="0"/>
                <w:lang w:eastAsia="en-GB"/>
                <w14:ligatures w14:val="none"/>
              </w:rPr>
              <w:t>/50</w:t>
            </w:r>
            <w:r w:rsidR="00090E88" w:rsidRPr="00090E88">
              <w:rPr>
                <w:rFonts w:ascii="Arial" w:eastAsia="Times New Roman" w:hAnsi="Arial" w:cs="Arial"/>
                <w:b/>
                <w:bCs/>
                <w:kern w:val="0"/>
                <w:lang w:eastAsia="en-GB"/>
                <w14:ligatures w14:val="none"/>
              </w:rPr>
              <w:t xml:space="preserve"> (46%)</w:t>
            </w:r>
          </w:p>
        </w:tc>
        <w:tc>
          <w:tcPr>
            <w:tcW w:w="3432" w:type="dxa"/>
            <w:tcBorders>
              <w:top w:val="single" w:sz="4" w:space="0" w:color="auto"/>
              <w:bottom w:val="single" w:sz="4" w:space="0" w:color="BFBFBF" w:themeColor="background1" w:themeShade="BF"/>
            </w:tcBorders>
            <w:vAlign w:val="center"/>
            <w:hideMark/>
          </w:tcPr>
          <w:p w14:paraId="79F31658" w14:textId="77777777" w:rsidR="00087956" w:rsidRPr="00087956" w:rsidRDefault="00087956" w:rsidP="00087956">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eastAsia="en-GB"/>
                <w14:ligatures w14:val="none"/>
              </w:rPr>
            </w:pPr>
            <w:r w:rsidRPr="00087956">
              <w:rPr>
                <w:rFonts w:ascii="Arial" w:eastAsia="Times New Roman" w:hAnsi="Arial" w:cs="Arial"/>
                <w:kern w:val="0"/>
                <w:sz w:val="18"/>
                <w:szCs w:val="18"/>
                <w:lang w:eastAsia="en-GB"/>
                <w14:ligatures w14:val="none"/>
              </w:rPr>
              <w:t>Not pre-selected</w:t>
            </w:r>
          </w:p>
        </w:tc>
      </w:tr>
      <w:tr w:rsidR="00087956" w:rsidRPr="00087956" w14:paraId="493F2E01" w14:textId="77777777" w:rsidTr="00126E97">
        <w:tc>
          <w:tcPr>
            <w:cnfStyle w:val="001000000000" w:firstRow="0" w:lastRow="0" w:firstColumn="1" w:lastColumn="0" w:oddVBand="0" w:evenVBand="0" w:oddHBand="0" w:evenHBand="0" w:firstRowFirstColumn="0" w:firstRowLastColumn="0" w:lastRowFirstColumn="0" w:lastRowLastColumn="0"/>
            <w:tcW w:w="4802" w:type="dxa"/>
            <w:tcBorders>
              <w:top w:val="single" w:sz="4" w:space="0" w:color="BFBFBF" w:themeColor="background1" w:themeShade="BF"/>
              <w:bottom w:val="single" w:sz="4" w:space="0" w:color="BFBFBF" w:themeColor="background1" w:themeShade="BF"/>
            </w:tcBorders>
            <w:vAlign w:val="center"/>
            <w:hideMark/>
          </w:tcPr>
          <w:p w14:paraId="748CA54A" w14:textId="77777777" w:rsidR="00087956" w:rsidRPr="00087956" w:rsidRDefault="00087956" w:rsidP="00087956">
            <w:pPr>
              <w:spacing w:line="240" w:lineRule="auto"/>
              <w:rPr>
                <w:rFonts w:ascii="Arial" w:eastAsia="Times New Roman" w:hAnsi="Arial" w:cs="Arial"/>
                <w:b w:val="0"/>
                <w:bCs w:val="0"/>
                <w:kern w:val="0"/>
                <w:sz w:val="20"/>
                <w:szCs w:val="20"/>
                <w:lang w:eastAsia="en-GB"/>
                <w14:ligatures w14:val="none"/>
              </w:rPr>
            </w:pPr>
            <w:r w:rsidRPr="00087956">
              <w:rPr>
                <w:rFonts w:ascii="Arial" w:eastAsia="Times New Roman" w:hAnsi="Arial" w:cs="Arial"/>
                <w:b w:val="0"/>
                <w:bCs w:val="0"/>
                <w:kern w:val="0"/>
                <w:sz w:val="20"/>
                <w:szCs w:val="20"/>
                <w:lang w:eastAsia="en-GB"/>
                <w14:ligatures w14:val="none"/>
              </w:rPr>
              <w:t>FISH results confirmed by methylation</w:t>
            </w:r>
          </w:p>
        </w:tc>
        <w:tc>
          <w:tcPr>
            <w:tcW w:w="1483" w:type="dxa"/>
            <w:tcBorders>
              <w:top w:val="single" w:sz="4" w:space="0" w:color="BFBFBF" w:themeColor="background1" w:themeShade="BF"/>
              <w:bottom w:val="single" w:sz="4" w:space="0" w:color="BFBFBF" w:themeColor="background1" w:themeShade="BF"/>
            </w:tcBorders>
            <w:vAlign w:val="center"/>
            <w:hideMark/>
          </w:tcPr>
          <w:p w14:paraId="52ADEB50" w14:textId="77777777" w:rsidR="00087956" w:rsidRPr="00087956" w:rsidRDefault="00087956" w:rsidP="00090E8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en-GB"/>
                <w14:ligatures w14:val="none"/>
              </w:rPr>
            </w:pPr>
            <w:r w:rsidRPr="00087956">
              <w:rPr>
                <w:rFonts w:ascii="Arial" w:eastAsia="Times New Roman" w:hAnsi="Arial" w:cs="Arial"/>
                <w:b/>
                <w:bCs/>
                <w:kern w:val="0"/>
                <w:lang w:eastAsia="en-GB"/>
                <w14:ligatures w14:val="none"/>
              </w:rPr>
              <w:t>21 (91.3%)</w:t>
            </w:r>
          </w:p>
        </w:tc>
        <w:tc>
          <w:tcPr>
            <w:tcW w:w="3432" w:type="dxa"/>
            <w:tcBorders>
              <w:top w:val="single" w:sz="4" w:space="0" w:color="BFBFBF" w:themeColor="background1" w:themeShade="BF"/>
              <w:bottom w:val="single" w:sz="4" w:space="0" w:color="BFBFBF" w:themeColor="background1" w:themeShade="BF"/>
            </w:tcBorders>
            <w:vAlign w:val="center"/>
            <w:hideMark/>
          </w:tcPr>
          <w:p w14:paraId="75293766" w14:textId="77777777" w:rsidR="00087956" w:rsidRPr="00087956" w:rsidRDefault="00087956" w:rsidP="00087956">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en-GB"/>
                <w14:ligatures w14:val="none"/>
              </w:rPr>
            </w:pPr>
            <w:r w:rsidRPr="00087956">
              <w:rPr>
                <w:rFonts w:ascii="Arial" w:eastAsia="Times New Roman" w:hAnsi="Arial" w:cs="Arial"/>
                <w:kern w:val="0"/>
                <w:sz w:val="18"/>
                <w:szCs w:val="18"/>
                <w:lang w:eastAsia="en-GB"/>
                <w14:ligatures w14:val="none"/>
              </w:rPr>
              <w:t>Methylation score &gt; 0.8</w:t>
            </w:r>
          </w:p>
        </w:tc>
      </w:tr>
      <w:tr w:rsidR="00087956" w:rsidRPr="00087956" w14:paraId="10B05A66" w14:textId="77777777" w:rsidTr="0012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2" w:type="dxa"/>
            <w:tcBorders>
              <w:top w:val="single" w:sz="4" w:space="0" w:color="BFBFBF" w:themeColor="background1" w:themeShade="BF"/>
              <w:bottom w:val="single" w:sz="4" w:space="0" w:color="auto"/>
            </w:tcBorders>
            <w:vAlign w:val="center"/>
            <w:hideMark/>
          </w:tcPr>
          <w:p w14:paraId="17D4B036" w14:textId="07444D94" w:rsidR="00087956" w:rsidRPr="00087956" w:rsidRDefault="00087956" w:rsidP="00087956">
            <w:pPr>
              <w:spacing w:line="240" w:lineRule="auto"/>
              <w:rPr>
                <w:rFonts w:ascii="Arial" w:eastAsia="Times New Roman" w:hAnsi="Arial" w:cs="Arial"/>
                <w:b w:val="0"/>
                <w:bCs w:val="0"/>
                <w:kern w:val="0"/>
                <w:sz w:val="20"/>
                <w:szCs w:val="20"/>
                <w:lang w:eastAsia="en-GB"/>
                <w14:ligatures w14:val="none"/>
              </w:rPr>
            </w:pPr>
            <w:r w:rsidRPr="00087956">
              <w:rPr>
                <w:rFonts w:ascii="Arial" w:eastAsia="Times New Roman" w:hAnsi="Arial" w:cs="Arial"/>
                <w:b w:val="0"/>
                <w:bCs w:val="0"/>
                <w:kern w:val="0"/>
                <w:sz w:val="20"/>
                <w:szCs w:val="20"/>
                <w:lang w:eastAsia="en-GB"/>
                <w14:ligatures w14:val="none"/>
              </w:rPr>
              <w:t xml:space="preserve">FISH results </w:t>
            </w:r>
            <w:r w:rsidR="00090E88">
              <w:rPr>
                <w:rFonts w:ascii="Arial" w:eastAsia="Times New Roman" w:hAnsi="Arial" w:cs="Arial"/>
                <w:b w:val="0"/>
                <w:bCs w:val="0"/>
                <w:kern w:val="0"/>
                <w:sz w:val="20"/>
                <w:szCs w:val="20"/>
                <w:lang w:eastAsia="en-GB"/>
                <w14:ligatures w14:val="none"/>
              </w:rPr>
              <w:t>N</w:t>
            </w:r>
            <w:r w:rsidRPr="00087956">
              <w:rPr>
                <w:rFonts w:ascii="Arial" w:eastAsia="Times New Roman" w:hAnsi="Arial" w:cs="Arial"/>
                <w:b w:val="0"/>
                <w:bCs w:val="0"/>
                <w:kern w:val="0"/>
                <w:sz w:val="20"/>
                <w:szCs w:val="20"/>
                <w:lang w:eastAsia="en-GB"/>
                <w14:ligatures w14:val="none"/>
              </w:rPr>
              <w:t>ot confirmed by methylation</w:t>
            </w:r>
          </w:p>
        </w:tc>
        <w:tc>
          <w:tcPr>
            <w:tcW w:w="1483" w:type="dxa"/>
            <w:tcBorders>
              <w:top w:val="single" w:sz="4" w:space="0" w:color="BFBFBF" w:themeColor="background1" w:themeShade="BF"/>
              <w:bottom w:val="single" w:sz="4" w:space="0" w:color="auto"/>
            </w:tcBorders>
            <w:vAlign w:val="center"/>
            <w:hideMark/>
          </w:tcPr>
          <w:p w14:paraId="5578C4E8" w14:textId="77777777" w:rsidR="00087956" w:rsidRPr="00087956" w:rsidRDefault="00087956" w:rsidP="00090E8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GB"/>
                <w14:ligatures w14:val="none"/>
              </w:rPr>
            </w:pPr>
            <w:r w:rsidRPr="00087956">
              <w:rPr>
                <w:rFonts w:ascii="Arial" w:eastAsia="Times New Roman" w:hAnsi="Arial" w:cs="Arial"/>
                <w:b/>
                <w:bCs/>
                <w:kern w:val="0"/>
                <w:lang w:eastAsia="en-GB"/>
                <w14:ligatures w14:val="none"/>
              </w:rPr>
              <w:t>2 (8.7%)</w:t>
            </w:r>
          </w:p>
        </w:tc>
        <w:tc>
          <w:tcPr>
            <w:tcW w:w="3432" w:type="dxa"/>
            <w:tcBorders>
              <w:top w:val="single" w:sz="4" w:space="0" w:color="BFBFBF" w:themeColor="background1" w:themeShade="BF"/>
              <w:bottom w:val="single" w:sz="4" w:space="0" w:color="auto"/>
            </w:tcBorders>
            <w:vAlign w:val="center"/>
            <w:hideMark/>
          </w:tcPr>
          <w:p w14:paraId="1526E874" w14:textId="77777777" w:rsidR="00087956" w:rsidRPr="00087956" w:rsidRDefault="00087956" w:rsidP="00087956">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eastAsia="en-GB"/>
                <w14:ligatures w14:val="none"/>
              </w:rPr>
            </w:pPr>
            <w:r w:rsidRPr="00087956">
              <w:rPr>
                <w:rFonts w:ascii="Arial" w:eastAsia="Times New Roman" w:hAnsi="Arial" w:cs="Arial"/>
                <w:kern w:val="0"/>
                <w:sz w:val="18"/>
                <w:szCs w:val="18"/>
                <w:lang w:eastAsia="en-GB"/>
                <w14:ligatures w14:val="none"/>
              </w:rPr>
              <w:t>Methylation score &lt; 0.6</w:t>
            </w:r>
          </w:p>
        </w:tc>
      </w:tr>
      <w:tr w:rsidR="00087956" w:rsidRPr="00087956" w14:paraId="6BB721D2" w14:textId="77777777" w:rsidTr="00126E97">
        <w:tc>
          <w:tcPr>
            <w:cnfStyle w:val="001000000000" w:firstRow="0" w:lastRow="0" w:firstColumn="1" w:lastColumn="0" w:oddVBand="0" w:evenVBand="0" w:oddHBand="0" w:evenHBand="0" w:firstRowFirstColumn="0" w:firstRowLastColumn="0" w:lastRowFirstColumn="0" w:lastRowLastColumn="0"/>
            <w:tcW w:w="4802" w:type="dxa"/>
            <w:tcBorders>
              <w:top w:val="single" w:sz="4" w:space="0" w:color="auto"/>
            </w:tcBorders>
            <w:vAlign w:val="center"/>
            <w:hideMark/>
          </w:tcPr>
          <w:p w14:paraId="5888ADA1" w14:textId="1AED2576" w:rsidR="00087956" w:rsidRPr="00087956" w:rsidRDefault="00090E88" w:rsidP="00087956">
            <w:pPr>
              <w:spacing w:line="240" w:lineRule="auto"/>
              <w:rPr>
                <w:rFonts w:ascii="Arial" w:eastAsia="Times New Roman" w:hAnsi="Arial" w:cs="Arial"/>
                <w:kern w:val="0"/>
                <w:sz w:val="20"/>
                <w:szCs w:val="20"/>
                <w:lang w:eastAsia="en-GB"/>
                <w14:ligatures w14:val="none"/>
              </w:rPr>
            </w:pPr>
            <w:r w:rsidRPr="000405FC">
              <w:rPr>
                <w:rFonts w:ascii="Arial" w:eastAsia="Times New Roman" w:hAnsi="Arial" w:cs="Arial"/>
                <w:kern w:val="0"/>
                <w:sz w:val="20"/>
                <w:szCs w:val="20"/>
                <w:lang w:eastAsia="en-GB"/>
                <w14:ligatures w14:val="none"/>
              </w:rPr>
              <w:t>Samples</w:t>
            </w:r>
            <w:r w:rsidRPr="00087956">
              <w:rPr>
                <w:rFonts w:ascii="Arial" w:eastAsia="Times New Roman" w:hAnsi="Arial" w:cs="Arial"/>
                <w:kern w:val="0"/>
                <w:sz w:val="20"/>
                <w:szCs w:val="20"/>
                <w:lang w:eastAsia="en-GB"/>
                <w14:ligatures w14:val="none"/>
              </w:rPr>
              <w:t xml:space="preserve"> </w:t>
            </w:r>
            <w:r w:rsidR="00087956" w:rsidRPr="00087956">
              <w:rPr>
                <w:rFonts w:ascii="Arial" w:eastAsia="Times New Roman" w:hAnsi="Arial" w:cs="Arial"/>
                <w:kern w:val="0"/>
                <w:sz w:val="20"/>
                <w:szCs w:val="20"/>
                <w:lang w:eastAsia="en-GB"/>
                <w14:ligatures w14:val="none"/>
              </w:rPr>
              <w:t xml:space="preserve">analyzed </w:t>
            </w:r>
            <w:r w:rsidRPr="000405FC">
              <w:rPr>
                <w:rFonts w:ascii="Arial" w:eastAsia="Times New Roman" w:hAnsi="Arial" w:cs="Arial"/>
                <w:kern w:val="0"/>
                <w:sz w:val="20"/>
                <w:szCs w:val="20"/>
                <w:lang w:eastAsia="en-GB"/>
                <w14:ligatures w14:val="none"/>
              </w:rPr>
              <w:t>via</w:t>
            </w:r>
            <w:r w:rsidR="00087956" w:rsidRPr="00087956">
              <w:rPr>
                <w:rFonts w:ascii="Arial" w:eastAsia="Times New Roman" w:hAnsi="Arial" w:cs="Arial"/>
                <w:kern w:val="0"/>
                <w:sz w:val="20"/>
                <w:szCs w:val="20"/>
                <w:lang w:eastAsia="en-GB"/>
                <w14:ligatures w14:val="none"/>
              </w:rPr>
              <w:t xml:space="preserve"> RNA sequencing</w:t>
            </w:r>
          </w:p>
        </w:tc>
        <w:tc>
          <w:tcPr>
            <w:tcW w:w="1483" w:type="dxa"/>
            <w:tcBorders>
              <w:top w:val="single" w:sz="4" w:space="0" w:color="auto"/>
            </w:tcBorders>
            <w:vAlign w:val="center"/>
            <w:hideMark/>
          </w:tcPr>
          <w:p w14:paraId="0E79EAA2" w14:textId="48B7ED7F" w:rsidR="00087956" w:rsidRPr="00087956" w:rsidRDefault="00087956" w:rsidP="00090E8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en-GB"/>
                <w14:ligatures w14:val="none"/>
              </w:rPr>
            </w:pPr>
            <w:r w:rsidRPr="00087956">
              <w:rPr>
                <w:rFonts w:ascii="Arial" w:eastAsia="Times New Roman" w:hAnsi="Arial" w:cs="Arial"/>
                <w:b/>
                <w:bCs/>
                <w:kern w:val="0"/>
                <w:lang w:eastAsia="en-GB"/>
                <w14:ligatures w14:val="none"/>
              </w:rPr>
              <w:t>16</w:t>
            </w:r>
            <w:r w:rsidR="00090E88" w:rsidRPr="00090E88">
              <w:rPr>
                <w:rFonts w:ascii="Arial" w:eastAsia="Times New Roman" w:hAnsi="Arial" w:cs="Arial"/>
                <w:b/>
                <w:bCs/>
                <w:kern w:val="0"/>
                <w:lang w:eastAsia="en-GB"/>
                <w14:ligatures w14:val="none"/>
              </w:rPr>
              <w:t>/50 (32%)</w:t>
            </w:r>
          </w:p>
        </w:tc>
        <w:tc>
          <w:tcPr>
            <w:tcW w:w="3432" w:type="dxa"/>
            <w:tcBorders>
              <w:top w:val="single" w:sz="4" w:space="0" w:color="auto"/>
            </w:tcBorders>
            <w:vAlign w:val="center"/>
            <w:hideMark/>
          </w:tcPr>
          <w:p w14:paraId="762B06F7" w14:textId="19710B20" w:rsidR="00087956" w:rsidRPr="00087956" w:rsidRDefault="00087956" w:rsidP="00087956">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en-GB"/>
                <w14:ligatures w14:val="none"/>
              </w:rPr>
            </w:pPr>
            <w:r w:rsidRPr="00087956">
              <w:rPr>
                <w:rFonts w:ascii="Arial" w:eastAsia="Times New Roman" w:hAnsi="Arial" w:cs="Arial"/>
                <w:kern w:val="0"/>
                <w:sz w:val="18"/>
                <w:szCs w:val="18"/>
                <w:lang w:eastAsia="en-GB"/>
                <w14:ligatures w14:val="none"/>
              </w:rPr>
              <w:t>Selected from "</w:t>
            </w:r>
            <w:r w:rsidR="000405FC">
              <w:rPr>
                <w:rFonts w:ascii="Arial" w:eastAsia="Times New Roman" w:hAnsi="Arial" w:cs="Arial"/>
                <w:kern w:val="0"/>
                <w:sz w:val="18"/>
                <w:szCs w:val="18"/>
                <w:lang w:eastAsia="en-GB"/>
                <w14:ligatures w14:val="none"/>
              </w:rPr>
              <w:t>U</w:t>
            </w:r>
            <w:r w:rsidRPr="00087956">
              <w:rPr>
                <w:rFonts w:ascii="Arial" w:eastAsia="Times New Roman" w:hAnsi="Arial" w:cs="Arial"/>
                <w:kern w:val="0"/>
                <w:sz w:val="18"/>
                <w:szCs w:val="18"/>
                <w:lang w:eastAsia="en-GB"/>
                <w14:ligatures w14:val="none"/>
              </w:rPr>
              <w:t>ncertain" cases</w:t>
            </w:r>
          </w:p>
        </w:tc>
      </w:tr>
      <w:tr w:rsidR="00087956" w:rsidRPr="00087956" w14:paraId="408FA552" w14:textId="77777777" w:rsidTr="0012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6B996B4C" w14:textId="0153F710" w:rsidR="00087956" w:rsidRPr="00087956" w:rsidRDefault="00087956" w:rsidP="00087956">
            <w:pPr>
              <w:spacing w:line="240" w:lineRule="auto"/>
              <w:rPr>
                <w:rFonts w:ascii="Arial" w:eastAsia="Times New Roman" w:hAnsi="Arial" w:cs="Arial"/>
                <w:b w:val="0"/>
                <w:bCs w:val="0"/>
                <w:kern w:val="0"/>
                <w:sz w:val="20"/>
                <w:szCs w:val="20"/>
                <w:lang w:eastAsia="en-GB"/>
                <w14:ligatures w14:val="none"/>
              </w:rPr>
            </w:pPr>
            <w:r w:rsidRPr="00087956">
              <w:rPr>
                <w:rFonts w:ascii="Arial" w:eastAsia="Times New Roman" w:hAnsi="Arial" w:cs="Arial"/>
                <w:b w:val="0"/>
                <w:bCs w:val="0"/>
                <w:kern w:val="0"/>
                <w:sz w:val="20"/>
                <w:szCs w:val="20"/>
                <w:lang w:eastAsia="en-GB"/>
                <w14:ligatures w14:val="none"/>
              </w:rPr>
              <w:t>FISH results confirmed by sequencing</w:t>
            </w:r>
          </w:p>
        </w:tc>
        <w:tc>
          <w:tcPr>
            <w:tcW w:w="1483" w:type="dxa"/>
            <w:vAlign w:val="center"/>
            <w:hideMark/>
          </w:tcPr>
          <w:p w14:paraId="77B6461B" w14:textId="77777777" w:rsidR="00087956" w:rsidRPr="00087956" w:rsidRDefault="00087956" w:rsidP="00090E8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GB"/>
                <w14:ligatures w14:val="none"/>
              </w:rPr>
            </w:pPr>
            <w:r w:rsidRPr="00087956">
              <w:rPr>
                <w:rFonts w:ascii="Arial" w:eastAsia="Times New Roman" w:hAnsi="Arial" w:cs="Arial"/>
                <w:b/>
                <w:bCs/>
                <w:kern w:val="0"/>
                <w:lang w:eastAsia="en-GB"/>
                <w14:ligatures w14:val="none"/>
              </w:rPr>
              <w:t>13 (81.2%)</w:t>
            </w:r>
          </w:p>
        </w:tc>
        <w:tc>
          <w:tcPr>
            <w:tcW w:w="3432" w:type="dxa"/>
            <w:vAlign w:val="center"/>
            <w:hideMark/>
          </w:tcPr>
          <w:p w14:paraId="26AC719F" w14:textId="77777777" w:rsidR="00087956" w:rsidRPr="00087956" w:rsidRDefault="00087956" w:rsidP="00087956">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eastAsia="en-GB"/>
                <w14:ligatures w14:val="none"/>
              </w:rPr>
            </w:pPr>
            <w:r w:rsidRPr="00087956">
              <w:rPr>
                <w:rFonts w:ascii="Arial" w:eastAsia="Times New Roman" w:hAnsi="Arial" w:cs="Arial"/>
                <w:kern w:val="0"/>
                <w:sz w:val="18"/>
                <w:szCs w:val="18"/>
                <w:lang w:eastAsia="en-GB"/>
                <w14:ligatures w14:val="none"/>
              </w:rPr>
              <w:t>Newly identified fusions</w:t>
            </w:r>
          </w:p>
        </w:tc>
      </w:tr>
      <w:tr w:rsidR="00087956" w:rsidRPr="00087956" w14:paraId="5F90AFA1" w14:textId="77777777" w:rsidTr="00126E97">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61C61C58" w14:textId="0D39C41B" w:rsidR="00087956" w:rsidRPr="00087956" w:rsidRDefault="00087956" w:rsidP="00087956">
            <w:pPr>
              <w:spacing w:line="240" w:lineRule="auto"/>
              <w:rPr>
                <w:rFonts w:ascii="Arial" w:eastAsia="Times New Roman" w:hAnsi="Arial" w:cs="Arial"/>
                <w:b w:val="0"/>
                <w:bCs w:val="0"/>
                <w:kern w:val="0"/>
                <w:sz w:val="20"/>
                <w:szCs w:val="20"/>
                <w:lang w:eastAsia="en-GB"/>
                <w14:ligatures w14:val="none"/>
              </w:rPr>
            </w:pPr>
            <w:r w:rsidRPr="00087956">
              <w:rPr>
                <w:rFonts w:ascii="Arial" w:eastAsia="Times New Roman" w:hAnsi="Arial" w:cs="Arial"/>
                <w:b w:val="0"/>
                <w:bCs w:val="0"/>
                <w:kern w:val="0"/>
                <w:sz w:val="20"/>
                <w:szCs w:val="20"/>
                <w:lang w:eastAsia="en-GB"/>
                <w14:ligatures w14:val="none"/>
              </w:rPr>
              <w:t>FISH results not confirmed by sequencing</w:t>
            </w:r>
          </w:p>
        </w:tc>
        <w:tc>
          <w:tcPr>
            <w:tcW w:w="1483" w:type="dxa"/>
            <w:vAlign w:val="center"/>
            <w:hideMark/>
          </w:tcPr>
          <w:p w14:paraId="083A48D8" w14:textId="77777777" w:rsidR="00087956" w:rsidRPr="00087956" w:rsidRDefault="00087956" w:rsidP="00090E8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eastAsia="en-GB"/>
                <w14:ligatures w14:val="none"/>
              </w:rPr>
            </w:pPr>
            <w:r w:rsidRPr="00087956">
              <w:rPr>
                <w:rFonts w:ascii="Arial" w:eastAsia="Times New Roman" w:hAnsi="Arial" w:cs="Arial"/>
                <w:b/>
                <w:bCs/>
                <w:kern w:val="0"/>
                <w:lang w:eastAsia="en-GB"/>
                <w14:ligatures w14:val="none"/>
              </w:rPr>
              <w:t>3 (18.8%)</w:t>
            </w:r>
          </w:p>
        </w:tc>
        <w:tc>
          <w:tcPr>
            <w:tcW w:w="3432" w:type="dxa"/>
            <w:vAlign w:val="center"/>
            <w:hideMark/>
          </w:tcPr>
          <w:p w14:paraId="3F093706" w14:textId="0389C1AA" w:rsidR="00087956" w:rsidRPr="00087956" w:rsidRDefault="00087956" w:rsidP="00087956">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en-GB"/>
                <w14:ligatures w14:val="none"/>
              </w:rPr>
            </w:pPr>
            <w:r w:rsidRPr="00087956">
              <w:rPr>
                <w:rFonts w:ascii="Arial" w:eastAsia="Times New Roman" w:hAnsi="Arial" w:cs="Arial"/>
                <w:kern w:val="0"/>
                <w:sz w:val="18"/>
                <w:szCs w:val="18"/>
                <w:lang w:eastAsia="en-GB"/>
                <w14:ligatures w14:val="none"/>
              </w:rPr>
              <w:t>Low RNA quality and high heterogeneity</w:t>
            </w:r>
          </w:p>
        </w:tc>
      </w:tr>
    </w:tbl>
    <w:p w14:paraId="094CFC03" w14:textId="19B82FAD" w:rsidR="00126E97" w:rsidRPr="00126E97" w:rsidRDefault="00126E97" w:rsidP="003A4AEA">
      <w:pPr>
        <w:spacing w:line="278" w:lineRule="auto"/>
        <w:rPr>
          <w:rFonts w:ascii="Calibri" w:hAnsi="Calibri" w:cs="Calibri"/>
          <w:b/>
          <w:bCs/>
          <w:sz w:val="20"/>
          <w:szCs w:val="20"/>
        </w:rPr>
      </w:pPr>
    </w:p>
    <w:p w14:paraId="7D615BAF" w14:textId="77777777" w:rsidR="00087956" w:rsidRPr="00087956" w:rsidRDefault="00087956">
      <w:pPr>
        <w:spacing w:after="0" w:line="240" w:lineRule="auto"/>
        <w:jc w:val="both"/>
        <w:rPr>
          <w:rFonts w:ascii="Calibri" w:hAnsi="Calibri" w:cs="Calibri"/>
          <w:b/>
          <w:bCs/>
          <w:sz w:val="20"/>
          <w:szCs w:val="20"/>
        </w:rPr>
      </w:pPr>
    </w:p>
    <w:sectPr w:rsidR="00087956" w:rsidRPr="000879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70"/>
    <w:rsid w:val="00005870"/>
    <w:rsid w:val="000405FC"/>
    <w:rsid w:val="00087956"/>
    <w:rsid w:val="00090E88"/>
    <w:rsid w:val="00126E97"/>
    <w:rsid w:val="00163F50"/>
    <w:rsid w:val="001A55DA"/>
    <w:rsid w:val="003A4AEA"/>
    <w:rsid w:val="005F2AC3"/>
    <w:rsid w:val="00631013"/>
    <w:rsid w:val="00656C45"/>
    <w:rsid w:val="00756B2C"/>
    <w:rsid w:val="007D3170"/>
    <w:rsid w:val="008B7A9B"/>
    <w:rsid w:val="009244D9"/>
    <w:rsid w:val="009E5331"/>
    <w:rsid w:val="009F609E"/>
    <w:rsid w:val="00A02B45"/>
    <w:rsid w:val="00AD244D"/>
    <w:rsid w:val="00B57B91"/>
    <w:rsid w:val="00CA1386"/>
    <w:rsid w:val="00D119F0"/>
    <w:rsid w:val="00DB41EF"/>
    <w:rsid w:val="00F40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E211"/>
  <w15:chartTrackingRefBased/>
  <w15:docId w15:val="{3125B414-64D9-4CE3-B35E-30D4A751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5870"/>
    <w:pPr>
      <w:spacing w:line="259" w:lineRule="auto"/>
    </w:pPr>
    <w:rPr>
      <w:sz w:val="22"/>
      <w:szCs w:val="22"/>
    </w:rPr>
  </w:style>
  <w:style w:type="paragraph" w:styleId="Titolo1">
    <w:name w:val="heading 1"/>
    <w:basedOn w:val="Normale"/>
    <w:next w:val="Normale"/>
    <w:link w:val="Titolo1Carattere"/>
    <w:uiPriority w:val="9"/>
    <w:qFormat/>
    <w:rsid w:val="000058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58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5870"/>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587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olo5">
    <w:name w:val="heading 5"/>
    <w:basedOn w:val="Normale"/>
    <w:next w:val="Normale"/>
    <w:link w:val="Titolo5Carattere"/>
    <w:uiPriority w:val="9"/>
    <w:semiHidden/>
    <w:unhideWhenUsed/>
    <w:qFormat/>
    <w:rsid w:val="00005870"/>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olo6">
    <w:name w:val="heading 6"/>
    <w:basedOn w:val="Normale"/>
    <w:next w:val="Normale"/>
    <w:link w:val="Titolo6Carattere"/>
    <w:uiPriority w:val="9"/>
    <w:semiHidden/>
    <w:unhideWhenUsed/>
    <w:qFormat/>
    <w:rsid w:val="0000587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005870"/>
    <w:pPr>
      <w:keepNext/>
      <w:keepLines/>
      <w:spacing w:before="40" w:after="0" w:line="278" w:lineRule="auto"/>
      <w:outlineLvl w:val="6"/>
    </w:pPr>
    <w:rPr>
      <w:rFonts w:eastAsiaTheme="majorEastAsia"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005870"/>
    <w:pPr>
      <w:keepNext/>
      <w:keepLines/>
      <w:spacing w:after="0" w:line="278" w:lineRule="auto"/>
      <w:outlineLvl w:val="7"/>
    </w:pPr>
    <w:rPr>
      <w:rFonts w:eastAsiaTheme="majorEastAsia"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005870"/>
    <w:pPr>
      <w:keepNext/>
      <w:keepLines/>
      <w:spacing w:after="0" w:line="278" w:lineRule="auto"/>
      <w:outlineLvl w:val="8"/>
    </w:pPr>
    <w:rPr>
      <w:rFonts w:eastAsiaTheme="majorEastAsia"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58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58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58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58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58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58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58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58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58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5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58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5870"/>
    <w:pPr>
      <w:numPr>
        <w:ilvl w:val="1"/>
      </w:numPr>
      <w:spacing w:line="278"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58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5870"/>
    <w:pPr>
      <w:spacing w:before="160" w:line="278" w:lineRule="auto"/>
      <w:jc w:val="center"/>
    </w:pPr>
    <w:rPr>
      <w:i/>
      <w:iCs/>
      <w:color w:val="404040" w:themeColor="text1" w:themeTint="BF"/>
      <w:sz w:val="24"/>
      <w:szCs w:val="24"/>
    </w:rPr>
  </w:style>
  <w:style w:type="character" w:customStyle="1" w:styleId="CitazioneCarattere">
    <w:name w:val="Citazione Carattere"/>
    <w:basedOn w:val="Carpredefinitoparagrafo"/>
    <w:link w:val="Citazione"/>
    <w:uiPriority w:val="29"/>
    <w:rsid w:val="00005870"/>
    <w:rPr>
      <w:i/>
      <w:iCs/>
      <w:color w:val="404040" w:themeColor="text1" w:themeTint="BF"/>
    </w:rPr>
  </w:style>
  <w:style w:type="paragraph" w:styleId="Paragrafoelenco">
    <w:name w:val="List Paragraph"/>
    <w:basedOn w:val="Normale"/>
    <w:uiPriority w:val="34"/>
    <w:qFormat/>
    <w:rsid w:val="00005870"/>
    <w:pPr>
      <w:spacing w:line="278" w:lineRule="auto"/>
      <w:ind w:left="720"/>
      <w:contextualSpacing/>
    </w:pPr>
    <w:rPr>
      <w:sz w:val="24"/>
      <w:szCs w:val="24"/>
    </w:rPr>
  </w:style>
  <w:style w:type="character" w:styleId="Enfasiintensa">
    <w:name w:val="Intense Emphasis"/>
    <w:basedOn w:val="Carpredefinitoparagrafo"/>
    <w:uiPriority w:val="21"/>
    <w:qFormat/>
    <w:rsid w:val="00005870"/>
    <w:rPr>
      <w:i/>
      <w:iCs/>
      <w:color w:val="0F4761" w:themeColor="accent1" w:themeShade="BF"/>
    </w:rPr>
  </w:style>
  <w:style w:type="paragraph" w:styleId="Citazioneintensa">
    <w:name w:val="Intense Quote"/>
    <w:basedOn w:val="Normale"/>
    <w:next w:val="Normale"/>
    <w:link w:val="CitazioneintensaCarattere"/>
    <w:uiPriority w:val="30"/>
    <w:qFormat/>
    <w:rsid w:val="000058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zioneintensaCarattere">
    <w:name w:val="Citazione intensa Carattere"/>
    <w:basedOn w:val="Carpredefinitoparagrafo"/>
    <w:link w:val="Citazioneintensa"/>
    <w:uiPriority w:val="30"/>
    <w:rsid w:val="00005870"/>
    <w:rPr>
      <w:i/>
      <w:iCs/>
      <w:color w:val="0F4761" w:themeColor="accent1" w:themeShade="BF"/>
    </w:rPr>
  </w:style>
  <w:style w:type="character" w:styleId="Riferimentointenso">
    <w:name w:val="Intense Reference"/>
    <w:basedOn w:val="Carpredefinitoparagrafo"/>
    <w:uiPriority w:val="32"/>
    <w:qFormat/>
    <w:rsid w:val="00005870"/>
    <w:rPr>
      <w:b/>
      <w:bCs/>
      <w:smallCaps/>
      <w:color w:val="0F4761" w:themeColor="accent1" w:themeShade="BF"/>
      <w:spacing w:val="5"/>
    </w:rPr>
  </w:style>
  <w:style w:type="table" w:styleId="Tabellasemplice-1">
    <w:name w:val="Plain Table 1"/>
    <w:basedOn w:val="Tabellanormale"/>
    <w:uiPriority w:val="41"/>
    <w:rsid w:val="00005870"/>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
    <w:name w:val="Table Grid"/>
    <w:basedOn w:val="Tabellanormale"/>
    <w:uiPriority w:val="39"/>
    <w:rsid w:val="00087956"/>
    <w:pPr>
      <w:spacing w:after="0" w:line="240" w:lineRule="auto"/>
    </w:pPr>
    <w:rPr>
      <w:rFonts w:ascii="Calibri" w:eastAsia="Calibri" w:hAnsi="Calibri" w:cs="Calibri"/>
      <w:kern w:val="0"/>
      <w:sz w:val="20"/>
      <w:szCs w:val="20"/>
      <w:lang w:val="it-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46">
      <w:bodyDiv w:val="1"/>
      <w:marLeft w:val="0"/>
      <w:marRight w:val="0"/>
      <w:marTop w:val="0"/>
      <w:marBottom w:val="0"/>
      <w:divBdr>
        <w:top w:val="none" w:sz="0" w:space="0" w:color="auto"/>
        <w:left w:val="none" w:sz="0" w:space="0" w:color="auto"/>
        <w:bottom w:val="none" w:sz="0" w:space="0" w:color="auto"/>
        <w:right w:val="none" w:sz="0" w:space="0" w:color="auto"/>
      </w:divBdr>
    </w:div>
    <w:div w:id="365912808">
      <w:bodyDiv w:val="1"/>
      <w:marLeft w:val="0"/>
      <w:marRight w:val="0"/>
      <w:marTop w:val="0"/>
      <w:marBottom w:val="0"/>
      <w:divBdr>
        <w:top w:val="none" w:sz="0" w:space="0" w:color="auto"/>
        <w:left w:val="none" w:sz="0" w:space="0" w:color="auto"/>
        <w:bottom w:val="none" w:sz="0" w:space="0" w:color="auto"/>
        <w:right w:val="none" w:sz="0" w:space="0" w:color="auto"/>
      </w:divBdr>
    </w:div>
    <w:div w:id="677120289">
      <w:bodyDiv w:val="1"/>
      <w:marLeft w:val="0"/>
      <w:marRight w:val="0"/>
      <w:marTop w:val="0"/>
      <w:marBottom w:val="0"/>
      <w:divBdr>
        <w:top w:val="none" w:sz="0" w:space="0" w:color="auto"/>
        <w:left w:val="none" w:sz="0" w:space="0" w:color="auto"/>
        <w:bottom w:val="none" w:sz="0" w:space="0" w:color="auto"/>
        <w:right w:val="none" w:sz="0" w:space="0" w:color="auto"/>
      </w:divBdr>
      <w:divsChild>
        <w:div w:id="303969315">
          <w:marLeft w:val="0"/>
          <w:marRight w:val="0"/>
          <w:marTop w:val="0"/>
          <w:marBottom w:val="0"/>
          <w:divBdr>
            <w:top w:val="none" w:sz="0" w:space="0" w:color="auto"/>
            <w:left w:val="none" w:sz="0" w:space="0" w:color="auto"/>
            <w:bottom w:val="none" w:sz="0" w:space="0" w:color="auto"/>
            <w:right w:val="none" w:sz="0" w:space="0" w:color="auto"/>
          </w:divBdr>
          <w:divsChild>
            <w:div w:id="1910726103">
              <w:marLeft w:val="0"/>
              <w:marRight w:val="0"/>
              <w:marTop w:val="0"/>
              <w:marBottom w:val="0"/>
              <w:divBdr>
                <w:top w:val="none" w:sz="0" w:space="0" w:color="auto"/>
                <w:left w:val="none" w:sz="0" w:space="0" w:color="auto"/>
                <w:bottom w:val="none" w:sz="0" w:space="0" w:color="auto"/>
                <w:right w:val="none" w:sz="0" w:space="0" w:color="auto"/>
              </w:divBdr>
              <w:divsChild>
                <w:div w:id="1080374969">
                  <w:marLeft w:val="0"/>
                  <w:marRight w:val="0"/>
                  <w:marTop w:val="0"/>
                  <w:marBottom w:val="0"/>
                  <w:divBdr>
                    <w:top w:val="none" w:sz="0" w:space="0" w:color="auto"/>
                    <w:left w:val="none" w:sz="0" w:space="0" w:color="auto"/>
                    <w:bottom w:val="none" w:sz="0" w:space="0" w:color="auto"/>
                    <w:right w:val="none" w:sz="0" w:space="0" w:color="auto"/>
                  </w:divBdr>
                  <w:divsChild>
                    <w:div w:id="15672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6315">
          <w:marLeft w:val="0"/>
          <w:marRight w:val="0"/>
          <w:marTop w:val="0"/>
          <w:marBottom w:val="0"/>
          <w:divBdr>
            <w:top w:val="none" w:sz="0" w:space="0" w:color="auto"/>
            <w:left w:val="none" w:sz="0" w:space="0" w:color="auto"/>
            <w:bottom w:val="none" w:sz="0" w:space="0" w:color="auto"/>
            <w:right w:val="none" w:sz="0" w:space="0" w:color="auto"/>
          </w:divBdr>
          <w:divsChild>
            <w:div w:id="1828012746">
              <w:marLeft w:val="0"/>
              <w:marRight w:val="0"/>
              <w:marTop w:val="0"/>
              <w:marBottom w:val="0"/>
              <w:divBdr>
                <w:top w:val="none" w:sz="0" w:space="0" w:color="auto"/>
                <w:left w:val="none" w:sz="0" w:space="0" w:color="auto"/>
                <w:bottom w:val="none" w:sz="0" w:space="0" w:color="auto"/>
                <w:right w:val="none" w:sz="0" w:space="0" w:color="auto"/>
              </w:divBdr>
              <w:divsChild>
                <w:div w:id="1269460739">
                  <w:marLeft w:val="0"/>
                  <w:marRight w:val="0"/>
                  <w:marTop w:val="0"/>
                  <w:marBottom w:val="0"/>
                  <w:divBdr>
                    <w:top w:val="none" w:sz="0" w:space="0" w:color="auto"/>
                    <w:left w:val="none" w:sz="0" w:space="0" w:color="auto"/>
                    <w:bottom w:val="none" w:sz="0" w:space="0" w:color="auto"/>
                    <w:right w:val="none" w:sz="0" w:space="0" w:color="auto"/>
                  </w:divBdr>
                  <w:divsChild>
                    <w:div w:id="8383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03004">
      <w:bodyDiv w:val="1"/>
      <w:marLeft w:val="0"/>
      <w:marRight w:val="0"/>
      <w:marTop w:val="0"/>
      <w:marBottom w:val="0"/>
      <w:divBdr>
        <w:top w:val="none" w:sz="0" w:space="0" w:color="auto"/>
        <w:left w:val="none" w:sz="0" w:space="0" w:color="auto"/>
        <w:bottom w:val="none" w:sz="0" w:space="0" w:color="auto"/>
        <w:right w:val="none" w:sz="0" w:space="0" w:color="auto"/>
      </w:divBdr>
      <w:divsChild>
        <w:div w:id="1198395941">
          <w:marLeft w:val="0"/>
          <w:marRight w:val="0"/>
          <w:marTop w:val="0"/>
          <w:marBottom w:val="0"/>
          <w:divBdr>
            <w:top w:val="none" w:sz="0" w:space="0" w:color="auto"/>
            <w:left w:val="none" w:sz="0" w:space="0" w:color="auto"/>
            <w:bottom w:val="none" w:sz="0" w:space="0" w:color="auto"/>
            <w:right w:val="none" w:sz="0" w:space="0" w:color="auto"/>
          </w:divBdr>
          <w:divsChild>
            <w:div w:id="2069693612">
              <w:marLeft w:val="0"/>
              <w:marRight w:val="0"/>
              <w:marTop w:val="0"/>
              <w:marBottom w:val="0"/>
              <w:divBdr>
                <w:top w:val="none" w:sz="0" w:space="0" w:color="auto"/>
                <w:left w:val="none" w:sz="0" w:space="0" w:color="auto"/>
                <w:bottom w:val="none" w:sz="0" w:space="0" w:color="auto"/>
                <w:right w:val="none" w:sz="0" w:space="0" w:color="auto"/>
              </w:divBdr>
              <w:divsChild>
                <w:div w:id="1726299881">
                  <w:marLeft w:val="0"/>
                  <w:marRight w:val="0"/>
                  <w:marTop w:val="0"/>
                  <w:marBottom w:val="0"/>
                  <w:divBdr>
                    <w:top w:val="none" w:sz="0" w:space="0" w:color="auto"/>
                    <w:left w:val="none" w:sz="0" w:space="0" w:color="auto"/>
                    <w:bottom w:val="none" w:sz="0" w:space="0" w:color="auto"/>
                    <w:right w:val="none" w:sz="0" w:space="0" w:color="auto"/>
                  </w:divBdr>
                  <w:divsChild>
                    <w:div w:id="20495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8072">
          <w:marLeft w:val="0"/>
          <w:marRight w:val="0"/>
          <w:marTop w:val="0"/>
          <w:marBottom w:val="0"/>
          <w:divBdr>
            <w:top w:val="none" w:sz="0" w:space="0" w:color="auto"/>
            <w:left w:val="none" w:sz="0" w:space="0" w:color="auto"/>
            <w:bottom w:val="none" w:sz="0" w:space="0" w:color="auto"/>
            <w:right w:val="none" w:sz="0" w:space="0" w:color="auto"/>
          </w:divBdr>
          <w:divsChild>
            <w:div w:id="1945991431">
              <w:marLeft w:val="0"/>
              <w:marRight w:val="0"/>
              <w:marTop w:val="0"/>
              <w:marBottom w:val="0"/>
              <w:divBdr>
                <w:top w:val="none" w:sz="0" w:space="0" w:color="auto"/>
                <w:left w:val="none" w:sz="0" w:space="0" w:color="auto"/>
                <w:bottom w:val="none" w:sz="0" w:space="0" w:color="auto"/>
                <w:right w:val="none" w:sz="0" w:space="0" w:color="auto"/>
              </w:divBdr>
              <w:divsChild>
                <w:div w:id="679284770">
                  <w:marLeft w:val="0"/>
                  <w:marRight w:val="0"/>
                  <w:marTop w:val="0"/>
                  <w:marBottom w:val="0"/>
                  <w:divBdr>
                    <w:top w:val="none" w:sz="0" w:space="0" w:color="auto"/>
                    <w:left w:val="none" w:sz="0" w:space="0" w:color="auto"/>
                    <w:bottom w:val="none" w:sz="0" w:space="0" w:color="auto"/>
                    <w:right w:val="none" w:sz="0" w:space="0" w:color="auto"/>
                  </w:divBdr>
                  <w:divsChild>
                    <w:div w:id="5023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77542">
      <w:bodyDiv w:val="1"/>
      <w:marLeft w:val="0"/>
      <w:marRight w:val="0"/>
      <w:marTop w:val="0"/>
      <w:marBottom w:val="0"/>
      <w:divBdr>
        <w:top w:val="none" w:sz="0" w:space="0" w:color="auto"/>
        <w:left w:val="none" w:sz="0" w:space="0" w:color="auto"/>
        <w:bottom w:val="none" w:sz="0" w:space="0" w:color="auto"/>
        <w:right w:val="none" w:sz="0" w:space="0" w:color="auto"/>
      </w:divBdr>
    </w:div>
    <w:div w:id="12486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537</Words>
  <Characters>3064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Minasi</dc:creator>
  <cp:keywords/>
  <dc:description/>
  <cp:lastModifiedBy>Simone Minasi</cp:lastModifiedBy>
  <cp:revision>15</cp:revision>
  <dcterms:created xsi:type="dcterms:W3CDTF">2024-11-21T14:39:00Z</dcterms:created>
  <dcterms:modified xsi:type="dcterms:W3CDTF">2025-05-05T14:01:00Z</dcterms:modified>
</cp:coreProperties>
</file>