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5311F" w14:textId="5FB51842" w:rsidR="009C0F44" w:rsidRDefault="009C0F44" w:rsidP="006173DA">
      <w:pPr>
        <w:rPr>
          <w:rFonts w:ascii="Times New Roman" w:hAnsi="Times New Roman" w:cs="Times New Roman"/>
          <w:b/>
          <w:bCs/>
          <w:sz w:val="28"/>
          <w:szCs w:val="28"/>
        </w:rPr>
      </w:pPr>
      <w:r w:rsidRPr="009C0F44">
        <w:rPr>
          <w:rFonts w:ascii="Times New Roman" w:hAnsi="Times New Roman" w:cs="Times New Roman"/>
          <w:b/>
          <w:bCs/>
          <w:sz w:val="28"/>
          <w:szCs w:val="28"/>
        </w:rPr>
        <w:t>Content list</w:t>
      </w:r>
    </w:p>
    <w:p w14:paraId="12A9A17F" w14:textId="41B2BD96" w:rsidR="009C0F44" w:rsidRDefault="009C0F44" w:rsidP="006173DA">
      <w:pPr>
        <w:rPr>
          <w:rFonts w:ascii="Times New Roman" w:hAnsi="Times New Roman" w:cs="Times New Roman"/>
          <w:b/>
          <w:bCs/>
          <w:sz w:val="28"/>
          <w:szCs w:val="28"/>
        </w:rPr>
      </w:pPr>
      <w:r w:rsidRPr="009C0F44">
        <w:rPr>
          <w:rFonts w:ascii="Times New Roman" w:hAnsi="Times New Roman" w:cs="Times New Roman"/>
          <w:b/>
          <w:bCs/>
          <w:sz w:val="28"/>
          <w:szCs w:val="28"/>
        </w:rPr>
        <w:t>Supplementary Methods</w:t>
      </w:r>
    </w:p>
    <w:p w14:paraId="6C4089A7" w14:textId="7A8C2878" w:rsidR="00FA3170" w:rsidRPr="00FA3170" w:rsidRDefault="00FA3170" w:rsidP="006173DA">
      <w:pPr>
        <w:rPr>
          <w:rFonts w:ascii="Times New Roman" w:hAnsi="Times New Roman" w:cs="Times New Roman"/>
          <w:b/>
          <w:bCs/>
          <w:sz w:val="28"/>
          <w:szCs w:val="28"/>
        </w:rPr>
      </w:pPr>
      <w:r w:rsidRPr="009C0F44">
        <w:rPr>
          <w:rFonts w:ascii="Times New Roman" w:hAnsi="Times New Roman" w:cs="Times New Roman"/>
          <w:b/>
          <w:bCs/>
          <w:sz w:val="28"/>
          <w:szCs w:val="28"/>
        </w:rPr>
        <w:t xml:space="preserve">Supplementary </w:t>
      </w:r>
      <w:r>
        <w:rPr>
          <w:rFonts w:ascii="Times New Roman" w:hAnsi="Times New Roman" w:cs="Times New Roman"/>
          <w:b/>
          <w:bCs/>
          <w:sz w:val="28"/>
          <w:szCs w:val="28"/>
        </w:rPr>
        <w:t>Figures</w:t>
      </w:r>
    </w:p>
    <w:p w14:paraId="453AA10C" w14:textId="7F24478B" w:rsidR="009C0F44" w:rsidRDefault="009C0F44" w:rsidP="006173DA">
      <w:pPr>
        <w:rPr>
          <w:rFonts w:ascii="Times New Roman" w:hAnsi="Times New Roman" w:cs="Times New Roman"/>
          <w:b/>
          <w:bCs/>
          <w:sz w:val="28"/>
          <w:szCs w:val="28"/>
        </w:rPr>
      </w:pPr>
      <w:r w:rsidRPr="009C0F44">
        <w:rPr>
          <w:rFonts w:ascii="Times New Roman" w:hAnsi="Times New Roman" w:cs="Times New Roman"/>
          <w:b/>
          <w:bCs/>
          <w:sz w:val="28"/>
          <w:szCs w:val="28"/>
        </w:rPr>
        <w:t>Supplementary Tables 1-</w:t>
      </w:r>
      <w:r w:rsidR="00C41D30">
        <w:rPr>
          <w:rFonts w:ascii="Times New Roman" w:hAnsi="Times New Roman" w:cs="Times New Roman"/>
          <w:b/>
          <w:bCs/>
          <w:sz w:val="28"/>
          <w:szCs w:val="28"/>
        </w:rPr>
        <w:t>21</w:t>
      </w:r>
    </w:p>
    <w:p w14:paraId="51D15C5F" w14:textId="67D18C2A" w:rsidR="009C0F44" w:rsidRDefault="009C0F44">
      <w:pPr>
        <w:rPr>
          <w:rFonts w:ascii="Times New Roman" w:hAnsi="Times New Roman" w:cs="Times New Roman"/>
          <w:b/>
          <w:bCs/>
          <w:sz w:val="28"/>
          <w:szCs w:val="28"/>
        </w:rPr>
      </w:pPr>
      <w:r>
        <w:rPr>
          <w:rFonts w:ascii="Times New Roman" w:hAnsi="Times New Roman" w:cs="Times New Roman"/>
          <w:b/>
          <w:bCs/>
          <w:sz w:val="28"/>
          <w:szCs w:val="28"/>
        </w:rPr>
        <w:br w:type="page"/>
      </w:r>
    </w:p>
    <w:p w14:paraId="507366E4" w14:textId="579A3433" w:rsidR="00746359" w:rsidRDefault="00746359" w:rsidP="006173DA">
      <w:pPr>
        <w:rPr>
          <w:rFonts w:ascii="Times New Roman" w:hAnsi="Times New Roman" w:cs="Times New Roman"/>
          <w:b/>
          <w:bCs/>
          <w:sz w:val="28"/>
          <w:szCs w:val="28"/>
        </w:rPr>
      </w:pPr>
      <w:r w:rsidRPr="00746359">
        <w:rPr>
          <w:rFonts w:ascii="Times New Roman" w:hAnsi="Times New Roman" w:cs="Times New Roman"/>
          <w:b/>
          <w:bCs/>
          <w:sz w:val="28"/>
          <w:szCs w:val="28"/>
        </w:rPr>
        <w:lastRenderedPageBreak/>
        <w:t>Supplementary Methods</w:t>
      </w:r>
    </w:p>
    <w:p w14:paraId="073CBF58" w14:textId="114EB54D" w:rsidR="00CB5EF4" w:rsidRPr="00CB5EF4" w:rsidRDefault="00CB5EF4" w:rsidP="00CB5EF4">
      <w:pPr>
        <w:spacing w:line="360" w:lineRule="auto"/>
        <w:rPr>
          <w:rFonts w:ascii="Times New Roman" w:hAnsi="Times New Roman" w:cs="Times New Roman"/>
          <w:b/>
          <w:bCs/>
        </w:rPr>
      </w:pPr>
      <w:r w:rsidRPr="00CB5EF4">
        <w:rPr>
          <w:rFonts w:ascii="Times New Roman" w:hAnsi="Times New Roman" w:cs="Times New Roman"/>
          <w:b/>
          <w:bCs/>
        </w:rPr>
        <w:t>SIGMOD model</w:t>
      </w:r>
    </w:p>
    <w:p w14:paraId="4085362F" w14:textId="77777777" w:rsidR="00CB5EF4" w:rsidRPr="00CB5EF4" w:rsidRDefault="00CB5EF4" w:rsidP="00CB5EF4">
      <w:pPr>
        <w:spacing w:line="360" w:lineRule="auto"/>
        <w:rPr>
          <w:rFonts w:ascii="Times New Roman" w:hAnsi="Times New Roman" w:cs="Times New Roman"/>
        </w:rPr>
      </w:pPr>
      <w:r w:rsidRPr="00CB5EF4">
        <w:rPr>
          <w:rFonts w:ascii="Times New Roman" w:hAnsi="Times New Roman" w:cs="Times New Roman"/>
        </w:rPr>
        <w:t xml:space="preserve">SIGMOD is a Bayesian model that decomposes the expression of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ig</m:t>
            </m:r>
          </m:sub>
        </m:sSub>
      </m:oMath>
      <w:r w:rsidRPr="00CB5EF4">
        <w:rPr>
          <w:rFonts w:ascii="Times New Roman" w:hAnsi="Times New Roman" w:cs="Times New Roman"/>
        </w:rPr>
        <w:t xml:space="preserve"> of gene </w:t>
      </w:r>
      <w:r w:rsidRPr="00CB5EF4">
        <w:rPr>
          <w:rFonts w:ascii="Times New Roman" w:hAnsi="Times New Roman" w:cs="Times New Roman"/>
          <w:i/>
          <w:iCs/>
        </w:rPr>
        <w:t>g</w:t>
      </w:r>
      <w:r w:rsidRPr="00CB5EF4">
        <w:rPr>
          <w:rFonts w:ascii="Times New Roman" w:hAnsi="Times New Roman" w:cs="Times New Roman"/>
        </w:rPr>
        <w:t xml:space="preserve"> in spot/cell </w:t>
      </w:r>
      <m:oMath>
        <m:r>
          <w:rPr>
            <w:rFonts w:ascii="Cambria Math" w:hAnsi="Cambria Math" w:cs="Times New Roman"/>
          </w:rPr>
          <m:t>i</m:t>
        </m:r>
      </m:oMath>
      <w:r w:rsidRPr="00CB5EF4">
        <w:rPr>
          <w:rFonts w:ascii="Times New Roman" w:hAnsi="Times New Roman" w:cs="Times New Roman"/>
          <w:i/>
          <w:iCs/>
        </w:rPr>
        <w:t xml:space="preserve"> </w:t>
      </w:r>
      <w:r w:rsidRPr="00CB5EF4">
        <w:rPr>
          <w:rFonts w:ascii="Times New Roman" w:hAnsi="Times New Roman" w:cs="Times New Roman"/>
        </w:rPr>
        <w:t xml:space="preserve">into gene module distributions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ik</m:t>
            </m:r>
          </m:sub>
        </m:sSub>
      </m:oMath>
      <w:r w:rsidRPr="00CB5EF4">
        <w:rPr>
          <w:rFonts w:ascii="Times New Roman" w:hAnsi="Times New Roman" w:cs="Times New Roman"/>
          <w:i/>
          <w:iCs/>
          <w:vertAlign w:val="subscript"/>
        </w:rPr>
        <w:t xml:space="preserve"> </w:t>
      </w:r>
      <w:r w:rsidRPr="00CB5EF4">
        <w:rPr>
          <w:rFonts w:ascii="Times New Roman" w:hAnsi="Times New Roman" w:cs="Times New Roman"/>
        </w:rPr>
        <w:t xml:space="preserve">(the proportion of the </w:t>
      </w:r>
      <m:oMath>
        <m:r>
          <w:rPr>
            <w:rFonts w:ascii="Cambria Math" w:hAnsi="Cambria Math" w:cs="Times New Roman"/>
          </w:rPr>
          <m:t>k</m:t>
        </m:r>
      </m:oMath>
      <w:r w:rsidRPr="00CB5EF4">
        <w:rPr>
          <w:rFonts w:ascii="Times New Roman" w:hAnsi="Times New Roman" w:cs="Times New Roman"/>
        </w:rPr>
        <w:t xml:space="preserve"> gene module in </w:t>
      </w:r>
      <m:oMath>
        <m:r>
          <w:rPr>
            <w:rFonts w:ascii="Cambria Math" w:hAnsi="Cambria Math" w:cs="Times New Roman"/>
          </w:rPr>
          <m:t>i</m:t>
        </m:r>
      </m:oMath>
      <w:r w:rsidRPr="00CB5EF4">
        <w:rPr>
          <w:rFonts w:ascii="Times New Roman" w:hAnsi="Times New Roman" w:cs="Times New Roman"/>
        </w:rPr>
        <w:t xml:space="preserve"> spot/cell) guided by extra niche information for each spot/cell </w:t>
      </w:r>
      <w:r w:rsidRPr="00CB5EF4">
        <w:rPr>
          <w:rFonts w:ascii="Times New Roman" w:hAnsi="Times New Roman" w:cs="Times New Roman"/>
          <w:i/>
          <w:iCs/>
        </w:rPr>
        <w:t>i</w:t>
      </w:r>
      <w:r w:rsidRPr="00CB5EF4">
        <w:rPr>
          <w:rFonts w:ascii="Times New Roman" w:hAnsi="Times New Roman" w:cs="Times New Roman"/>
        </w:rPr>
        <w:t>. Therefore, there are two major steps for SIGMOD: niche construction and gene module discovery.</w:t>
      </w:r>
    </w:p>
    <w:p w14:paraId="517C9126" w14:textId="77777777" w:rsidR="00CB5EF4" w:rsidRPr="00CB5EF4" w:rsidRDefault="00CB5EF4" w:rsidP="00CB5EF4">
      <w:pPr>
        <w:spacing w:beforeLines="50" w:before="163" w:afterLines="50" w:after="163"/>
        <w:rPr>
          <w:rFonts w:ascii="Times New Roman" w:hAnsi="Times New Roman" w:cs="Times New Roman"/>
          <w:b/>
          <w:bCs/>
          <w:sz w:val="21"/>
          <w:szCs w:val="21"/>
        </w:rPr>
      </w:pPr>
      <w:r w:rsidRPr="00CB5EF4">
        <w:rPr>
          <w:rFonts w:ascii="Times New Roman" w:hAnsi="Times New Roman" w:cs="Times New Roman"/>
          <w:b/>
          <w:bCs/>
          <w:sz w:val="21"/>
          <w:szCs w:val="21"/>
        </w:rPr>
        <w:t>Niche Construction</w:t>
      </w:r>
    </w:p>
    <w:p w14:paraId="32D9441C" w14:textId="77777777" w:rsidR="00CB5EF4" w:rsidRPr="00CB5EF4" w:rsidRDefault="00CB5EF4" w:rsidP="00CB5EF4">
      <w:pPr>
        <w:spacing w:line="360" w:lineRule="auto"/>
        <w:rPr>
          <w:rFonts w:ascii="Times New Roman" w:hAnsi="Times New Roman" w:cs="Times New Roman"/>
        </w:rPr>
      </w:pPr>
      <w:r w:rsidRPr="00CB5EF4">
        <w:rPr>
          <w:rFonts w:ascii="Times New Roman" w:hAnsi="Times New Roman" w:cs="Times New Roman"/>
        </w:rPr>
        <w:t>Any information that characterizes each spot or cell can be used as niche, reflecting the scalability and flexibility of SIGMOD. SIGMOD directly constructs niches through ligand-receptor interactions or neighboring cell enrichment, SIGMOD also supports users to leverage other information to construct niches, such as different spatial domains identified from pathological images.</w:t>
      </w:r>
    </w:p>
    <w:p w14:paraId="5416AFD3" w14:textId="77777777" w:rsidR="00CB5EF4" w:rsidRPr="00CB5EF4" w:rsidRDefault="00CB5EF4" w:rsidP="00CB5EF4">
      <w:pPr>
        <w:spacing w:beforeLines="50" w:before="163" w:afterLines="50" w:after="163"/>
        <w:rPr>
          <w:rFonts w:ascii="Times New Roman" w:hAnsi="Times New Roman" w:cs="Times New Roman"/>
          <w:i/>
          <w:iCs/>
        </w:rPr>
      </w:pPr>
      <w:r w:rsidRPr="00CB5EF4">
        <w:rPr>
          <w:rFonts w:ascii="Times New Roman" w:hAnsi="Times New Roman" w:cs="Times New Roman"/>
          <w:i/>
          <w:iCs/>
        </w:rPr>
        <w:t>Identification of Spatial Variable Ligand Receptor interactions</w:t>
      </w:r>
    </w:p>
    <w:p w14:paraId="056420B3" w14:textId="37F119C5" w:rsidR="00CB5EF4" w:rsidRPr="00CB5EF4" w:rsidRDefault="00CB5EF4" w:rsidP="00CB5EF4">
      <w:pPr>
        <w:spacing w:line="360" w:lineRule="auto"/>
        <w:rPr>
          <w:rFonts w:ascii="Times New Roman" w:hAnsi="Times New Roman" w:cs="Times New Roman"/>
        </w:rPr>
      </w:pPr>
      <w:r w:rsidRPr="00CB5EF4">
        <w:rPr>
          <w:rFonts w:ascii="Times New Roman" w:hAnsi="Times New Roman" w:cs="Times New Roman"/>
        </w:rPr>
        <w:t>In order to obtain reliable ligand-receptor interactions that reflect cell composition or state, SIGMOD aims to construct niche based on significant spatial co-enrichment and regional specificity. By default, we use LR lists from CellTalkDB</w:t>
      </w:r>
      <w:r w:rsidRPr="00CB5EF4">
        <w:rPr>
          <w:rFonts w:ascii="Times New Roman" w:hAnsi="Times New Roman" w:cs="Times New Roman"/>
        </w:rPr>
        <w:fldChar w:fldCharType="begin"/>
      </w:r>
      <w:r w:rsidR="00C61174">
        <w:rPr>
          <w:rFonts w:ascii="Times New Roman" w:hAnsi="Times New Roman" w:cs="Times New Roman"/>
        </w:rPr>
        <w:instrText xml:space="preserve"> ADDIN ZOTERO_ITEM CSL_CITATION {"citationID":"N9OVYWBJ","properties":{"formattedCitation":"\\super 1\\nosupersub{}","plainCitation":"1","noteIndex":0},"citationItems":[{"id":1345,"uris":["http://zotero.org/users/9017146/items/CZFKJYGL"],"itemData":{"id":1345,"type":"article-journal","abstract":"Abstract. Cell–cell communications in multicellular organisms generally involve secreted ligand–receptor (LR) interactions, which is vital for various biol","container-title":"Briefings in Bioinformatics","DOI":"10.1093/bib/bbaa269","issue":"4","journalAbbreviation":"Brief Bioinform","language":"en","note":"publisher: Oxford Academic","source":"academic.oup.com","title":"CellTalkDB: a manually curated database of ligand–receptor interactions in humans and mice","title-short":"CellTalkDB","URL":"https://dx.doi.org/10.1093/bib/bbaa269","volume":"22","author":[{"family":"Shao","given":"Xin"},{"family":"Liao","given":"Jie"},{"family":"Li","given":"Chengyu"},{"family":"Lu","given":"Xiaoyan"},{"family":"Cheng","given":"Junyun"},{"family":"Fan","given":"Xiaohui"}],"accessed":{"date-parts":[["2025",3,16]]},"issued":{"date-parts":[["2021",7,20]]}}}],"schema":"https://github.com/citation-style-language/schema/raw/master/csl-citation.json"} </w:instrText>
      </w:r>
      <w:r w:rsidRPr="00CB5EF4">
        <w:rPr>
          <w:rFonts w:ascii="Times New Roman" w:hAnsi="Times New Roman" w:cs="Times New Roman"/>
        </w:rPr>
        <w:fldChar w:fldCharType="separate"/>
      </w:r>
      <w:r w:rsidR="00F41FAE" w:rsidRPr="00F41FAE">
        <w:rPr>
          <w:rFonts w:ascii="Times New Roman" w:hAnsi="Times New Roman" w:cs="Times New Roman"/>
          <w:vertAlign w:val="superscript"/>
        </w:rPr>
        <w:t>1</w:t>
      </w:r>
      <w:r w:rsidRPr="00CB5EF4">
        <w:rPr>
          <w:rFonts w:ascii="Times New Roman" w:hAnsi="Times New Roman" w:cs="Times New Roman"/>
        </w:rPr>
        <w:fldChar w:fldCharType="end"/>
      </w:r>
      <w:r w:rsidRPr="00CB5EF4">
        <w:rPr>
          <w:rFonts w:ascii="Times New Roman" w:hAnsi="Times New Roman" w:cs="Times New Roman"/>
        </w:rPr>
        <w:t xml:space="preserve"> as input, while users can also use any customized list.</w:t>
      </w:r>
    </w:p>
    <w:p w14:paraId="6D472DD8" w14:textId="77777777" w:rsidR="00CB5EF4" w:rsidRPr="00CB5EF4" w:rsidRDefault="00CB5EF4" w:rsidP="00CB5EF4">
      <w:pPr>
        <w:spacing w:line="360" w:lineRule="auto"/>
        <w:rPr>
          <w:rFonts w:ascii="Times New Roman" w:hAnsi="Times New Roman" w:cs="Times New Roman"/>
        </w:rPr>
      </w:pPr>
      <w:r w:rsidRPr="00CB5EF4">
        <w:rPr>
          <w:rFonts w:ascii="Times New Roman" w:hAnsi="Times New Roman" w:cs="Times New Roman"/>
        </w:rPr>
        <w:t xml:space="preserve">The assumption for detecting spatial co-enrichment is that in regions with high receptor expression, the average ligand expression in the surrounding area is also higher than the global average. We call this co-enrichment score </w:t>
      </w:r>
      <w:r w:rsidRPr="00CB5EF4">
        <w:rPr>
          <w:rFonts w:ascii="Times New Roman" w:hAnsi="Times New Roman" w:cs="Times New Roman"/>
          <w:i/>
          <w:iCs/>
        </w:rPr>
        <w:t>R</w:t>
      </w:r>
      <w:r w:rsidRPr="00CB5EF4">
        <w:rPr>
          <w:rFonts w:ascii="Times New Roman" w:hAnsi="Times New Roman" w:cs="Times New Roman"/>
        </w:rPr>
        <w:t xml:space="preserve"> as follows,</w:t>
      </w:r>
    </w:p>
    <w:p w14:paraId="5EB6A7DC" w14:textId="77777777" w:rsidR="00CB5EF4" w:rsidRPr="00CB5EF4" w:rsidRDefault="008E5812" w:rsidP="00CB5EF4">
      <w:pPr>
        <w:rPr>
          <w:rFonts w:ascii="Times New Roman" w:hAnsi="Times New Roman" w:cs="Times New Roman"/>
        </w:rPr>
      </w:pPr>
      <m:oMathPara>
        <m:oMath>
          <m:sSub>
            <m:sSubPr>
              <m:ctrlPr>
                <w:rPr>
                  <w:rFonts w:ascii="Cambria Math" w:hAnsi="Cambria Math" w:cs="Times New Roman"/>
                  <w:i/>
                  <w:vertAlign w:val="subscript"/>
                </w:rPr>
              </m:ctrlPr>
            </m:sSubPr>
            <m:e>
              <m:r>
                <w:rPr>
                  <w:rFonts w:ascii="Cambria Math" w:hAnsi="Cambria Math" w:cs="Times New Roman"/>
                  <w:vertAlign w:val="subscript"/>
                </w:rPr>
                <m:t>R</m:t>
              </m:r>
            </m:e>
            <m:sub>
              <m:r>
                <w:rPr>
                  <w:rFonts w:ascii="Cambria Math" w:hAnsi="Cambria Math" w:cs="Times New Roman"/>
                  <w:vertAlign w:val="subscript"/>
                </w:rPr>
                <m:t>lr</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r>
                <m:rPr>
                  <m:sty m:val="p"/>
                </m:rPr>
                <w:rPr>
                  <w:rFonts w:ascii="Cambria Math" w:hAnsi="Cambria Math" w:cs="Times New Roman"/>
                </w:rPr>
                <m:t>⋅</m:t>
              </m:r>
              <m:r>
                <w:rPr>
                  <w:rFonts w:ascii="Cambria Math" w:hAnsi="Cambria Math" w:cs="Times New Roman"/>
                </w:rPr>
                <m:t>neigh</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ctrlPr>
                    <w:rPr>
                      <w:rFonts w:ascii="Cambria Math" w:hAnsi="Cambria Math" w:cs="Times New Roman"/>
                    </w:rPr>
                  </m:ctrlPr>
                </m:e>
                <m:sub>
                  <m:r>
                    <w:rPr>
                      <w:rFonts w:ascii="Cambria Math" w:hAnsi="Cambria Math" w:cs="Times New Roman"/>
                    </w:rPr>
                    <m:t>l</m:t>
                  </m:r>
                </m:sub>
              </m:sSub>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ctrlPr>
                    <w:rPr>
                      <w:rFonts w:ascii="Cambria Math" w:hAnsi="Cambria Math" w:cs="Times New Roman"/>
                    </w:rPr>
                  </m:ctrlPr>
                </m:e>
                <m:sub>
                  <m:r>
                    <w:rPr>
                      <w:rFonts w:ascii="Cambria Math" w:hAnsi="Cambria Math" w:cs="Times New Roman"/>
                    </w:rPr>
                    <m:t>r</m:t>
                  </m:r>
                </m:sub>
              </m:sSub>
            </m:den>
          </m:f>
          <m:r>
            <m:rPr>
              <m:sty m:val="p"/>
            </m:rPr>
            <w:rPr>
              <w:rFonts w:ascii="Cambria Math" w:hAnsi="Cambria Math" w:cs="Times New Roman"/>
            </w:rPr>
            <m:t xml:space="preserve"> ⋅</m:t>
          </m:r>
          <m:nary>
            <m:naryPr>
              <m:chr m:val="∑"/>
              <m:ctrlPr>
                <w:rPr>
                  <w:rFonts w:ascii="Cambria Math" w:hAnsi="Cambria Math" w:cs="Times New Roman"/>
                </w:rPr>
              </m:ctrlPr>
            </m:naryPr>
            <m:sub>
              <m:r>
                <w:rPr>
                  <w:rFonts w:ascii="Cambria Math" w:hAnsi="Cambria Math" w:cs="Times New Roman"/>
                </w:rPr>
                <m:t>i=1</m:t>
              </m:r>
              <m:ctrlPr>
                <w:rPr>
                  <w:rFonts w:ascii="Cambria Math" w:hAnsi="Cambria Math" w:cs="Times New Roman"/>
                  <w:i/>
                </w:rPr>
              </m:ctrlPr>
            </m:sub>
            <m:sup>
              <m:r>
                <w:rPr>
                  <w:rFonts w:ascii="Cambria Math" w:hAnsi="Cambria Math" w:cs="Times New Roman"/>
                </w:rPr>
                <m:t>n</m:t>
              </m:r>
              <m:ctrlPr>
                <w:rPr>
                  <w:rFonts w:ascii="Cambria Math" w:hAnsi="Cambria Math" w:cs="Times New Roman"/>
                  <w:i/>
                </w:rPr>
              </m:ctrlPr>
            </m:sup>
            <m:e>
              <m:nary>
                <m:naryPr>
                  <m:chr m:val="∑"/>
                  <m:ctrlPr>
                    <w:rPr>
                      <w:rFonts w:ascii="Cambria Math" w:hAnsi="Cambria Math" w:cs="Times New Roman"/>
                    </w:rPr>
                  </m:ctrlPr>
                </m:naryPr>
                <m:sub>
                  <m:r>
                    <w:rPr>
                      <w:rFonts w:ascii="Cambria Math" w:hAnsi="Cambria Math" w:cs="Times New Roman"/>
                    </w:rPr>
                    <m:t>j=1</m:t>
                  </m:r>
                  <m:ctrlPr>
                    <w:rPr>
                      <w:rFonts w:ascii="Cambria Math" w:hAnsi="Cambria Math" w:cs="Times New Roman"/>
                      <w:i/>
                    </w:rPr>
                  </m:ctrlPr>
                </m:sub>
                <m:sup>
                  <m:sSub>
                    <m:sSubPr>
                      <m:ctrlPr>
                        <w:rPr>
                          <w:rFonts w:ascii="Cambria Math" w:hAnsi="Cambria Math" w:cs="Times New Roman"/>
                          <w:i/>
                        </w:rPr>
                      </m:ctrlPr>
                    </m:sSubPr>
                    <m:e>
                      <m:r>
                        <w:rPr>
                          <w:rFonts w:ascii="Cambria Math" w:hAnsi="Cambria Math" w:cs="Times New Roman"/>
                        </w:rPr>
                        <m:t>neigh</m:t>
                      </m:r>
                    </m:e>
                    <m:sub>
                      <m:r>
                        <w:rPr>
                          <w:rFonts w:ascii="Cambria Math" w:hAnsi="Cambria Math" w:cs="Times New Roman"/>
                        </w:rPr>
                        <m:t>i</m:t>
                      </m:r>
                    </m:sub>
                  </m:sSub>
                  <m:r>
                    <m:rPr>
                      <m:sty m:val="p"/>
                    </m:rPr>
                    <w:rPr>
                      <w:rFonts w:ascii="Cambria Math" w:hAnsi="Cambria Math" w:cs="Times New Roman"/>
                    </w:rPr>
                    <w:softHyphen/>
                  </m:r>
                  <m:ctrlPr>
                    <w:rPr>
                      <w:rFonts w:ascii="Cambria Math" w:hAnsi="Cambria Math" w:cs="Times New Roman"/>
                      <w:i/>
                    </w:rPr>
                  </m:ctrlPr>
                </m:sup>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ir</m:t>
                      </m:r>
                    </m:sub>
                  </m:sSub>
                  <m:ctrlPr>
                    <w:rPr>
                      <w:rFonts w:ascii="Cambria Math" w:hAnsi="Cambria Math" w:cs="Times New Roman"/>
                      <w:i/>
                    </w:rPr>
                  </m:ctrlPr>
                </m:e>
              </m:nary>
              <m:ctrlPr>
                <w:rPr>
                  <w:rFonts w:ascii="Cambria Math" w:hAnsi="Cambria Math" w:cs="Times New Roman"/>
                  <w:i/>
                </w:rPr>
              </m:ctrlPr>
            </m:e>
          </m:nary>
          <m:r>
            <m:rPr>
              <m:sty m:val="p"/>
            </m:rP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g</m:t>
              </m:r>
              <m:ctrlPr>
                <w:rPr>
                  <w:rFonts w:ascii="Cambria Math" w:hAnsi="Cambria Math" w:cs="Times New Roman"/>
                </w:rPr>
              </m:ctrlPr>
            </m:e>
            <m:sub>
              <m:r>
                <w:rPr>
                  <w:rFonts w:ascii="Cambria Math" w:hAnsi="Cambria Math" w:cs="Times New Roman"/>
                </w:rPr>
                <m:t>jl</m:t>
              </m:r>
            </m:sub>
          </m:sSub>
        </m:oMath>
      </m:oMathPara>
    </w:p>
    <w:p w14:paraId="20528E72"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where </w:t>
      </w:r>
      <m:oMath>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ir</m:t>
            </m:r>
          </m:sub>
        </m:sSub>
      </m:oMath>
      <w:r w:rsidRPr="00CB5EF4">
        <w:rPr>
          <w:rFonts w:ascii="Times New Roman" w:hAnsi="Times New Roman" w:cs="Times New Roman"/>
          <w:i/>
          <w:vertAlign w:val="subscript"/>
        </w:rPr>
        <w:t xml:space="preserve"> </w:t>
      </w:r>
      <w:r w:rsidRPr="00CB5EF4">
        <w:rPr>
          <w:rFonts w:ascii="Times New Roman" w:hAnsi="Times New Roman" w:cs="Times New Roman"/>
          <w:iCs/>
        </w:rPr>
        <w:t xml:space="preserve">and </w:t>
      </w:r>
      <m:oMath>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jl</m:t>
            </m:r>
          </m:sub>
        </m:sSub>
      </m:oMath>
      <w:r w:rsidRPr="00CB5EF4">
        <w:rPr>
          <w:rFonts w:ascii="Times New Roman" w:hAnsi="Times New Roman" w:cs="Times New Roman"/>
          <w:iCs/>
          <w:vertAlign w:val="subscript"/>
        </w:rPr>
        <w:t xml:space="preserve"> </w:t>
      </w:r>
      <w:r w:rsidRPr="00CB5EF4">
        <w:rPr>
          <w:rFonts w:ascii="Times New Roman" w:hAnsi="Times New Roman" w:cs="Times New Roman"/>
          <w:iCs/>
        </w:rPr>
        <w:t xml:space="preserve">denotes normalized and log-transformed receptor </w:t>
      </w:r>
      <m:oMath>
        <m:r>
          <w:rPr>
            <w:rFonts w:ascii="Cambria Math" w:hAnsi="Cambria Math" w:cs="Times New Roman"/>
          </w:rPr>
          <m:t>r</m:t>
        </m:r>
      </m:oMath>
      <w:r w:rsidRPr="00CB5EF4">
        <w:rPr>
          <w:rFonts w:ascii="Times New Roman" w:hAnsi="Times New Roman" w:cs="Times New Roman"/>
          <w:iCs/>
        </w:rPr>
        <w:t xml:space="preserve"> and ligand </w:t>
      </w:r>
      <m:oMath>
        <m:r>
          <w:rPr>
            <w:rFonts w:ascii="Cambria Math" w:hAnsi="Cambria Math" w:cs="Times New Roman"/>
          </w:rPr>
          <m:t>l</m:t>
        </m:r>
      </m:oMath>
      <w:r w:rsidRPr="00CB5EF4">
        <w:rPr>
          <w:rFonts w:ascii="Times New Roman" w:hAnsi="Times New Roman" w:cs="Times New Roman"/>
          <w:iCs/>
        </w:rPr>
        <w:t xml:space="preserve"> expression at spot </w:t>
      </w:r>
      <m:oMath>
        <m:r>
          <w:rPr>
            <w:rFonts w:ascii="Cambria Math" w:hAnsi="Cambria Math" w:cs="Times New Roman"/>
          </w:rPr>
          <m:t>i</m:t>
        </m:r>
      </m:oMath>
      <w:r w:rsidRPr="00CB5EF4">
        <w:rPr>
          <w:rFonts w:ascii="Times New Roman" w:hAnsi="Times New Roman" w:cs="Times New Roman"/>
          <w:iCs/>
        </w:rPr>
        <w:t xml:space="preserve"> and its neighborhood spot </w:t>
      </w:r>
      <m:oMath>
        <m:r>
          <w:rPr>
            <w:rFonts w:ascii="Cambria Math" w:hAnsi="Cambria Math" w:cs="Times New Roman"/>
          </w:rPr>
          <m:t>j</m:t>
        </m:r>
      </m:oMath>
      <w:r w:rsidRPr="00CB5EF4">
        <w:rPr>
          <w:rFonts w:ascii="Times New Roman" w:hAnsi="Times New Roman" w:cs="Times New Roman"/>
          <w:iCs/>
        </w:rPr>
        <w:t xml:space="preserve">. </w:t>
      </w:r>
      <m:oMath>
        <m:r>
          <w:rPr>
            <w:rFonts w:ascii="Cambria Math" w:hAnsi="Cambria Math" w:cs="Times New Roman"/>
          </w:rPr>
          <m:t>n</m:t>
        </m:r>
      </m:oMath>
      <w:r w:rsidRPr="00CB5EF4">
        <w:rPr>
          <w:rFonts w:ascii="Times New Roman" w:hAnsi="Times New Roman" w:cs="Times New Roman"/>
          <w:iCs/>
        </w:rPr>
        <w:t xml:space="preserve"> is the total number of spots and </w:t>
      </w:r>
      <m:oMath>
        <m:sSub>
          <m:sSubPr>
            <m:ctrlPr>
              <w:rPr>
                <w:rFonts w:ascii="Cambria Math" w:hAnsi="Cambria Math" w:cs="Times New Roman"/>
                <w:i/>
                <w:iCs/>
              </w:rPr>
            </m:ctrlPr>
          </m:sSubPr>
          <m:e>
            <m:r>
              <w:rPr>
                <w:rFonts w:ascii="Cambria Math" w:hAnsi="Cambria Math" w:cs="Times New Roman"/>
              </w:rPr>
              <m:t>μ</m:t>
            </m:r>
          </m:e>
          <m:sub>
            <m:r>
              <w:rPr>
                <w:rFonts w:ascii="Cambria Math" w:hAnsi="Cambria Math" w:cs="Times New Roman"/>
              </w:rPr>
              <m:t>l</m:t>
            </m:r>
          </m:sub>
        </m:sSub>
      </m:oMath>
      <w:r w:rsidRPr="00CB5EF4">
        <w:rPr>
          <w:rFonts w:ascii="Times New Roman" w:hAnsi="Times New Roman" w:cs="Times New Roman"/>
          <w:iCs/>
        </w:rPr>
        <w:t xml:space="preserve"> and </w:t>
      </w:r>
      <m:oMath>
        <m:sSub>
          <m:sSubPr>
            <m:ctrlPr>
              <w:rPr>
                <w:rFonts w:ascii="Cambria Math" w:hAnsi="Cambria Math" w:cs="Times New Roman"/>
                <w:i/>
                <w:iCs/>
              </w:rPr>
            </m:ctrlPr>
          </m:sSubPr>
          <m:e>
            <m:r>
              <w:rPr>
                <w:rFonts w:ascii="Cambria Math" w:hAnsi="Cambria Math" w:cs="Times New Roman"/>
              </w:rPr>
              <m:t>μ</m:t>
            </m:r>
          </m:e>
          <m:sub>
            <m:r>
              <w:rPr>
                <w:rFonts w:ascii="Cambria Math" w:hAnsi="Cambria Math" w:cs="Times New Roman"/>
              </w:rPr>
              <m:t>r</m:t>
            </m:r>
          </m:sub>
        </m:sSub>
      </m:oMath>
      <w:r w:rsidRPr="00CB5EF4">
        <w:rPr>
          <w:rFonts w:ascii="Times New Roman" w:hAnsi="Times New Roman" w:cs="Times New Roman"/>
          <w:iCs/>
        </w:rPr>
        <w:t xml:space="preserve"> denotes mean expression of ligand </w:t>
      </w:r>
      <m:oMath>
        <m:r>
          <w:rPr>
            <w:rFonts w:ascii="Cambria Math" w:hAnsi="Cambria Math" w:cs="Times New Roman"/>
          </w:rPr>
          <m:t>l</m:t>
        </m:r>
      </m:oMath>
      <w:r w:rsidRPr="00CB5EF4">
        <w:rPr>
          <w:rFonts w:ascii="Times New Roman" w:hAnsi="Times New Roman" w:cs="Times New Roman"/>
          <w:iCs/>
        </w:rPr>
        <w:t xml:space="preserve"> and receptor </w:t>
      </w:r>
      <m:oMath>
        <m:r>
          <w:rPr>
            <w:rFonts w:ascii="Cambria Math" w:hAnsi="Cambria Math" w:cs="Times New Roman"/>
          </w:rPr>
          <m:t>r</m:t>
        </m:r>
      </m:oMath>
      <w:r w:rsidRPr="00CB5EF4">
        <w:rPr>
          <w:rFonts w:ascii="Times New Roman" w:hAnsi="Times New Roman" w:cs="Times New Roman"/>
          <w:i/>
        </w:rPr>
        <w:t xml:space="preserve"> </w:t>
      </w:r>
      <w:r w:rsidRPr="00CB5EF4">
        <w:rPr>
          <w:rFonts w:ascii="Times New Roman" w:hAnsi="Times New Roman" w:cs="Times New Roman"/>
          <w:iCs/>
          <w:color w:val="000000" w:themeColor="text1"/>
        </w:rPr>
        <w:t>across all spots</w:t>
      </w:r>
      <w:r w:rsidRPr="00CB5EF4">
        <w:rPr>
          <w:rFonts w:ascii="Times New Roman" w:hAnsi="Times New Roman" w:cs="Times New Roman"/>
          <w:iCs/>
        </w:rPr>
        <w:t xml:space="preserve">. By default, the most adjacent cells of spot </w:t>
      </w:r>
      <m:oMath>
        <m:r>
          <w:rPr>
            <w:rFonts w:ascii="Cambria Math" w:hAnsi="Cambria Math" w:cs="Times New Roman"/>
          </w:rPr>
          <m:t>i</m:t>
        </m:r>
      </m:oMath>
      <w:r w:rsidRPr="00CB5EF4">
        <w:rPr>
          <w:rFonts w:ascii="Times New Roman" w:hAnsi="Times New Roman" w:cs="Times New Roman"/>
          <w:iCs/>
        </w:rPr>
        <w:t xml:space="preserve"> are picked as neighborhood spots </w:t>
      </w:r>
      <m:oMath>
        <m:r>
          <w:rPr>
            <w:rFonts w:ascii="Cambria Math" w:hAnsi="Cambria Math" w:cs="Times New Roman"/>
          </w:rPr>
          <m:t>j</m:t>
        </m:r>
      </m:oMath>
      <w:r w:rsidRPr="00CB5EF4">
        <w:rPr>
          <w:rFonts w:ascii="Times New Roman" w:hAnsi="Times New Roman" w:cs="Times New Roman"/>
          <w:iCs/>
        </w:rPr>
        <w:t>.</w:t>
      </w:r>
    </w:p>
    <w:p w14:paraId="1A2F77FE"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Under the null distribution that ligand and receptor are spatially independent and approximating it with a normal distribution, the expectation and variance of </w:t>
      </w: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lr</m:t>
            </m:r>
          </m:sub>
        </m:sSub>
      </m:oMath>
      <w:r w:rsidRPr="00CB5EF4">
        <w:rPr>
          <w:rFonts w:ascii="Times New Roman" w:hAnsi="Times New Roman" w:cs="Times New Roman"/>
          <w:iCs/>
        </w:rPr>
        <w:t xml:space="preserve"> is,</w:t>
      </w:r>
    </w:p>
    <w:p w14:paraId="2A1B172D" w14:textId="77777777" w:rsidR="00CB5EF4" w:rsidRPr="00CB5EF4" w:rsidRDefault="00CB5EF4" w:rsidP="00CB5EF4">
      <w:pPr>
        <w:rPr>
          <w:rFonts w:ascii="Times New Roman" w:hAnsi="Times New Roman" w:cs="Times New Roman"/>
          <w:i/>
          <w:iCs/>
        </w:rPr>
      </w:pPr>
      <m:oMathPara>
        <m:oMath>
          <m:r>
            <w:rPr>
              <w:rFonts w:ascii="Cambria Math" w:hAnsi="Cambria Math" w:cs="Times New Roman"/>
            </w:rPr>
            <w:lastRenderedPageBreak/>
            <m:t>E</m:t>
          </m:r>
          <m:d>
            <m:dPr>
              <m:begChr m:val="["/>
              <m:endChr m:val="]"/>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lr</m:t>
                  </m:r>
                </m:sub>
              </m:sSub>
            </m:e>
          </m:d>
          <m:r>
            <w:rPr>
              <w:rFonts w:ascii="Cambria Math" w:hAnsi="Cambria Math" w:cs="Times New Roman"/>
            </w:rPr>
            <m:t>=1</m:t>
          </m:r>
        </m:oMath>
      </m:oMathPara>
    </w:p>
    <w:p w14:paraId="6C54F342" w14:textId="77777777" w:rsidR="00CB5EF4" w:rsidRPr="00CB5EF4" w:rsidRDefault="00CB5EF4" w:rsidP="00CB5EF4">
      <w:pPr>
        <w:rPr>
          <w:rFonts w:ascii="Times New Roman" w:hAnsi="Times New Roman" w:cs="Times New Roman"/>
          <w:i/>
        </w:rPr>
      </w:pPr>
      <m:oMathPara>
        <m:oMath>
          <m:r>
            <m:rPr>
              <m:nor/>
            </m:rPr>
            <w:rPr>
              <w:rFonts w:ascii="Times New Roman" w:hAnsi="Times New Roman" w:cs="Times New Roman"/>
            </w:rPr>
            <m:t>Var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lr</m:t>
                  </m:r>
                </m:sub>
              </m:sSub>
            </m:e>
          </m:d>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n</m:t>
              </m:r>
              <m:r>
                <m:rPr>
                  <m:sty m:val="p"/>
                </m:rP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μ</m:t>
                  </m:r>
                  <m:ctrlPr>
                    <w:rPr>
                      <w:rFonts w:ascii="Cambria Math" w:hAnsi="Cambria Math" w:cs="Times New Roman"/>
                    </w:rPr>
                  </m:ctrlPr>
                </m:e>
                <m:sub>
                  <m:r>
                    <w:rPr>
                      <w:rFonts w:ascii="Cambria Math" w:hAnsi="Cambria Math" w:cs="Times New Roman"/>
                    </w:rPr>
                    <m:t>r</m:t>
                  </m:r>
                </m:sub>
                <m:sup>
                  <m: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μ</m:t>
                  </m:r>
                  <m:ctrlPr>
                    <w:rPr>
                      <w:rFonts w:ascii="Cambria Math" w:hAnsi="Cambria Math" w:cs="Times New Roman"/>
                    </w:rPr>
                  </m:ctrlPr>
                </m:e>
                <m:sub>
                  <m:r>
                    <w:rPr>
                      <w:rFonts w:ascii="Cambria Math" w:hAnsi="Cambria Math" w:cs="Times New Roman"/>
                    </w:rPr>
                    <m:t>l</m:t>
                  </m:r>
                </m:sub>
                <m:sup>
                  <m:r>
                    <w:rPr>
                      <w:rFonts w:ascii="Cambria Math" w:hAnsi="Cambria Math" w:cs="Times New Roman"/>
                    </w:rPr>
                    <m:t>2</m:t>
                  </m:r>
                </m:sup>
              </m:sSubSup>
              <m:ctrlPr>
                <w:rPr>
                  <w:rFonts w:ascii="Cambria Math" w:hAnsi="Cambria Math" w:cs="Times New Roman"/>
                  <w:i/>
                </w:rPr>
              </m:ctrlPr>
            </m:den>
          </m:f>
          <m:d>
            <m:dPr>
              <m:ctrlPr>
                <w:rPr>
                  <w:rFonts w:ascii="Cambria Math" w:hAnsi="Cambria Math" w:cs="Times New Roman"/>
                  <w:i/>
                </w:rPr>
              </m:ctrlPr>
            </m:dPr>
            <m:e>
              <m:sSubSup>
                <m:sSubSupPr>
                  <m:ctrlPr>
                    <w:rPr>
                      <w:rFonts w:ascii="Cambria Math" w:hAnsi="Cambria Math" w:cs="Times New Roman"/>
                      <w:i/>
                    </w:rPr>
                  </m:ctrlPr>
                </m:sSubSupPr>
                <m:e>
                  <m:r>
                    <m:rPr>
                      <m:sty m:val="p"/>
                    </m:rPr>
                    <w:rPr>
                      <w:rFonts w:ascii="Cambria Math" w:hAnsi="Cambria Math" w:cs="Times New Roman"/>
                    </w:rPr>
                    <m:t>σ</m:t>
                  </m:r>
                </m:e>
                <m:sub>
                  <m:r>
                    <w:rPr>
                      <w:rFonts w:ascii="Cambria Math" w:hAnsi="Cambria Math" w:cs="Times New Roman"/>
                    </w:rPr>
                    <m:t>r</m:t>
                  </m:r>
                </m:sub>
                <m:sup>
                  <m:r>
                    <w:rPr>
                      <w:rFonts w:ascii="Cambria Math" w:hAnsi="Cambria Math" w:cs="Times New Roman"/>
                    </w:rPr>
                    <m:t>2</m:t>
                  </m:r>
                </m:sup>
              </m:sSubSup>
              <m:sSubSup>
                <m:sSubSupPr>
                  <m:ctrlPr>
                    <w:rPr>
                      <w:rFonts w:ascii="Cambria Math" w:hAnsi="Cambria Math" w:cs="Times New Roman"/>
                      <w:i/>
                    </w:rPr>
                  </m:ctrlPr>
                </m:sSubSupPr>
                <m:e>
                  <m:r>
                    <m:rPr>
                      <m:sty m:val="p"/>
                    </m:rPr>
                    <w:rPr>
                      <w:rFonts w:ascii="Cambria Math" w:hAnsi="Cambria Math" w:cs="Times New Roman"/>
                    </w:rPr>
                    <m:t>σ</m:t>
                  </m:r>
                  <m:ctrlPr>
                    <w:rPr>
                      <w:rFonts w:ascii="Cambria Math" w:hAnsi="Cambria Math" w:cs="Times New Roman"/>
                    </w:rPr>
                  </m:ctrlPr>
                </m:e>
                <m:sub>
                  <m:r>
                    <w:rPr>
                      <w:rFonts w:ascii="Cambria Math" w:hAnsi="Cambria Math" w:cs="Times New Roman"/>
                    </w:rPr>
                    <m:t>l</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σ</m:t>
                  </m:r>
                </m:e>
                <m:sub>
                  <m:r>
                    <w:rPr>
                      <w:rFonts w:ascii="Cambria Math" w:hAnsi="Cambria Math" w:cs="Times New Roman"/>
                    </w:rPr>
                    <m:t>r</m:t>
                  </m:r>
                </m:sub>
                <m:sup>
                  <m:r>
                    <w:rPr>
                      <w:rFonts w:ascii="Cambria Math" w:hAnsi="Cambria Math" w:cs="Times New Roman"/>
                    </w:rPr>
                    <m:t>2</m:t>
                  </m:r>
                </m:sup>
              </m:sSubSup>
              <m:sSubSup>
                <m:sSubSupPr>
                  <m:ctrlPr>
                    <w:rPr>
                      <w:rFonts w:ascii="Cambria Math" w:hAnsi="Cambria Math" w:cs="Times New Roman"/>
                      <w:i/>
                    </w:rPr>
                  </m:ctrlPr>
                </m:sSubSupPr>
                <m:e>
                  <m:r>
                    <m:rPr>
                      <m:sty m:val="p"/>
                    </m:rPr>
                    <w:rPr>
                      <w:rFonts w:ascii="Cambria Math" w:hAnsi="Cambria Math" w:cs="Times New Roman"/>
                    </w:rPr>
                    <m:t>μ</m:t>
                  </m:r>
                  <m:ctrlPr>
                    <w:rPr>
                      <w:rFonts w:ascii="Cambria Math" w:hAnsi="Cambria Math" w:cs="Times New Roman"/>
                    </w:rPr>
                  </m:ctrlPr>
                </m:e>
                <m:sub>
                  <m:r>
                    <w:rPr>
                      <w:rFonts w:ascii="Cambria Math" w:hAnsi="Cambria Math" w:cs="Times New Roman"/>
                    </w:rPr>
                    <m:t>l</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σ</m:t>
                  </m:r>
                </m:e>
                <m:sub>
                  <m:r>
                    <w:rPr>
                      <w:rFonts w:ascii="Cambria Math" w:hAnsi="Cambria Math" w:cs="Times New Roman"/>
                    </w:rPr>
                    <m:t>l</m:t>
                  </m:r>
                </m:sub>
                <m:sup>
                  <m:r>
                    <w:rPr>
                      <w:rFonts w:ascii="Cambria Math" w:hAnsi="Cambria Math" w:cs="Times New Roman"/>
                    </w:rPr>
                    <m:t>2</m:t>
                  </m:r>
                </m:sup>
              </m:sSubSup>
              <m:sSubSup>
                <m:sSubSupPr>
                  <m:ctrlPr>
                    <w:rPr>
                      <w:rFonts w:ascii="Cambria Math" w:hAnsi="Cambria Math" w:cs="Times New Roman"/>
                      <w:i/>
                    </w:rPr>
                  </m:ctrlPr>
                </m:sSubSupPr>
                <m:e>
                  <m:r>
                    <m:rPr>
                      <m:sty m:val="p"/>
                    </m:rPr>
                    <w:rPr>
                      <w:rFonts w:ascii="Cambria Math" w:hAnsi="Cambria Math" w:cs="Times New Roman"/>
                    </w:rPr>
                    <m:t>μ</m:t>
                  </m:r>
                  <m:ctrlPr>
                    <w:rPr>
                      <w:rFonts w:ascii="Cambria Math" w:hAnsi="Cambria Math" w:cs="Times New Roman"/>
                    </w:rPr>
                  </m:ctrlPr>
                </m:e>
                <m:sub>
                  <m:r>
                    <w:rPr>
                      <w:rFonts w:ascii="Cambria Math" w:hAnsi="Cambria Math" w:cs="Times New Roman"/>
                    </w:rPr>
                    <m:t>r</m:t>
                  </m:r>
                </m:sub>
                <m:sup>
                  <m:r>
                    <w:rPr>
                      <w:rFonts w:ascii="Cambria Math" w:hAnsi="Cambria Math" w:cs="Times New Roman"/>
                    </w:rPr>
                    <m:t>2</m:t>
                  </m:r>
                </m:sup>
              </m:sSubSup>
            </m:e>
          </m:d>
        </m:oMath>
      </m:oMathPara>
    </w:p>
    <w:p w14:paraId="120529FC"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Then a corresponding z-score can be calculated,</w:t>
      </w:r>
    </w:p>
    <w:p w14:paraId="6B285786"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m:rPr>
                  <m:nor/>
                </m:rPr>
                <w:rPr>
                  <w:rFonts w:ascii="Times New Roman" w:hAnsi="Times New Roman" w:cs="Times New Roman"/>
                  <w:iCs/>
                </w:rPr>
                <m:t>z</m:t>
              </m:r>
              <m:ctrlPr>
                <w:rPr>
                  <w:rFonts w:ascii="Cambria Math" w:hAnsi="Cambria Math" w:cs="Times New Roman"/>
                  <w:iCs/>
                </w:rPr>
              </m:ctrlPr>
            </m:e>
            <m:sub>
              <m:r>
                <w:rPr>
                  <w:rFonts w:ascii="Cambria Math" w:hAnsi="Cambria Math" w:cs="Times New Roman"/>
                </w:rPr>
                <m:t>lr</m:t>
              </m:r>
            </m:sub>
          </m:sSub>
          <m:r>
            <w:rPr>
              <w:rFonts w:ascii="Cambria Math" w:hAnsi="Cambria Math" w:cs="Times New Roman"/>
            </w:rPr>
            <m:t>=</m:t>
          </m:r>
          <m:f>
            <m:fPr>
              <m:ctrlPr>
                <w:rPr>
                  <w:rFonts w:ascii="Cambria Math" w:hAnsi="Cambria Math" w:cs="Times New Roman"/>
                  <w:iCs/>
                </w:rPr>
              </m:ctrlPr>
            </m:fPr>
            <m:num>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lr</m:t>
                  </m:r>
                </m:sub>
              </m:sSub>
              <m:r>
                <w:rPr>
                  <w:rFonts w:ascii="Cambria Math" w:hAnsi="Cambria Math" w:cs="Times New Roman"/>
                </w:rPr>
                <m:t>-1</m:t>
              </m:r>
              <m:ctrlPr>
                <w:rPr>
                  <w:rFonts w:ascii="Cambria Math" w:hAnsi="Cambria Math" w:cs="Times New Roman"/>
                  <w:i/>
                  <w:iCs/>
                </w:rPr>
              </m:ctrlPr>
            </m:num>
            <m:den>
              <m:rad>
                <m:radPr>
                  <m:degHide m:val="1"/>
                  <m:ctrlPr>
                    <w:rPr>
                      <w:rFonts w:ascii="Cambria Math" w:hAnsi="Cambria Math" w:cs="Times New Roman"/>
                      <w:iCs/>
                    </w:rPr>
                  </m:ctrlPr>
                </m:radPr>
                <m:deg/>
                <m:e>
                  <m:r>
                    <m:rPr>
                      <m:nor/>
                    </m:rPr>
                    <w:rPr>
                      <w:rFonts w:ascii="Times New Roman" w:hAnsi="Times New Roman" w:cs="Times New Roman"/>
                      <w:iCs/>
                    </w:rPr>
                    <m:t>Var</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lr</m:t>
                          </m:r>
                        </m:sub>
                      </m:sSub>
                    </m:e>
                  </m:d>
                </m:e>
              </m:rad>
              <m:ctrlPr>
                <w:rPr>
                  <w:rFonts w:ascii="Cambria Math" w:hAnsi="Cambria Math" w:cs="Times New Roman"/>
                  <w:i/>
                  <w:iCs/>
                </w:rPr>
              </m:ctrlPr>
            </m:den>
          </m:f>
        </m:oMath>
      </m:oMathPara>
    </w:p>
    <w:p w14:paraId="05B2AB9D"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lr</m:t>
              </m:r>
            </m:sub>
          </m:sSub>
          <m:r>
            <m:rPr>
              <m:sty m:val="p"/>
            </m:rPr>
            <w:rPr>
              <w:rFonts w:ascii="Cambria Math" w:hAnsi="Cambria Math" w:cs="Times New Roman"/>
            </w:rPr>
            <m:t>∼</m:t>
          </m:r>
          <m:r>
            <m:rPr>
              <m:scr m:val="script"/>
            </m:rPr>
            <w:rPr>
              <w:rFonts w:ascii="Cambria Math" w:hAnsi="Cambria Math" w:cs="Times New Roman"/>
            </w:rPr>
            <m:t>N</m:t>
          </m:r>
          <m:d>
            <m:dPr>
              <m:ctrlPr>
                <w:rPr>
                  <w:rFonts w:ascii="Cambria Math" w:hAnsi="Cambria Math" w:cs="Times New Roman"/>
                  <w:i/>
                  <w:iCs/>
                </w:rPr>
              </m:ctrlPr>
            </m:dPr>
            <m:e>
              <m:r>
                <w:rPr>
                  <w:rFonts w:ascii="Cambria Math" w:hAnsi="Cambria Math" w:cs="Times New Roman"/>
                </w:rPr>
                <m:t>0,1</m:t>
              </m:r>
            </m:e>
          </m:d>
        </m:oMath>
      </m:oMathPara>
    </w:p>
    <w:p w14:paraId="326E6A4C"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The co-enrichment score p-value can be obtained under a standard normal distribution from the z-score.</w:t>
      </w:r>
    </w:p>
    <w:p w14:paraId="50F0AB4B"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SIGMOD extended the concept of graph density to calculate regional specificity. First, the entire dataset is divided into distinct regions. If annotated spatial domains are available, the division can be based on these predefined annotations, with boundary areas between different domains treated as additional separate regions. If no annotated domains are available, regions are defined using a sliding square window with a side length of </w:t>
      </w:r>
      <m:oMath>
        <m:sSub>
          <m:sSubPr>
            <m:ctrlPr>
              <w:rPr>
                <w:rFonts w:ascii="Cambria Math" w:hAnsi="Cambria Math" w:cs="Times New Roman"/>
                <w:iCs/>
              </w:rPr>
            </m:ctrlPr>
          </m:sSubPr>
          <m:e>
            <m:r>
              <w:rPr>
                <w:rFonts w:ascii="Cambria Math" w:hAnsi="Cambria Math" w:cs="Times New Roman"/>
              </w:rPr>
              <m:t>l</m:t>
            </m:r>
          </m:e>
          <m:sub>
            <m:r>
              <w:rPr>
                <w:rFonts w:ascii="Cambria Math" w:hAnsi="Cambria Math" w:cs="Times New Roman"/>
              </w:rPr>
              <m:t>w</m:t>
            </m:r>
          </m:sub>
        </m:sSub>
      </m:oMath>
      <w:r w:rsidRPr="00CB5EF4">
        <w:rPr>
          <w:rFonts w:ascii="Times New Roman" w:hAnsi="Times New Roman" w:cs="Times New Roman"/>
          <w:iCs/>
        </w:rPr>
        <w:t xml:space="preserve"> and an overlap of </w:t>
      </w:r>
      <m:oMath>
        <m:sSub>
          <m:sSubPr>
            <m:ctrlPr>
              <w:rPr>
                <w:rFonts w:ascii="Cambria Math" w:hAnsi="Cambria Math" w:cs="Times New Roman"/>
                <w:iCs/>
              </w:rPr>
            </m:ctrlPr>
          </m:sSubPr>
          <m:e>
            <m:r>
              <w:rPr>
                <w:rFonts w:ascii="Cambria Math" w:hAnsi="Cambria Math" w:cs="Times New Roman"/>
              </w:rPr>
              <m:t>l</m:t>
            </m:r>
          </m:e>
          <m:sub>
            <m:r>
              <w:rPr>
                <w:rFonts w:ascii="Cambria Math" w:hAnsi="Cambria Math" w:cs="Times New Roman"/>
              </w:rPr>
              <m:t>o</m:t>
            </m:r>
          </m:sub>
        </m:sSub>
      </m:oMath>
      <w:r w:rsidRPr="00CB5EF4">
        <w:rPr>
          <w:rFonts w:ascii="Times New Roman" w:hAnsi="Times New Roman" w:cs="Times New Roman"/>
          <w:iCs/>
        </w:rPr>
        <w:t xml:space="preserve">. The density of each region </w:t>
      </w:r>
      <m:oMath>
        <m:sSubSup>
          <m:sSubSupPr>
            <m:ctrlPr>
              <w:rPr>
                <w:rFonts w:ascii="Cambria Math" w:hAnsi="Cambria Math" w:cs="Times New Roman"/>
                <w:iCs/>
              </w:rPr>
            </m:ctrlPr>
          </m:sSubSupPr>
          <m:e>
            <m:r>
              <w:rPr>
                <w:rFonts w:ascii="Cambria Math" w:hAnsi="Cambria Math" w:cs="Times New Roman"/>
              </w:rPr>
              <m:t>D</m:t>
            </m:r>
          </m:e>
          <m:sub>
            <m:r>
              <w:rPr>
                <w:rFonts w:ascii="Cambria Math" w:hAnsi="Cambria Math" w:cs="Times New Roman"/>
              </w:rPr>
              <m:t>lr</m:t>
            </m:r>
          </m:sub>
          <m:sup>
            <m:r>
              <w:rPr>
                <w:rFonts w:ascii="Cambria Math" w:hAnsi="Cambria Math" w:cs="Times New Roman"/>
              </w:rPr>
              <m:t>R</m:t>
            </m:r>
          </m:sup>
        </m:sSubSup>
      </m:oMath>
      <w:r w:rsidRPr="00CB5EF4">
        <w:rPr>
          <w:rFonts w:ascii="Times New Roman" w:hAnsi="Times New Roman" w:cs="Times New Roman"/>
          <w:iCs/>
        </w:rPr>
        <w:t xml:space="preserve"> is,</w:t>
      </w:r>
    </w:p>
    <w:p w14:paraId="3BE8333D" w14:textId="77777777" w:rsidR="00CB5EF4" w:rsidRPr="00CB5EF4" w:rsidRDefault="008E5812" w:rsidP="00CB5EF4">
      <w:pPr>
        <w:rPr>
          <w:rFonts w:ascii="Times New Roman" w:hAnsi="Times New Roman" w:cs="Times New Roman"/>
          <w:iCs/>
        </w:rPr>
      </w:pPr>
      <m:oMathPara>
        <m:oMath>
          <m:sSubSup>
            <m:sSubSupPr>
              <m:ctrlPr>
                <w:rPr>
                  <w:rFonts w:ascii="Cambria Math" w:hAnsi="Cambria Math" w:cs="Times New Roman"/>
                  <w:i/>
                  <w:iCs/>
                </w:rPr>
              </m:ctrlPr>
            </m:sSubSupPr>
            <m:e>
              <m:r>
                <w:rPr>
                  <w:rFonts w:ascii="Cambria Math" w:hAnsi="Cambria Math" w:cs="Times New Roman"/>
                </w:rPr>
                <m:t>D</m:t>
              </m:r>
            </m:e>
            <m:sub>
              <m:r>
                <w:rPr>
                  <w:rFonts w:ascii="Cambria Math" w:hAnsi="Cambria Math" w:cs="Times New Roman"/>
                </w:rPr>
                <m:t>lr</m:t>
              </m:r>
            </m:sub>
            <m:sup>
              <m:r>
                <w:rPr>
                  <w:rFonts w:ascii="Cambria Math" w:hAnsi="Cambria Math" w:cs="Times New Roman"/>
                </w:rPr>
                <m:t>R</m:t>
              </m:r>
            </m:sup>
          </m:sSubSup>
          <m:r>
            <w:rPr>
              <w:rFonts w:ascii="Cambria Math" w:hAnsi="Cambria Math" w:cs="Times New Roman"/>
            </w:rPr>
            <m:t>=</m:t>
          </m:r>
          <m:f>
            <m:fPr>
              <m:ctrlPr>
                <w:rPr>
                  <w:rFonts w:ascii="Cambria Math" w:hAnsi="Cambria Math" w:cs="Times New Roman"/>
                  <w:iCs/>
                </w:rPr>
              </m:ctrlPr>
            </m:fPr>
            <m:num>
              <m:sSubSup>
                <m:sSubSupPr>
                  <m:ctrlPr>
                    <w:rPr>
                      <w:rFonts w:ascii="Cambria Math" w:hAnsi="Cambria Math" w:cs="Times New Roman"/>
                      <w:i/>
                      <w:iCs/>
                    </w:rPr>
                  </m:ctrlPr>
                </m:sSubSupPr>
                <m:e>
                  <m:r>
                    <w:rPr>
                      <w:rFonts w:ascii="Cambria Math" w:hAnsi="Cambria Math" w:cs="Times New Roman"/>
                    </w:rPr>
                    <m:t>I</m:t>
                  </m:r>
                </m:e>
                <m:sub>
                  <m:r>
                    <w:rPr>
                      <w:rFonts w:ascii="Cambria Math" w:hAnsi="Cambria Math" w:cs="Times New Roman"/>
                    </w:rPr>
                    <m:t>lr</m:t>
                  </m:r>
                </m:sub>
                <m:sup>
                  <m:r>
                    <w:rPr>
                      <w:rFonts w:ascii="Cambria Math" w:hAnsi="Cambria Math" w:cs="Times New Roman"/>
                    </w:rPr>
                    <m:t>R</m:t>
                  </m:r>
                </m:sup>
              </m:sSubSup>
              <m:ctrlPr>
                <w:rPr>
                  <w:rFonts w:ascii="Cambria Math" w:hAnsi="Cambria Math" w:cs="Times New Roman"/>
                  <w:i/>
                  <w:iCs/>
                </w:rPr>
              </m:ctrlPr>
            </m:num>
            <m:den>
              <m:sSub>
                <m:sSubPr>
                  <m:ctrlPr>
                    <w:rPr>
                      <w:rFonts w:ascii="Cambria Math" w:hAnsi="Cambria Math" w:cs="Times New Roman"/>
                      <w:i/>
                      <w:iCs/>
                    </w:rPr>
                  </m:ctrlPr>
                </m:sSubPr>
                <m:e>
                  <m:r>
                    <w:rPr>
                      <w:rFonts w:ascii="Cambria Math" w:hAnsi="Cambria Math" w:cs="Times New Roman"/>
                    </w:rPr>
                    <m:t>n</m:t>
                  </m:r>
                  <m:ctrlPr>
                    <w:rPr>
                      <w:rFonts w:ascii="Cambria Math" w:hAnsi="Cambria Math" w:cs="Times New Roman"/>
                      <w:i/>
                    </w:rPr>
                  </m:ctrlPr>
                </m:e>
                <m:sub>
                  <m:r>
                    <w:rPr>
                      <w:rFonts w:ascii="Cambria Math" w:hAnsi="Cambria Math" w:cs="Times New Roman"/>
                    </w:rPr>
                    <m:t>R</m:t>
                  </m:r>
                </m:sub>
              </m:sSub>
              <m:r>
                <m:rPr>
                  <m:sty m:val="p"/>
                </m:rPr>
                <w:rPr>
                  <w:rFonts w:ascii="Cambria Math" w:hAnsi="Cambria Math" w:cs="Times New Roman"/>
                </w:rPr>
                <m:t>⋅</m:t>
              </m:r>
              <m:r>
                <w:rPr>
                  <w:rFonts w:ascii="Cambria Math" w:hAnsi="Cambria Math" w:cs="Times New Roman"/>
                </w:rPr>
                <m:t>neigh</m:t>
              </m:r>
              <m:ctrlPr>
                <w:rPr>
                  <w:rFonts w:ascii="Cambria Math" w:hAnsi="Cambria Math" w:cs="Times New Roman"/>
                  <w:i/>
                  <w:iCs/>
                </w:rPr>
              </m:ctrlPr>
            </m:den>
          </m:f>
        </m:oMath>
      </m:oMathPara>
    </w:p>
    <w:p w14:paraId="56028094" w14:textId="77777777" w:rsidR="00CB5EF4" w:rsidRPr="00CB5EF4" w:rsidRDefault="008E5812" w:rsidP="00CB5EF4">
      <w:pPr>
        <w:rPr>
          <w:rFonts w:ascii="Times New Roman" w:hAnsi="Times New Roman" w:cs="Times New Roman"/>
        </w:rPr>
      </w:pPr>
      <m:oMathPara>
        <m:oMath>
          <m:sSubSup>
            <m:sSubSupPr>
              <m:ctrlPr>
                <w:rPr>
                  <w:rFonts w:ascii="Cambria Math" w:hAnsi="Cambria Math" w:cs="Times New Roman"/>
                  <w:i/>
                  <w:iCs/>
                </w:rPr>
              </m:ctrlPr>
            </m:sSubSupPr>
            <m:e>
              <m:r>
                <w:rPr>
                  <w:rFonts w:ascii="Cambria Math" w:hAnsi="Cambria Math" w:cs="Times New Roman"/>
                </w:rPr>
                <m:t>I</m:t>
              </m:r>
            </m:e>
            <m:sub>
              <m:r>
                <w:rPr>
                  <w:rFonts w:ascii="Cambria Math" w:hAnsi="Cambria Math" w:cs="Times New Roman"/>
                </w:rPr>
                <m:t>lr</m:t>
              </m:r>
            </m:sub>
            <m:sup>
              <m:r>
                <w:rPr>
                  <w:rFonts w:ascii="Cambria Math" w:hAnsi="Cambria Math" w:cs="Times New Roman"/>
                </w:rPr>
                <m:t>R</m:t>
              </m:r>
            </m:sup>
          </m:sSubSup>
          <m:r>
            <w:rPr>
              <w:rFonts w:ascii="Cambria Math" w:hAnsi="Cambria Math" w:cs="Times New Roman"/>
            </w:rPr>
            <m:t>=</m:t>
          </m:r>
          <m:nary>
            <m:naryPr>
              <m:chr m:val="∑"/>
              <m:ctrlPr>
                <w:rPr>
                  <w:rFonts w:ascii="Cambria Math" w:hAnsi="Cambria Math" w:cs="Times New Roman"/>
                  <w:iCs/>
                </w:rPr>
              </m:ctrlPr>
            </m:naryPr>
            <m:sub>
              <m:r>
                <w:rPr>
                  <w:rFonts w:ascii="Cambria Math" w:hAnsi="Cambria Math" w:cs="Times New Roman"/>
                </w:rPr>
                <m:t>i=1</m:t>
              </m:r>
              <m:ctrlPr>
                <w:rPr>
                  <w:rFonts w:ascii="Cambria Math" w:hAnsi="Cambria Math" w:cs="Times New Roman"/>
                  <w:i/>
                  <w:iCs/>
                </w:rPr>
              </m:ctrlP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ctrlPr>
                <w:rPr>
                  <w:rFonts w:ascii="Cambria Math" w:hAnsi="Cambria Math" w:cs="Times New Roman"/>
                  <w:i/>
                  <w:iCs/>
                </w:rPr>
              </m:ctrlPr>
            </m:sup>
            <m:e>
              <m:nary>
                <m:naryPr>
                  <m:chr m:val="∑"/>
                  <m:ctrlPr>
                    <w:rPr>
                      <w:rFonts w:ascii="Cambria Math" w:hAnsi="Cambria Math" w:cs="Times New Roman"/>
                      <w:iCs/>
                    </w:rPr>
                  </m:ctrlPr>
                </m:naryPr>
                <m:sub>
                  <m:r>
                    <w:rPr>
                      <w:rFonts w:ascii="Cambria Math" w:hAnsi="Cambria Math" w:cs="Times New Roman"/>
                    </w:rPr>
                    <m:t>j=1</m:t>
                  </m:r>
                  <m:ctrlPr>
                    <w:rPr>
                      <w:rFonts w:ascii="Cambria Math" w:hAnsi="Cambria Math" w:cs="Times New Roman"/>
                      <w:i/>
                      <w:iCs/>
                    </w:rPr>
                  </m:ctrlPr>
                </m:sub>
                <m:sup>
                  <m:r>
                    <w:rPr>
                      <w:rFonts w:ascii="Cambria Math" w:hAnsi="Cambria Math" w:cs="Times New Roman"/>
                    </w:rPr>
                    <m:t>neig</m:t>
                  </m:r>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rPr>
                        <m:t>i</m:t>
                      </m:r>
                    </m:sub>
                  </m:sSub>
                  <m:ctrlPr>
                    <w:rPr>
                      <w:rFonts w:ascii="Cambria Math" w:hAnsi="Cambria Math" w:cs="Times New Roman"/>
                      <w:i/>
                      <w:iCs/>
                    </w:rPr>
                  </m:ctrlPr>
                </m:sup>
                <m:e>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ir</m:t>
                      </m:r>
                    </m:sub>
                  </m:sSub>
                  <m:ctrlPr>
                    <w:rPr>
                      <w:rFonts w:ascii="Cambria Math" w:hAnsi="Cambria Math" w:cs="Times New Roman"/>
                      <w:i/>
                      <w:iCs/>
                    </w:rPr>
                  </m:ctrlPr>
                </m:e>
              </m:nary>
            </m:e>
          </m:nary>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g</m:t>
              </m:r>
              <m:ctrlPr>
                <w:rPr>
                  <w:rFonts w:ascii="Cambria Math" w:hAnsi="Cambria Math" w:cs="Times New Roman"/>
                  <w:iCs/>
                </w:rPr>
              </m:ctrlPr>
            </m:e>
            <m:sub>
              <m:r>
                <w:rPr>
                  <w:rFonts w:ascii="Cambria Math" w:hAnsi="Cambria Math" w:cs="Times New Roman"/>
                </w:rPr>
                <m:t>jl</m:t>
              </m:r>
            </m:sub>
          </m:sSub>
          <m:r>
            <w:rPr>
              <w:rFonts w:ascii="Cambria Math" w:hAnsi="Cambria Math" w:cs="Times New Roman"/>
            </w:rPr>
            <m:t>&gt;0</m:t>
          </m:r>
        </m:oMath>
      </m:oMathPara>
    </w:p>
    <w:p w14:paraId="390B8A4E"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Where </w:t>
      </w:r>
      <m:oMath>
        <m:sSubSup>
          <m:sSubSupPr>
            <m:ctrlPr>
              <w:rPr>
                <w:rFonts w:ascii="Cambria Math" w:hAnsi="Cambria Math" w:cs="Times New Roman"/>
                <w:iCs/>
              </w:rPr>
            </m:ctrlPr>
          </m:sSubSupPr>
          <m:e>
            <m:r>
              <w:rPr>
                <w:rFonts w:ascii="Cambria Math" w:hAnsi="Cambria Math" w:cs="Times New Roman"/>
              </w:rPr>
              <m:t>I</m:t>
            </m:r>
          </m:e>
          <m:sub>
            <m:r>
              <w:rPr>
                <w:rFonts w:ascii="Cambria Math" w:hAnsi="Cambria Math" w:cs="Times New Roman"/>
              </w:rPr>
              <m:t>lr</m:t>
            </m:r>
          </m:sub>
          <m:sup>
            <m:r>
              <w:rPr>
                <w:rFonts w:ascii="Cambria Math" w:hAnsi="Cambria Math" w:cs="Times New Roman"/>
              </w:rPr>
              <m:t>R</m:t>
            </m:r>
          </m:sup>
        </m:sSubSup>
      </m:oMath>
      <w:r w:rsidRPr="00CB5EF4">
        <w:rPr>
          <w:rFonts w:ascii="Times New Roman" w:hAnsi="Times New Roman" w:cs="Times New Roman"/>
          <w:iCs/>
        </w:rPr>
        <w:t xml:space="preserve"> is the ligand-receptor interactions occurring within the region, </w:t>
      </w:r>
      <m:oMath>
        <m:sSub>
          <m:sSubPr>
            <m:ctrlPr>
              <w:rPr>
                <w:rFonts w:ascii="Cambria Math" w:hAnsi="Cambria Math" w:cs="Times New Roman"/>
                <w:iCs/>
              </w:rPr>
            </m:ctrlPr>
          </m:sSubPr>
          <m:e>
            <m:r>
              <w:rPr>
                <w:rFonts w:ascii="Cambria Math" w:hAnsi="Cambria Math" w:cs="Times New Roman"/>
              </w:rPr>
              <m:t>n</m:t>
            </m:r>
          </m:e>
          <m:sub>
            <m:r>
              <w:rPr>
                <w:rFonts w:ascii="Cambria Math" w:hAnsi="Cambria Math" w:cs="Times New Roman"/>
              </w:rPr>
              <m:t>R</m:t>
            </m:r>
          </m:sub>
        </m:sSub>
      </m:oMath>
      <w:r w:rsidRPr="00CB5EF4">
        <w:rPr>
          <w:rFonts w:ascii="Times New Roman" w:hAnsi="Times New Roman" w:cs="Times New Roman"/>
          <w:iCs/>
        </w:rPr>
        <w:t xml:space="preserve"> denotes the number of spots in the region, and </w:t>
      </w:r>
      <m:oMath>
        <m:r>
          <w:rPr>
            <w:rFonts w:ascii="Cambria Math" w:hAnsi="Cambria Math" w:cs="Times New Roman"/>
          </w:rPr>
          <m:t>neigh</m:t>
        </m:r>
      </m:oMath>
      <w:r w:rsidRPr="00CB5EF4">
        <w:rPr>
          <w:rFonts w:ascii="Times New Roman" w:hAnsi="Times New Roman" w:cs="Times New Roman"/>
          <w:iCs/>
        </w:rPr>
        <w:t xml:space="preserve"> indicates the mean number of nearest neighboring spots. The interaction frequency of each region </w:t>
      </w:r>
      <m:oMath>
        <m:sSubSup>
          <m:sSubSupPr>
            <m:ctrlPr>
              <w:rPr>
                <w:rFonts w:ascii="Cambria Math" w:hAnsi="Cambria Math" w:cs="Times New Roman"/>
                <w:iCs/>
              </w:rPr>
            </m:ctrlPr>
          </m:sSubSupPr>
          <m:e>
            <m:r>
              <w:rPr>
                <w:rFonts w:ascii="Cambria Math" w:hAnsi="Cambria Math" w:cs="Times New Roman"/>
              </w:rPr>
              <m:t>F</m:t>
            </m:r>
          </m:e>
          <m:sub>
            <m:r>
              <w:rPr>
                <w:rFonts w:ascii="Cambria Math" w:hAnsi="Cambria Math" w:cs="Times New Roman"/>
              </w:rPr>
              <m:t>lr</m:t>
            </m:r>
          </m:sub>
          <m:sup>
            <m:r>
              <w:rPr>
                <w:rFonts w:ascii="Cambria Math" w:hAnsi="Cambria Math" w:cs="Times New Roman"/>
              </w:rPr>
              <m:t>R</m:t>
            </m:r>
          </m:sup>
        </m:sSubSup>
      </m:oMath>
      <w:r w:rsidRPr="00CB5EF4">
        <w:rPr>
          <w:rFonts w:ascii="Times New Roman" w:hAnsi="Times New Roman" w:cs="Times New Roman"/>
          <w:iCs/>
        </w:rPr>
        <w:t xml:space="preserve"> is,</w:t>
      </w:r>
    </w:p>
    <w:p w14:paraId="0AC59254" w14:textId="77777777" w:rsidR="00CB5EF4" w:rsidRPr="00CB5EF4" w:rsidRDefault="008E5812" w:rsidP="00CB5EF4">
      <w:pPr>
        <w:rPr>
          <w:rFonts w:ascii="Times New Roman" w:hAnsi="Times New Roman" w:cs="Times New Roman"/>
          <w:iCs/>
        </w:rPr>
      </w:pPr>
      <m:oMathPara>
        <m:oMath>
          <m:sSubSup>
            <m:sSubSupPr>
              <m:ctrlPr>
                <w:rPr>
                  <w:rFonts w:ascii="Cambria Math" w:hAnsi="Cambria Math" w:cs="Times New Roman"/>
                  <w:i/>
                  <w:iCs/>
                </w:rPr>
              </m:ctrlPr>
            </m:sSubSupPr>
            <m:e>
              <m:r>
                <w:rPr>
                  <w:rFonts w:ascii="Cambria Math" w:hAnsi="Cambria Math" w:cs="Times New Roman"/>
                </w:rPr>
                <m:t>F</m:t>
              </m:r>
            </m:e>
            <m:sub>
              <m:r>
                <w:rPr>
                  <w:rFonts w:ascii="Cambria Math" w:hAnsi="Cambria Math" w:cs="Times New Roman"/>
                </w:rPr>
                <m:t>lr</m:t>
              </m:r>
            </m:sub>
            <m:sup>
              <m:r>
                <w:rPr>
                  <w:rFonts w:ascii="Cambria Math" w:hAnsi="Cambria Math" w:cs="Times New Roman"/>
                </w:rPr>
                <m:t>R</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D</m:t>
              </m:r>
            </m:e>
            <m:sub>
              <m:r>
                <w:rPr>
                  <w:rFonts w:ascii="Cambria Math" w:hAnsi="Cambria Math" w:cs="Times New Roman"/>
                </w:rPr>
                <m:t>lr</m:t>
              </m:r>
            </m:sub>
            <m:sup>
              <m:r>
                <w:rPr>
                  <w:rFonts w:ascii="Cambria Math" w:hAnsi="Cambria Math" w:cs="Times New Roman"/>
                </w:rPr>
                <m:t>R</m:t>
              </m:r>
            </m:sup>
          </m:sSubSup>
          <m:r>
            <m:rPr>
              <m:sty m:val="p"/>
            </m:rPr>
            <w:rPr>
              <w:rFonts w:ascii="Cambria Math" w:hAnsi="Cambria Math" w:cs="Times New Roman"/>
            </w:rPr>
            <m:t>⋅</m:t>
          </m:r>
          <m:sSubSup>
            <m:sSubSupPr>
              <m:ctrlPr>
                <w:rPr>
                  <w:rFonts w:ascii="Cambria Math" w:hAnsi="Cambria Math" w:cs="Times New Roman"/>
                  <w:i/>
                  <w:iCs/>
                </w:rPr>
              </m:ctrlPr>
            </m:sSubSupPr>
            <m:e>
              <m:r>
                <m:rPr>
                  <m:sty m:val="p"/>
                </m:rPr>
                <w:rPr>
                  <w:rFonts w:ascii="Cambria Math" w:hAnsi="Cambria Math" w:cs="Times New Roman"/>
                </w:rPr>
                <m:t>μ</m:t>
              </m:r>
              <m:ctrlPr>
                <w:rPr>
                  <w:rFonts w:ascii="Cambria Math" w:hAnsi="Cambria Math" w:cs="Times New Roman"/>
                  <w:iCs/>
                </w:rPr>
              </m:ctrlPr>
            </m:e>
            <m:sub>
              <m:r>
                <w:rPr>
                  <w:rFonts w:ascii="Cambria Math" w:hAnsi="Cambria Math" w:cs="Times New Roman"/>
                </w:rPr>
                <m:t>node</m:t>
              </m:r>
            </m:sub>
            <m:sup>
              <m:r>
                <w:rPr>
                  <w:rFonts w:ascii="Cambria Math" w:hAnsi="Cambria Math" w:cs="Times New Roman"/>
                </w:rPr>
                <m:t>R</m:t>
              </m:r>
            </m:sup>
          </m:sSubSup>
        </m:oMath>
      </m:oMathPara>
    </w:p>
    <w:p w14:paraId="588B58A3"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The regional specificity p-value can be calculated using a chi-square test based on the interaction frequencies observed across all regions. After identifying spatially variable ligand-receptor interactions, SIGMOD calculate the ligand-receptor interaction value for each spot using a Radial Basis Function (RBF) kernel,</w:t>
      </w:r>
    </w:p>
    <w:p w14:paraId="74D440ED"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w</m:t>
              </m:r>
            </m:e>
            <m:sub>
              <m:r>
                <w:rPr>
                  <w:rFonts w:ascii="Cambria Math" w:hAnsi="Cambria Math" w:cs="Times New Roman"/>
                </w:rPr>
                <m:t>ij</m:t>
              </m:r>
            </m:sub>
          </m:sSub>
          <m:r>
            <w:rPr>
              <w:rFonts w:ascii="Cambria Math" w:hAnsi="Cambria Math" w:cs="Times New Roman"/>
            </w:rPr>
            <m:t>=exp</m:t>
          </m:r>
          <m:d>
            <m:dPr>
              <m:ctrlPr>
                <w:rPr>
                  <w:rFonts w:ascii="Cambria Math" w:hAnsi="Cambria Math" w:cs="Times New Roman"/>
                  <w:i/>
                  <w:iCs/>
                </w:rPr>
              </m:ctrlPr>
            </m:dPr>
            <m:e>
              <m:r>
                <w:rPr>
                  <w:rFonts w:ascii="Cambria Math" w:hAnsi="Cambria Math" w:cs="Times New Roman"/>
                </w:rPr>
                <m:t>-</m:t>
              </m:r>
              <m:f>
                <m:fPr>
                  <m:ctrlPr>
                    <w:rPr>
                      <w:rFonts w:ascii="Cambria Math" w:hAnsi="Cambria Math" w:cs="Times New Roman"/>
                      <w:iCs/>
                    </w:rPr>
                  </m:ctrlPr>
                </m:fPr>
                <m:num>
                  <m:sSubSup>
                    <m:sSubSupPr>
                      <m:ctrlPr>
                        <w:rPr>
                          <w:rFonts w:ascii="Cambria Math" w:hAnsi="Cambria Math" w:cs="Times New Roman"/>
                          <w:i/>
                          <w:iCs/>
                        </w:rPr>
                      </m:ctrlPr>
                    </m:sSubSupPr>
                    <m:e>
                      <m:r>
                        <w:rPr>
                          <w:rFonts w:ascii="Cambria Math" w:hAnsi="Cambria Math" w:cs="Times New Roman"/>
                        </w:rPr>
                        <m:t>d</m:t>
                      </m:r>
                    </m:e>
                    <m:sub>
                      <m:r>
                        <w:rPr>
                          <w:rFonts w:ascii="Cambria Math" w:hAnsi="Cambria Math" w:cs="Times New Roman"/>
                        </w:rPr>
                        <m:t>ij</m:t>
                      </m:r>
                    </m:sub>
                    <m:sup>
                      <m:r>
                        <w:rPr>
                          <w:rFonts w:ascii="Cambria Math" w:hAnsi="Cambria Math" w:cs="Times New Roman"/>
                        </w:rPr>
                        <m:t>2</m:t>
                      </m:r>
                    </m:sup>
                  </m:sSubSup>
                  <m:ctrlPr>
                    <w:rPr>
                      <w:rFonts w:ascii="Cambria Math" w:hAnsi="Cambria Math" w:cs="Times New Roman"/>
                      <w:i/>
                      <w:iCs/>
                    </w:rPr>
                  </m:ctrlPr>
                </m:num>
                <m:den>
                  <m:r>
                    <w:rPr>
                      <w:rFonts w:ascii="Cambria Math" w:hAnsi="Cambria Math" w:cs="Times New Roman"/>
                    </w:rPr>
                    <m:t>2</m:t>
                  </m:r>
                  <m:sSup>
                    <m:sSupPr>
                      <m:ctrlPr>
                        <w:rPr>
                          <w:rFonts w:ascii="Cambria Math" w:hAnsi="Cambria Math" w:cs="Times New Roman"/>
                          <w:i/>
                          <w:iCs/>
                        </w:rPr>
                      </m:ctrlPr>
                    </m:sSupPr>
                    <m:e>
                      <m:r>
                        <w:rPr>
                          <w:rFonts w:ascii="Cambria Math" w:hAnsi="Cambria Math" w:cs="Times New Roman"/>
                        </w:rPr>
                        <m:t>l</m:t>
                      </m:r>
                    </m:e>
                    <m:sup>
                      <m:r>
                        <w:rPr>
                          <w:rFonts w:ascii="Cambria Math" w:hAnsi="Cambria Math" w:cs="Times New Roman"/>
                        </w:rPr>
                        <m:t>2</m:t>
                      </m:r>
                    </m:sup>
                  </m:sSup>
                  <m:ctrlPr>
                    <w:rPr>
                      <w:rFonts w:ascii="Cambria Math" w:hAnsi="Cambria Math" w:cs="Times New Roman"/>
                      <w:i/>
                      <w:iCs/>
                    </w:rPr>
                  </m:ctrlPr>
                </m:den>
              </m:f>
            </m:e>
          </m:d>
        </m:oMath>
      </m:oMathPara>
    </w:p>
    <w:p w14:paraId="0DCBAA87" w14:textId="77777777" w:rsidR="00CB5EF4" w:rsidRPr="00CB5EF4" w:rsidRDefault="008E5812" w:rsidP="00CB5EF4">
      <w:pPr>
        <w:rPr>
          <w:rFonts w:ascii="Times New Roman" w:hAnsi="Times New Roman" w:cs="Times New Roman"/>
          <w:iCs/>
        </w:rPr>
      </w:pPr>
      <m:oMathPara>
        <m:oMath>
          <m:sSubSup>
            <m:sSubSupPr>
              <m:ctrlPr>
                <w:rPr>
                  <w:rFonts w:ascii="Cambria Math" w:hAnsi="Cambria Math" w:cs="Times New Roman"/>
                  <w:i/>
                  <w:iCs/>
                </w:rPr>
              </m:ctrlPr>
            </m:sSubSupPr>
            <m:e>
              <m:r>
                <w:rPr>
                  <w:rFonts w:ascii="Cambria Math" w:hAnsi="Cambria Math" w:cs="Times New Roman"/>
                </w:rPr>
                <m:t>g</m:t>
              </m:r>
            </m:e>
            <m:sub>
              <m:r>
                <w:rPr>
                  <w:rFonts w:ascii="Cambria Math" w:hAnsi="Cambria Math" w:cs="Times New Roman"/>
                </w:rPr>
                <m:t>il</m:t>
              </m:r>
            </m:sub>
            <m:sup>
              <m:r>
                <w:rPr>
                  <w:rFonts w:ascii="Cambria Math" w:hAnsi="Cambria Math" w:cs="Times New Roman"/>
                </w:rPr>
                <m:t>'</m:t>
              </m:r>
            </m:sup>
          </m:sSubSup>
          <m:r>
            <w:rPr>
              <w:rFonts w:ascii="Cambria Math" w:hAnsi="Cambria Math" w:cs="Times New Roman"/>
            </w:rPr>
            <m:t>=</m:t>
          </m:r>
          <m:nary>
            <m:naryPr>
              <m:chr m:val="∑"/>
              <m:ctrlPr>
                <w:rPr>
                  <w:rFonts w:ascii="Cambria Math" w:hAnsi="Cambria Math" w:cs="Times New Roman"/>
                  <w:iCs/>
                </w:rPr>
              </m:ctrlPr>
            </m:naryPr>
            <m:sub>
              <m:r>
                <w:rPr>
                  <w:rFonts w:ascii="Cambria Math" w:hAnsi="Cambria Math" w:cs="Times New Roman"/>
                </w:rPr>
                <m:t>j=1</m:t>
              </m:r>
              <m:ctrlPr>
                <w:rPr>
                  <w:rFonts w:ascii="Cambria Math" w:hAnsi="Cambria Math" w:cs="Times New Roman"/>
                  <w:i/>
                  <w:iCs/>
                </w:rPr>
              </m:ctrlP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ctrlPr>
                <w:rPr>
                  <w:rFonts w:ascii="Cambria Math" w:hAnsi="Cambria Math" w:cs="Times New Roman"/>
                  <w:i/>
                  <w:iCs/>
                </w:rPr>
              </m:ctrlPr>
            </m:sup>
            <m:e>
              <m:sSub>
                <m:sSubPr>
                  <m:ctrlPr>
                    <w:rPr>
                      <w:rFonts w:ascii="Cambria Math" w:hAnsi="Cambria Math" w:cs="Times New Roman"/>
                      <w:i/>
                      <w:iCs/>
                    </w:rPr>
                  </m:ctrlPr>
                </m:sSubPr>
                <m:e>
                  <m:r>
                    <w:rPr>
                      <w:rFonts w:ascii="Cambria Math" w:hAnsi="Cambria Math" w:cs="Times New Roman"/>
                    </w:rPr>
                    <m:t>w</m:t>
                  </m:r>
                </m:e>
                <m:sub>
                  <m:r>
                    <w:rPr>
                      <w:rFonts w:ascii="Cambria Math" w:hAnsi="Cambria Math" w:cs="Times New Roman"/>
                    </w:rPr>
                    <m:t>ij</m:t>
                  </m:r>
                </m:sub>
              </m:sSub>
              <m:ctrlPr>
                <w:rPr>
                  <w:rFonts w:ascii="Cambria Math" w:hAnsi="Cambria Math" w:cs="Times New Roman"/>
                  <w:i/>
                  <w:iCs/>
                </w:rPr>
              </m:ctrlPr>
            </m:e>
          </m:nary>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g</m:t>
              </m:r>
              <m:ctrlPr>
                <w:rPr>
                  <w:rFonts w:ascii="Cambria Math" w:hAnsi="Cambria Math" w:cs="Times New Roman"/>
                  <w:iCs/>
                </w:rPr>
              </m:ctrlPr>
            </m:e>
            <m:sub>
              <m:r>
                <w:rPr>
                  <w:rFonts w:ascii="Cambria Math" w:hAnsi="Cambria Math" w:cs="Times New Roman"/>
                </w:rPr>
                <m:t>jl</m:t>
              </m:r>
            </m:sub>
          </m:sSub>
        </m:oMath>
      </m:oMathPara>
    </w:p>
    <w:p w14:paraId="5959BC35"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i,  lr</m:t>
              </m:r>
            </m:sub>
          </m:sSub>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g</m:t>
              </m:r>
            </m:e>
            <m:sub>
              <m:r>
                <w:rPr>
                  <w:rFonts w:ascii="Cambria Math" w:hAnsi="Cambria Math" w:cs="Times New Roman"/>
                </w:rPr>
                <m:t>il</m:t>
              </m:r>
            </m:sub>
            <m:sup>
              <m:r>
                <w:rPr>
                  <w:rFonts w:ascii="Cambria Math" w:hAnsi="Cambria Math" w:cs="Times New Roman"/>
                </w:rPr>
                <m:t>'</m:t>
              </m:r>
            </m:sup>
          </m:sSubSup>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g</m:t>
              </m:r>
              <m:ctrlPr>
                <w:rPr>
                  <w:rFonts w:ascii="Cambria Math" w:hAnsi="Cambria Math" w:cs="Times New Roman"/>
                  <w:iCs/>
                </w:rPr>
              </m:ctrlPr>
            </m:e>
            <m:sub>
              <m:r>
                <w:rPr>
                  <w:rFonts w:ascii="Cambria Math" w:hAnsi="Cambria Math" w:cs="Times New Roman"/>
                </w:rPr>
                <m:t>ir</m:t>
              </m:r>
            </m:sub>
          </m:sSub>
        </m:oMath>
      </m:oMathPara>
    </w:p>
    <w:p w14:paraId="62961BD0"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Where </w:t>
      </w:r>
      <m:oMath>
        <m:sSub>
          <m:sSubPr>
            <m:ctrlPr>
              <w:rPr>
                <w:rFonts w:ascii="Cambria Math" w:hAnsi="Cambria Math" w:cs="Times New Roman"/>
                <w:iCs/>
              </w:rPr>
            </m:ctrlPr>
          </m:sSubPr>
          <m:e>
            <m:r>
              <w:rPr>
                <w:rFonts w:ascii="Cambria Math" w:hAnsi="Cambria Math" w:cs="Times New Roman"/>
              </w:rPr>
              <m:t>d</m:t>
            </m:r>
          </m:e>
          <m:sub>
            <m:r>
              <w:rPr>
                <w:rFonts w:ascii="Cambria Math" w:hAnsi="Cambria Math" w:cs="Times New Roman"/>
              </w:rPr>
              <m:t>ij</m:t>
            </m:r>
          </m:sub>
        </m:sSub>
      </m:oMath>
      <w:r w:rsidRPr="00CB5EF4">
        <w:rPr>
          <w:rFonts w:ascii="Times New Roman" w:hAnsi="Times New Roman" w:cs="Times New Roman"/>
          <w:iCs/>
        </w:rPr>
        <w:t xml:space="preserve"> is the geographical distance between spot </w:t>
      </w:r>
      <m:oMath>
        <m:r>
          <w:rPr>
            <w:rFonts w:ascii="Cambria Math" w:hAnsi="Cambria Math" w:cs="Times New Roman"/>
          </w:rPr>
          <m:t>i</m:t>
        </m:r>
      </m:oMath>
      <w:r w:rsidRPr="00CB5EF4">
        <w:rPr>
          <w:rFonts w:ascii="Times New Roman" w:hAnsi="Times New Roman" w:cs="Times New Roman"/>
          <w:iCs/>
        </w:rPr>
        <w:t xml:space="preserve"> and </w:t>
      </w:r>
      <m:oMath>
        <m:r>
          <w:rPr>
            <w:rFonts w:ascii="Cambria Math" w:hAnsi="Cambria Math" w:cs="Times New Roman"/>
          </w:rPr>
          <m:t>j</m:t>
        </m:r>
      </m:oMath>
      <w:r w:rsidRPr="00CB5EF4">
        <w:rPr>
          <w:rFonts w:ascii="Times New Roman" w:hAnsi="Times New Roman" w:cs="Times New Roman"/>
          <w:iCs/>
        </w:rPr>
        <w:t xml:space="preserve"> (i.e., Ecuclidean distance on spatial coordinates). </w:t>
      </w:r>
      <m:oMath>
        <m:r>
          <w:rPr>
            <w:rFonts w:ascii="Cambria Math" w:hAnsi="Cambria Math" w:cs="Times New Roman"/>
          </w:rPr>
          <m:t>l</m:t>
        </m:r>
      </m:oMath>
      <w:r w:rsidRPr="00CB5EF4">
        <w:rPr>
          <w:rFonts w:ascii="Times New Roman" w:hAnsi="Times New Roman" w:cs="Times New Roman"/>
          <w:iCs/>
        </w:rPr>
        <w:t xml:space="preserve"> is the scale factor in the RBF kernel that can be set to different values for long or short-distance signaling separately. After obtaining the ligand-receptor interaction score for each spot, SIGMOD normalizes each pair of interaction scores to between 0 and 1 along the spot, and then applies Non-Negative Matrix Factorization (NMF) to aggregate ligand-receptr interactions to niche information X, </w:t>
      </w:r>
    </w:p>
    <w:p w14:paraId="33B5DD3E"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i,  lr</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im</m:t>
              </m:r>
            </m:sub>
          </m:sSub>
          <m:r>
            <m:rPr>
              <m:sty m:val="p"/>
            </m:rP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H</m:t>
              </m:r>
              <m:ctrlPr>
                <w:rPr>
                  <w:rFonts w:ascii="Cambria Math" w:hAnsi="Cambria Math" w:cs="Times New Roman"/>
                  <w:iCs/>
                </w:rPr>
              </m:ctrlPr>
            </m:e>
            <m:sub>
              <m:r>
                <w:rPr>
                  <w:rFonts w:ascii="Cambria Math" w:hAnsi="Cambria Math" w:cs="Times New Roman"/>
                </w:rPr>
                <m:t>m,lr</m:t>
              </m:r>
            </m:sub>
          </m:sSub>
        </m:oMath>
      </m:oMathPara>
    </w:p>
    <w:p w14:paraId="105C846D" w14:textId="38BB8439"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where </w:t>
      </w:r>
      <m:oMath>
        <m:sSub>
          <m:sSubPr>
            <m:ctrlPr>
              <w:rPr>
                <w:rFonts w:ascii="Cambria Math" w:hAnsi="Cambria Math" w:cs="Times New Roman"/>
                <w:iCs/>
              </w:rPr>
            </m:ctrlPr>
          </m:sSubPr>
          <m:e>
            <m:r>
              <w:rPr>
                <w:rFonts w:ascii="Cambria Math" w:hAnsi="Cambria Math" w:cs="Times New Roman"/>
              </w:rPr>
              <m:t>X</m:t>
            </m:r>
          </m:e>
          <m:sub>
            <m:r>
              <w:rPr>
                <w:rFonts w:ascii="Cambria Math" w:hAnsi="Cambria Math" w:cs="Times New Roman"/>
              </w:rPr>
              <m:t>im</m:t>
            </m:r>
          </m:sub>
        </m:sSub>
      </m:oMath>
      <w:r w:rsidRPr="00CB5EF4">
        <w:rPr>
          <w:rFonts w:ascii="Times New Roman" w:hAnsi="Times New Roman" w:cs="Times New Roman"/>
          <w:iCs/>
        </w:rPr>
        <w:t xml:space="preserve"> stands for weight of niche </w:t>
      </w:r>
      <m:oMath>
        <m:r>
          <w:rPr>
            <w:rFonts w:ascii="Cambria Math" w:hAnsi="Cambria Math" w:cs="Times New Roman"/>
          </w:rPr>
          <m:t>m</m:t>
        </m:r>
      </m:oMath>
      <w:r w:rsidRPr="00CB5EF4">
        <w:rPr>
          <w:rFonts w:ascii="Times New Roman" w:hAnsi="Times New Roman" w:cs="Times New Roman"/>
          <w:iCs/>
        </w:rPr>
        <w:t xml:space="preserve"> in spot </w:t>
      </w:r>
      <m:oMath>
        <m:r>
          <w:rPr>
            <w:rFonts w:ascii="Cambria Math" w:hAnsi="Cambria Math" w:cs="Times New Roman"/>
          </w:rPr>
          <m:t>i</m:t>
        </m:r>
      </m:oMath>
      <w:r w:rsidRPr="00CB5EF4">
        <w:rPr>
          <w:rFonts w:ascii="Times New Roman" w:hAnsi="Times New Roman" w:cs="Times New Roman"/>
          <w:iCs/>
        </w:rPr>
        <w:t xml:space="preserve">, </w:t>
      </w:r>
      <m:oMath>
        <m:sSub>
          <m:sSubPr>
            <m:ctrlPr>
              <w:rPr>
                <w:rFonts w:ascii="Cambria Math" w:hAnsi="Cambria Math" w:cs="Times New Roman"/>
                <w:iCs/>
              </w:rPr>
            </m:ctrlPr>
          </m:sSubPr>
          <m:e>
            <m:r>
              <w:rPr>
                <w:rFonts w:ascii="Cambria Math" w:hAnsi="Cambria Math" w:cs="Times New Roman"/>
              </w:rPr>
              <m:t>H</m:t>
            </m:r>
          </m:e>
          <m:sub>
            <m:r>
              <w:rPr>
                <w:rFonts w:ascii="Cambria Math" w:hAnsi="Cambria Math" w:cs="Times New Roman"/>
              </w:rPr>
              <m:t>m</m:t>
            </m:r>
            <m:r>
              <m:rPr>
                <m:sty m:val="p"/>
              </m:rPr>
              <w:rPr>
                <w:rFonts w:ascii="Cambria Math" w:hAnsi="Cambria Math" w:cs="Times New Roman"/>
              </w:rPr>
              <m:t>,</m:t>
            </m:r>
            <m:r>
              <w:rPr>
                <w:rFonts w:ascii="Cambria Math" w:hAnsi="Cambria Math" w:cs="Times New Roman"/>
              </w:rPr>
              <m:t>lr</m:t>
            </m:r>
          </m:sub>
        </m:sSub>
      </m:oMath>
      <w:r w:rsidRPr="00CB5EF4">
        <w:rPr>
          <w:rFonts w:ascii="Times New Roman" w:hAnsi="Times New Roman" w:cs="Times New Roman"/>
          <w:iCs/>
        </w:rPr>
        <w:t xml:space="preserve"> denotes weight of interaction </w:t>
      </w:r>
      <m:oMath>
        <m:r>
          <w:rPr>
            <w:rFonts w:ascii="Cambria Math" w:hAnsi="Cambria Math" w:cs="Times New Roman"/>
          </w:rPr>
          <m:t>lr</m:t>
        </m:r>
      </m:oMath>
      <w:r w:rsidRPr="00CB5EF4">
        <w:rPr>
          <w:rFonts w:ascii="Times New Roman" w:hAnsi="Times New Roman" w:cs="Times New Roman"/>
          <w:iCs/>
        </w:rPr>
        <w:t xml:space="preserve"> in </w:t>
      </w:r>
      <m:oMath>
        <m:r>
          <w:rPr>
            <w:rFonts w:ascii="Cambria Math" w:hAnsi="Cambria Math" w:cs="Times New Roman"/>
          </w:rPr>
          <m:t>m</m:t>
        </m:r>
      </m:oMath>
      <w:r w:rsidRPr="00CB5EF4">
        <w:rPr>
          <w:rFonts w:ascii="Times New Roman" w:hAnsi="Times New Roman" w:cs="Times New Roman"/>
          <w:iCs/>
        </w:rPr>
        <w:t xml:space="preserve"> niche. </w:t>
      </w:r>
    </w:p>
    <w:p w14:paraId="7DB62BD7"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Neighborhood cell enrichment</w:t>
      </w:r>
    </w:p>
    <w:p w14:paraId="50BCD18A"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SIGMOD can also represent spatial transcriptomics data with single-cell resolution, such as CODEX, CosMx, MERFISH, and IMC, as networks where cells are treated as nodes. These nodes are connected by edges if they are near each other. The network is constructed using Delaunay triangulation as implemented in Squidpy. Niche information </w:t>
      </w:r>
      <m:oMath>
        <m:r>
          <w:rPr>
            <w:rFonts w:ascii="Cambria Math" w:hAnsi="Cambria Math" w:cs="Times New Roman"/>
          </w:rPr>
          <m:t>X</m:t>
        </m:r>
      </m:oMath>
      <w:r w:rsidRPr="00CB5EF4">
        <w:rPr>
          <w:rFonts w:ascii="Times New Roman" w:hAnsi="Times New Roman" w:cs="Times New Roman"/>
          <w:iCs/>
        </w:rPr>
        <w:t xml:space="preserve"> is then derived by counting the number of distinct cell types neighboring each cell.</w:t>
      </w:r>
    </w:p>
    <w:p w14:paraId="76BF6D7A"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Neighborhood cell Ligand-Receptor Interactions</w:t>
      </w:r>
    </w:p>
    <w:p w14:paraId="28D7D310"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SIGMOD can also construct niche information </w:t>
      </w:r>
      <m:oMath>
        <m:r>
          <w:rPr>
            <w:rFonts w:ascii="Cambria Math" w:hAnsi="Cambria Math" w:cs="Times New Roman"/>
          </w:rPr>
          <m:t>X</m:t>
        </m:r>
      </m:oMath>
      <w:r w:rsidRPr="00CB5EF4">
        <w:rPr>
          <w:rFonts w:ascii="Times New Roman" w:hAnsi="Times New Roman" w:cs="Times New Roman"/>
          <w:iCs/>
        </w:rPr>
        <w:t xml:space="preserve"> based on ligand-receptor interactions between each cell and its neighboring cells. Building on the Delaunay triangulation network, ligand receptor interactions are calculated by multiplying the ligand expression of neighboring cells with the receptor expression of the target cell. The summed value for each specific ligand-receptor pair can be regarded as a niche feature for the cell.</w:t>
      </w:r>
    </w:p>
    <w:p w14:paraId="7AC8DC75"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In this study, niche information was constructed using different approaches for various datasets. For the PDAC (10X ST), AD (10X Visium) and CRC (10X Visium) datasets, spatially variable ligand-receptor interactions were used to define niche. The </w:t>
      </w:r>
      <w:r w:rsidRPr="00CB5EF4">
        <w:rPr>
          <w:rFonts w:ascii="Times New Roman" w:hAnsi="Times New Roman" w:cs="Times New Roman"/>
          <w:iCs/>
        </w:rPr>
        <w:lastRenderedPageBreak/>
        <w:t>LUAD (CosMx) dataset relied on neighboring cell enrichment to construct niche, while the BRCA (Xenium) dataset utilized neighboring cell ligand-receptor interactions for niche construction.</w:t>
      </w:r>
    </w:p>
    <w:p w14:paraId="06BE77EF" w14:textId="77777777" w:rsidR="00CB5EF4" w:rsidRPr="00CB5EF4" w:rsidRDefault="00CB5EF4" w:rsidP="00CB5EF4">
      <w:pPr>
        <w:spacing w:beforeLines="50" w:before="163" w:afterLines="50" w:after="163"/>
        <w:rPr>
          <w:rFonts w:ascii="Times New Roman" w:hAnsi="Times New Roman" w:cs="Times New Roman"/>
          <w:b/>
          <w:bCs/>
          <w:iCs/>
          <w:sz w:val="21"/>
          <w:szCs w:val="21"/>
        </w:rPr>
      </w:pPr>
      <w:r w:rsidRPr="00CB5EF4">
        <w:rPr>
          <w:rFonts w:ascii="Times New Roman" w:hAnsi="Times New Roman" w:cs="Times New Roman"/>
          <w:b/>
          <w:bCs/>
          <w:iCs/>
          <w:sz w:val="21"/>
          <w:szCs w:val="21"/>
        </w:rPr>
        <w:t>Gene modules discovery</w:t>
      </w:r>
    </w:p>
    <w:p w14:paraId="540BB004"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SIGMOD offers two module discovery modes: Reference Based and Reference Free. The former utilizes single-cell transcriptomics as a reference, corresponding to cell type-specific gene module or state-specific gene module respectively.</w:t>
      </w:r>
    </w:p>
    <w:p w14:paraId="5F6C5906"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Reference based gene modules discovery</w:t>
      </w:r>
    </w:p>
    <w:p w14:paraId="5AA037A2"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SIGMOD models the gene expression </w:t>
      </w:r>
      <m:oMath>
        <m:sSub>
          <m:sSubPr>
            <m:ctrlPr>
              <w:rPr>
                <w:rFonts w:ascii="Cambria Math" w:hAnsi="Cambria Math" w:cs="Times New Roman"/>
                <w:iCs/>
              </w:rPr>
            </m:ctrlPr>
          </m:sSubPr>
          <m:e>
            <m:r>
              <w:rPr>
                <w:rFonts w:ascii="Cambria Math" w:hAnsi="Cambria Math" w:cs="Times New Roman"/>
              </w:rPr>
              <m:t>g</m:t>
            </m:r>
          </m:e>
          <m:sub>
            <m:r>
              <w:rPr>
                <w:rFonts w:ascii="Cambria Math" w:hAnsi="Cambria Math" w:cs="Times New Roman"/>
              </w:rPr>
              <m:t>ig</m:t>
            </m:r>
          </m:sub>
        </m:sSub>
      </m:oMath>
      <w:r w:rsidRPr="00CB5EF4">
        <w:rPr>
          <w:rFonts w:ascii="Times New Roman" w:hAnsi="Times New Roman" w:cs="Times New Roman"/>
          <w:iCs/>
        </w:rPr>
        <w:t xml:space="preserve"> as a sample drawn from a Gamma Poisson distribution, </w:t>
      </w:r>
    </w:p>
    <w:p w14:paraId="4F8336BD"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ig</m:t>
              </m:r>
            </m:sub>
          </m:sSub>
          <m:r>
            <m:rPr>
              <m:sty m:val="p"/>
            </m:rPr>
            <w:rPr>
              <w:rFonts w:ascii="Cambria Math" w:hAnsi="Cambria Math" w:cs="Times New Roman"/>
            </w:rPr>
            <m:t>∼</m:t>
          </m:r>
          <m:r>
            <m:rPr>
              <m:nor/>
            </m:rPr>
            <w:rPr>
              <w:rFonts w:ascii="Times New Roman" w:hAnsi="Times New Roman" w:cs="Times New Roman"/>
              <w:iCs/>
            </w:rPr>
            <m:t>GammaPoisson(</m:t>
          </m:r>
          <m:sSub>
            <m:sSubPr>
              <m:ctrlPr>
                <w:rPr>
                  <w:rFonts w:ascii="Cambria Math" w:hAnsi="Cambria Math" w:cs="Times New Roman"/>
                  <w:i/>
                  <w:iCs/>
                </w:rPr>
              </m:ctrlPr>
            </m:sSubPr>
            <m:e>
              <m:r>
                <m:rPr>
                  <m:sty m:val="p"/>
                </m:rPr>
                <w:rPr>
                  <w:rFonts w:ascii="Cambria Math" w:hAnsi="Cambria Math" w:cs="Times New Roman"/>
                </w:rPr>
                <m:t>μ</m:t>
              </m:r>
            </m:e>
            <m:sub>
              <m:r>
                <w:rPr>
                  <w:rFonts w:ascii="Cambria Math" w:hAnsi="Cambria Math" w:cs="Times New Roman"/>
                </w:rPr>
                <m:t>ig</m:t>
              </m:r>
            </m:sub>
          </m:sSub>
          <m:r>
            <w:rPr>
              <w:rFonts w:ascii="Cambria Math" w:hAnsi="Cambria Math" w:cs="Times New Roman"/>
            </w:rPr>
            <m:t>,</m:t>
          </m:r>
          <m:sSub>
            <m:sSubPr>
              <m:ctrlPr>
                <w:rPr>
                  <w:rFonts w:ascii="Cambria Math" w:hAnsi="Cambria Math" w:cs="Times New Roman"/>
                  <w:i/>
                  <w:iCs/>
                </w:rPr>
              </m:ctrlPr>
            </m:sSubPr>
            <m:e>
              <m:r>
                <m:rPr>
                  <m:sty m:val="p"/>
                </m:rPr>
                <w:rPr>
                  <w:rFonts w:ascii="Cambria Math" w:hAnsi="Cambria Math" w:cs="Times New Roman"/>
                </w:rPr>
                <m:t>α</m:t>
              </m:r>
            </m:e>
            <m:sub>
              <m:r>
                <w:rPr>
                  <w:rFonts w:ascii="Cambria Math" w:hAnsi="Cambria Math" w:cs="Times New Roman"/>
                </w:rPr>
                <m:t>g</m:t>
              </m:r>
            </m:sub>
          </m:sSub>
          <m:r>
            <w:rPr>
              <w:rFonts w:ascii="Cambria Math" w:hAnsi="Cambria Math" w:cs="Times New Roman"/>
            </w:rPr>
            <m:t>)</m:t>
          </m:r>
        </m:oMath>
      </m:oMathPara>
    </w:p>
    <w:p w14:paraId="77D7D848"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where </w:t>
      </w:r>
      <m:oMath>
        <m:sSub>
          <m:sSubPr>
            <m:ctrlPr>
              <w:rPr>
                <w:rFonts w:ascii="Cambria Math" w:hAnsi="Cambria Math" w:cs="Times New Roman"/>
                <w:iCs/>
              </w:rPr>
            </m:ctrlPr>
          </m:sSubPr>
          <m:e>
            <m:r>
              <m:rPr>
                <m:sty m:val="p"/>
              </m:rPr>
              <w:rPr>
                <w:rFonts w:ascii="Cambria Math" w:hAnsi="Cambria Math" w:cs="Times New Roman"/>
              </w:rPr>
              <m:t>μ</m:t>
            </m:r>
          </m:e>
          <m:sub>
            <m:r>
              <w:rPr>
                <w:rFonts w:ascii="Cambria Math" w:hAnsi="Cambria Math" w:cs="Times New Roman"/>
              </w:rPr>
              <m:t>ig</m:t>
            </m:r>
          </m:sub>
        </m:sSub>
      </m:oMath>
      <w:r w:rsidRPr="00CB5EF4">
        <w:rPr>
          <w:rFonts w:ascii="Times New Roman" w:hAnsi="Times New Roman" w:cs="Times New Roman"/>
          <w:iCs/>
        </w:rPr>
        <w:t xml:space="preserve"> is the mean expression of gene </w:t>
      </w:r>
      <m:oMath>
        <m:r>
          <w:rPr>
            <w:rFonts w:ascii="Cambria Math" w:hAnsi="Cambria Math" w:cs="Times New Roman"/>
          </w:rPr>
          <m:t>g</m:t>
        </m:r>
      </m:oMath>
      <w:r w:rsidRPr="00CB5EF4">
        <w:rPr>
          <w:rFonts w:ascii="Times New Roman" w:hAnsi="Times New Roman" w:cs="Times New Roman"/>
          <w:iCs/>
        </w:rPr>
        <w:t xml:space="preserve"> in spot </w:t>
      </w:r>
      <m:oMath>
        <m:r>
          <w:rPr>
            <w:rFonts w:ascii="Cambria Math" w:hAnsi="Cambria Math" w:cs="Times New Roman"/>
          </w:rPr>
          <m:t>i</m:t>
        </m:r>
      </m:oMath>
      <w:r w:rsidRPr="00CB5EF4">
        <w:rPr>
          <w:rFonts w:ascii="Times New Roman" w:hAnsi="Times New Roman" w:cs="Times New Roman"/>
          <w:iCs/>
        </w:rPr>
        <w:t xml:space="preserve"> and </w:t>
      </w:r>
      <m:oMath>
        <m:sSub>
          <m:sSubPr>
            <m:ctrlPr>
              <w:rPr>
                <w:rFonts w:ascii="Cambria Math" w:hAnsi="Cambria Math" w:cs="Times New Roman"/>
                <w:iCs/>
              </w:rPr>
            </m:ctrlPr>
          </m:sSubPr>
          <m:e>
            <m:r>
              <m:rPr>
                <m:sty m:val="p"/>
              </m:rPr>
              <w:rPr>
                <w:rFonts w:ascii="Cambria Math" w:hAnsi="Cambria Math" w:cs="Times New Roman"/>
              </w:rPr>
              <m:t>α</m:t>
            </m:r>
          </m:e>
          <m:sub>
            <m:r>
              <w:rPr>
                <w:rFonts w:ascii="Cambria Math" w:hAnsi="Cambria Math" w:cs="Times New Roman"/>
              </w:rPr>
              <m:t>g</m:t>
            </m:r>
          </m:sub>
        </m:sSub>
      </m:oMath>
      <w:r w:rsidRPr="00CB5EF4">
        <w:rPr>
          <w:rFonts w:ascii="Times New Roman" w:hAnsi="Times New Roman" w:cs="Times New Roman"/>
          <w:iCs/>
        </w:rPr>
        <w:t xml:space="preserve"> is the gene specific dispersion term. SIGMOD models the mean term </w:t>
      </w:r>
      <m:oMath>
        <m:sSub>
          <m:sSubPr>
            <m:ctrlPr>
              <w:rPr>
                <w:rFonts w:ascii="Cambria Math" w:hAnsi="Cambria Math" w:cs="Times New Roman"/>
                <w:iCs/>
              </w:rPr>
            </m:ctrlPr>
          </m:sSubPr>
          <m:e>
            <m:r>
              <m:rPr>
                <m:sty m:val="p"/>
              </m:rPr>
              <w:rPr>
                <w:rFonts w:ascii="Cambria Math" w:hAnsi="Cambria Math" w:cs="Times New Roman"/>
              </w:rPr>
              <m:t>μ</m:t>
            </m:r>
          </m:e>
          <m:sub>
            <m:r>
              <w:rPr>
                <w:rFonts w:ascii="Cambria Math" w:hAnsi="Cambria Math" w:cs="Times New Roman"/>
              </w:rPr>
              <m:t>ig</m:t>
            </m:r>
          </m:sub>
        </m:sSub>
      </m:oMath>
      <w:r w:rsidRPr="00CB5EF4">
        <w:rPr>
          <w:rFonts w:ascii="Times New Roman" w:hAnsi="Times New Roman" w:cs="Times New Roman"/>
          <w:iCs/>
        </w:rPr>
        <w:t xml:space="preserve"> as a summation over </w:t>
      </w:r>
      <m:oMath>
        <m:r>
          <w:rPr>
            <w:rFonts w:ascii="Cambria Math" w:hAnsi="Cambria Math" w:cs="Times New Roman"/>
          </w:rPr>
          <m:t>k</m:t>
        </m:r>
      </m:oMath>
      <w:r w:rsidRPr="00CB5EF4">
        <w:rPr>
          <w:rFonts w:ascii="Times New Roman" w:hAnsi="Times New Roman" w:cs="Times New Roman"/>
          <w:iCs/>
        </w:rPr>
        <w:t xml:space="preserve"> cell type specific gene modules of the multiplication among library size </w:t>
      </w:r>
      <m:oMath>
        <m:sSub>
          <m:sSubPr>
            <m:ctrlPr>
              <w:rPr>
                <w:rFonts w:ascii="Cambria Math" w:hAnsi="Cambria Math" w:cs="Times New Roman"/>
                <w:iCs/>
              </w:rPr>
            </m:ctrlPr>
          </m:sSubPr>
          <m:e>
            <m:r>
              <w:rPr>
                <w:rFonts w:ascii="Cambria Math" w:hAnsi="Cambria Math" w:cs="Times New Roman"/>
              </w:rPr>
              <m:t>S</m:t>
            </m:r>
          </m:e>
          <m:sub>
            <m:r>
              <w:rPr>
                <w:rFonts w:ascii="Cambria Math" w:hAnsi="Cambria Math" w:cs="Times New Roman"/>
              </w:rPr>
              <m:t>i</m:t>
            </m:r>
          </m:sub>
        </m:sSub>
      </m:oMath>
      <w:r w:rsidRPr="00CB5EF4">
        <w:rPr>
          <w:rFonts w:ascii="Times New Roman" w:hAnsi="Times New Roman" w:cs="Times New Roman"/>
          <w:iCs/>
        </w:rPr>
        <w:t xml:space="preserve"> , module distributions </w:t>
      </w:r>
      <m:oMath>
        <m:sSub>
          <m:sSubPr>
            <m:ctrlPr>
              <w:rPr>
                <w:rFonts w:ascii="Cambria Math" w:hAnsi="Cambria Math" w:cs="Times New Roman"/>
                <w:iCs/>
              </w:rPr>
            </m:ctrlPr>
          </m:sSubPr>
          <m:e>
            <m:r>
              <w:rPr>
                <w:rFonts w:ascii="Cambria Math" w:hAnsi="Cambria Math" w:cs="Times New Roman"/>
              </w:rPr>
              <m:t>z</m:t>
            </m:r>
          </m:e>
          <m:sub>
            <m:r>
              <w:rPr>
                <w:rFonts w:ascii="Cambria Math" w:hAnsi="Cambria Math" w:cs="Times New Roman"/>
              </w:rPr>
              <m:t>ik</m:t>
            </m:r>
          </m:sub>
        </m:sSub>
      </m:oMath>
      <w:r w:rsidRPr="00CB5EF4">
        <w:rPr>
          <w:rFonts w:ascii="Times New Roman" w:hAnsi="Times New Roman" w:cs="Times New Roman"/>
          <w:iCs/>
        </w:rPr>
        <w:t xml:space="preserve">, reference cell module signatures </w:t>
      </w:r>
      <m:oMath>
        <m:sSub>
          <m:sSubPr>
            <m:ctrlPr>
              <w:rPr>
                <w:rFonts w:ascii="Cambria Math" w:hAnsi="Cambria Math" w:cs="Times New Roman"/>
                <w:iCs/>
              </w:rPr>
            </m:ctrlPr>
          </m:sSubPr>
          <m:e>
            <m:r>
              <w:rPr>
                <w:rFonts w:ascii="Cambria Math" w:hAnsi="Cambria Math" w:cs="Times New Roman"/>
              </w:rPr>
              <m:t>β</m:t>
            </m:r>
          </m:e>
          <m:sub>
            <m:r>
              <w:rPr>
                <w:rFonts w:ascii="Cambria Math" w:hAnsi="Cambria Math" w:cs="Times New Roman"/>
              </w:rPr>
              <m:t>kg</m:t>
            </m:r>
          </m:sub>
        </m:sSub>
      </m:oMath>
      <w:r w:rsidRPr="00CB5EF4">
        <w:rPr>
          <w:rFonts w:ascii="Times New Roman" w:hAnsi="Times New Roman" w:cs="Times New Roman"/>
          <w:iCs/>
        </w:rPr>
        <w:t>,</w:t>
      </w:r>
    </w:p>
    <w:p w14:paraId="2E914A61"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m:rPr>
                  <m:sty m:val="p"/>
                </m:rPr>
                <w:rPr>
                  <w:rFonts w:ascii="Cambria Math" w:hAnsi="Cambria Math" w:cs="Times New Roman"/>
                </w:rPr>
                <m:t>μ</m:t>
              </m:r>
              <m:ctrlPr>
                <w:rPr>
                  <w:rFonts w:ascii="Cambria Math" w:hAnsi="Cambria Math" w:cs="Times New Roman"/>
                  <w:iCs/>
                </w:rPr>
              </m:ctrlPr>
            </m:e>
            <m:sub>
              <m:r>
                <w:rPr>
                  <w:rFonts w:ascii="Cambria Math" w:hAnsi="Cambria Math" w:cs="Times New Roman"/>
                </w:rPr>
                <m:t>ig</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S</m:t>
              </m:r>
            </m:e>
            <m:sub>
              <m:r>
                <w:rPr>
                  <w:rFonts w:ascii="Cambria Math" w:hAnsi="Cambria Math" w:cs="Times New Roman"/>
                </w:rPr>
                <m:t>i</m:t>
              </m:r>
            </m:sub>
          </m:sSub>
          <m:nary>
            <m:naryPr>
              <m:chr m:val="∑"/>
              <m:limLoc m:val="undOvr"/>
              <m:supHide m:val="1"/>
              <m:ctrlPr>
                <w:rPr>
                  <w:rFonts w:ascii="Cambria Math" w:hAnsi="Cambria Math" w:cs="Times New Roman"/>
                  <w:iCs/>
                </w:rPr>
              </m:ctrlPr>
            </m:naryPr>
            <m:sub>
              <m:r>
                <w:rPr>
                  <w:rFonts w:ascii="Cambria Math" w:hAnsi="Cambria Math" w:cs="Times New Roman"/>
                </w:rPr>
                <m:t>k</m:t>
              </m:r>
              <m:ctrlPr>
                <w:rPr>
                  <w:rFonts w:ascii="Cambria Math" w:hAnsi="Cambria Math" w:cs="Times New Roman"/>
                  <w:i/>
                  <w:iCs/>
                </w:rPr>
              </m:ctrlPr>
            </m:sub>
            <m:sup>
              <m:ctrlPr>
                <w:rPr>
                  <w:rFonts w:ascii="Cambria Math" w:hAnsi="Cambria Math" w:cs="Times New Roman"/>
                  <w:i/>
                  <w:iCs/>
                </w:rPr>
              </m:ctrlPr>
            </m:sup>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ik</m:t>
                  </m:r>
                </m:sub>
              </m:sSub>
              <m:ctrlPr>
                <w:rPr>
                  <w:rFonts w:ascii="Cambria Math" w:hAnsi="Cambria Math" w:cs="Times New Roman"/>
                  <w:i/>
                  <w:iCs/>
                </w:rPr>
              </m:ctrlPr>
            </m:e>
          </m:nary>
          <m:sSub>
            <m:sSubPr>
              <m:ctrlPr>
                <w:rPr>
                  <w:rFonts w:ascii="Cambria Math" w:hAnsi="Cambria Math" w:cs="Times New Roman"/>
                  <w:i/>
                  <w:iCs/>
                </w:rPr>
              </m:ctrlPr>
            </m:sSubPr>
            <m:e>
              <m:r>
                <m:rPr>
                  <m:sty m:val="p"/>
                </m:rPr>
                <w:rPr>
                  <w:rFonts w:ascii="Cambria Math" w:hAnsi="Cambria Math" w:cs="Times New Roman"/>
                </w:rPr>
                <m:t>β</m:t>
              </m:r>
              <m:ctrlPr>
                <w:rPr>
                  <w:rFonts w:ascii="Cambria Math" w:hAnsi="Cambria Math" w:cs="Times New Roman"/>
                  <w:iCs/>
                </w:rPr>
              </m:ctrlPr>
            </m:e>
            <m:sub>
              <m:r>
                <w:rPr>
                  <w:rFonts w:ascii="Cambria Math" w:hAnsi="Cambria Math" w:cs="Times New Roman"/>
                </w:rPr>
                <m:t>kg</m:t>
              </m:r>
            </m:sub>
          </m:sSub>
        </m:oMath>
      </m:oMathPara>
    </w:p>
    <w:p w14:paraId="16DF2769"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Module proportion </w:t>
      </w:r>
      <m:oMath>
        <m:sSub>
          <m:sSubPr>
            <m:ctrlPr>
              <w:rPr>
                <w:rFonts w:ascii="Cambria Math" w:hAnsi="Cambria Math" w:cs="Times New Roman"/>
                <w:iCs/>
              </w:rPr>
            </m:ctrlPr>
          </m:sSubPr>
          <m:e>
            <m:r>
              <w:rPr>
                <w:rFonts w:ascii="Cambria Math" w:hAnsi="Cambria Math" w:cs="Times New Roman"/>
              </w:rPr>
              <m:t>z</m:t>
            </m:r>
          </m:e>
          <m:sub>
            <m:r>
              <w:rPr>
                <w:rFonts w:ascii="Cambria Math" w:hAnsi="Cambria Math" w:cs="Times New Roman"/>
              </w:rPr>
              <m:t>ik</m:t>
            </m:r>
          </m:sub>
        </m:sSub>
      </m:oMath>
      <w:r w:rsidRPr="00CB5EF4">
        <w:rPr>
          <w:rFonts w:ascii="Times New Roman" w:hAnsi="Times New Roman" w:cs="Times New Roman"/>
          <w:iCs/>
        </w:rPr>
        <w:t xml:space="preserve"> is derived from the niche information </w:t>
      </w:r>
      <m:oMath>
        <m:sSub>
          <m:sSubPr>
            <m:ctrlPr>
              <w:rPr>
                <w:rFonts w:ascii="Cambria Math" w:hAnsi="Cambria Math" w:cs="Times New Roman"/>
                <w:iCs/>
              </w:rPr>
            </m:ctrlPr>
          </m:sSubPr>
          <m:e>
            <m:r>
              <w:rPr>
                <w:rFonts w:ascii="Cambria Math" w:hAnsi="Cambria Math" w:cs="Times New Roman"/>
              </w:rPr>
              <m:t>X</m:t>
            </m:r>
          </m:e>
          <m:sub>
            <m:r>
              <w:rPr>
                <w:rFonts w:ascii="Cambria Math" w:hAnsi="Cambria Math" w:cs="Times New Roman"/>
              </w:rPr>
              <m:t>i</m:t>
            </m:r>
          </m:sub>
        </m:sSub>
      </m:oMath>
      <w:r w:rsidRPr="00CB5EF4">
        <w:rPr>
          <w:rFonts w:ascii="Times New Roman" w:hAnsi="Times New Roman" w:cs="Times New Roman"/>
          <w:iCs/>
        </w:rPr>
        <w:t xml:space="preserve"> and are normalized using sparse softmax to make module activities sparsity and ensure that the module proportion per cell sums to 1. </w:t>
      </w:r>
      <m:oMath>
        <m:sSub>
          <m:sSubPr>
            <m:ctrlPr>
              <w:rPr>
                <w:rFonts w:ascii="Cambria Math" w:hAnsi="Cambria Math" w:cs="Times New Roman"/>
                <w:iCs/>
              </w:rPr>
            </m:ctrlPr>
          </m:sSubPr>
          <m:e>
            <m:r>
              <w:rPr>
                <w:rFonts w:ascii="Cambria Math" w:hAnsi="Cambria Math" w:cs="Times New Roman"/>
              </w:rPr>
              <m:t>η</m:t>
            </m:r>
          </m:e>
          <m:sub>
            <m:r>
              <w:rPr>
                <w:rFonts w:ascii="Cambria Math" w:hAnsi="Cambria Math" w:cs="Times New Roman"/>
              </w:rPr>
              <m:t>m</m:t>
            </m:r>
          </m:sub>
        </m:sSub>
      </m:oMath>
      <w:r w:rsidRPr="00CB5EF4">
        <w:rPr>
          <w:rFonts w:ascii="Times New Roman" w:hAnsi="Times New Roman" w:cs="Times New Roman"/>
          <w:iCs/>
        </w:rPr>
        <w:t xml:space="preserve"> represents how </w:t>
      </w:r>
      <m:oMath>
        <m:sSub>
          <m:sSubPr>
            <m:ctrlPr>
              <w:rPr>
                <w:rFonts w:ascii="Cambria Math" w:hAnsi="Cambria Math" w:cs="Times New Roman"/>
                <w:iCs/>
              </w:rPr>
            </m:ctrlPr>
          </m:sSubPr>
          <m:e>
            <m:r>
              <w:rPr>
                <w:rFonts w:ascii="Cambria Math" w:hAnsi="Cambria Math" w:cs="Times New Roman"/>
              </w:rPr>
              <m:t>X</m:t>
            </m:r>
          </m:e>
          <m:sub>
            <m:r>
              <w:rPr>
                <w:rFonts w:ascii="Cambria Math" w:hAnsi="Cambria Math" w:cs="Times New Roman"/>
              </w:rPr>
              <m:t>im</m:t>
            </m:r>
          </m:sub>
        </m:sSub>
      </m:oMath>
      <w:r w:rsidRPr="00CB5EF4">
        <w:rPr>
          <w:rFonts w:ascii="Times New Roman" w:hAnsi="Times New Roman" w:cs="Times New Roman"/>
          <w:iCs/>
        </w:rPr>
        <w:t xml:space="preserve">influences </w:t>
      </w:r>
      <m:oMath>
        <m:sSub>
          <m:sSubPr>
            <m:ctrlPr>
              <w:rPr>
                <w:rFonts w:ascii="Cambria Math" w:hAnsi="Cambria Math" w:cs="Times New Roman"/>
                <w:iCs/>
              </w:rPr>
            </m:ctrlPr>
          </m:sSubPr>
          <m:e>
            <m:r>
              <w:rPr>
                <w:rFonts w:ascii="Cambria Math" w:hAnsi="Cambria Math" w:cs="Times New Roman"/>
              </w:rPr>
              <m:t>z</m:t>
            </m:r>
          </m:e>
          <m:sub>
            <m:r>
              <w:rPr>
                <w:rFonts w:ascii="Cambria Math" w:hAnsi="Cambria Math" w:cs="Times New Roman"/>
              </w:rPr>
              <m:t>ik</m:t>
            </m:r>
          </m:sub>
        </m:sSub>
      </m:oMath>
      <w:r w:rsidRPr="00CB5EF4">
        <w:rPr>
          <w:rFonts w:ascii="Times New Roman" w:hAnsi="Times New Roman" w:cs="Times New Roman"/>
          <w:iCs/>
        </w:rPr>
        <w:t xml:space="preserve">. A structured horseshoe prior is introduced to model this influence, allowing </w:t>
      </w:r>
      <m:oMath>
        <m:sSub>
          <m:sSubPr>
            <m:ctrlPr>
              <w:rPr>
                <w:rFonts w:ascii="Cambria Math" w:hAnsi="Cambria Math" w:cs="Times New Roman"/>
                <w:iCs/>
              </w:rPr>
            </m:ctrlPr>
          </m:sSubPr>
          <m:e>
            <m:r>
              <w:rPr>
                <w:rFonts w:ascii="Cambria Math" w:hAnsi="Cambria Math" w:cs="Times New Roman"/>
              </w:rPr>
              <m:t>X</m:t>
            </m:r>
          </m:e>
          <m:sub>
            <m:r>
              <w:rPr>
                <w:rFonts w:ascii="Cambria Math" w:hAnsi="Cambria Math" w:cs="Times New Roman"/>
              </w:rPr>
              <m:t>im</m:t>
            </m:r>
          </m:sub>
        </m:sSub>
      </m:oMath>
      <w:r w:rsidRPr="00CB5EF4">
        <w:rPr>
          <w:rFonts w:ascii="Times New Roman" w:hAnsi="Times New Roman" w:cs="Times New Roman"/>
          <w:iCs/>
        </w:rPr>
        <w:t xml:space="preserve"> to selectively impact cell proportions only when it provides sufficient information to overcome the prior constraint,</w:t>
      </w:r>
    </w:p>
    <w:p w14:paraId="09F79527"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m:rPr>
                  <m:sty m:val="p"/>
                </m:rPr>
                <w:rPr>
                  <w:rFonts w:ascii="Cambria Math" w:hAnsi="Cambria Math" w:cs="Times New Roman"/>
                </w:rPr>
                <m:t>η</m:t>
              </m:r>
              <m:ctrlPr>
                <w:rPr>
                  <w:rFonts w:ascii="Cambria Math" w:hAnsi="Cambria Math" w:cs="Times New Roman"/>
                  <w:iCs/>
                </w:rPr>
              </m:ctrlPr>
            </m:e>
            <m:sub>
              <m:r>
                <w:rPr>
                  <w:rFonts w:ascii="Cambria Math" w:hAnsi="Cambria Math" w:cs="Times New Roman"/>
                </w:rPr>
                <m:t>m</m:t>
              </m:r>
            </m:sub>
          </m:sSub>
          <m:r>
            <m:rPr>
              <m:sty m:val="p"/>
            </m:rPr>
            <w:rPr>
              <w:rFonts w:ascii="Cambria Math" w:hAnsi="Cambria Math" w:cs="Times New Roman"/>
            </w:rPr>
            <m:t>∼</m:t>
          </m:r>
          <m:r>
            <m:rPr>
              <m:scr m:val="script"/>
            </m:rPr>
            <w:rPr>
              <w:rFonts w:ascii="Cambria Math" w:hAnsi="Cambria Math" w:cs="Times New Roman"/>
            </w:rPr>
            <m:t>N</m:t>
          </m:r>
          <m:d>
            <m:dPr>
              <m:ctrlPr>
                <w:rPr>
                  <w:rFonts w:ascii="Cambria Math" w:hAnsi="Cambria Math" w:cs="Times New Roman"/>
                  <w:i/>
                  <w:iCs/>
                </w:rPr>
              </m:ctrlPr>
            </m:dPr>
            <m:e>
              <m:r>
                <w:rPr>
                  <w:rFonts w:ascii="Cambria Math" w:hAnsi="Cambria Math" w:cs="Times New Roman"/>
                </w:rPr>
                <m:t>0,I</m:t>
              </m:r>
            </m:e>
          </m:d>
        </m:oMath>
      </m:oMathPara>
    </w:p>
    <w:p w14:paraId="7A21C0DF"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c</m:t>
              </m:r>
            </m:e>
            <m:sub>
              <m:r>
                <m:rPr>
                  <m:nor/>
                </m:rPr>
                <w:rPr>
                  <w:rFonts w:ascii="Times New Roman" w:hAnsi="Times New Roman" w:cs="Times New Roman"/>
                  <w:iCs/>
                </w:rPr>
                <m:t>aux</m:t>
              </m:r>
            </m:sub>
          </m:sSub>
          <m:r>
            <m:rPr>
              <m:sty m:val="p"/>
            </m:rPr>
            <w:rPr>
              <w:rFonts w:ascii="Cambria Math" w:hAnsi="Cambria Math" w:cs="Times New Roman"/>
            </w:rPr>
            <m:t>∼</m:t>
          </m:r>
          <m:r>
            <m:rPr>
              <m:nor/>
            </m:rPr>
            <w:rPr>
              <w:rFonts w:ascii="Times New Roman" w:hAnsi="Times New Roman" w:cs="Times New Roman"/>
              <w:iCs/>
            </w:rPr>
            <m:t>InverseGamma</m:t>
          </m:r>
          <m:d>
            <m:dPr>
              <m:ctrlPr>
                <w:rPr>
                  <w:rFonts w:ascii="Cambria Math" w:hAnsi="Cambria Math" w:cs="Times New Roman"/>
                  <w:i/>
                  <w:iCs/>
                </w:rPr>
              </m:ctrlPr>
            </m:dPr>
            <m:e>
              <m:r>
                <w:rPr>
                  <w:rFonts w:ascii="Cambria Math" w:hAnsi="Cambria Math" w:cs="Times New Roman"/>
                </w:rPr>
                <m:t>1,1</m:t>
              </m:r>
            </m:e>
          </m:d>
        </m:oMath>
      </m:oMathPara>
    </w:p>
    <w:p w14:paraId="7BF124B1" w14:textId="77777777" w:rsidR="00CB5EF4" w:rsidRPr="00CB5EF4" w:rsidRDefault="00CB5EF4" w:rsidP="00CB5EF4">
      <w:pPr>
        <w:rPr>
          <w:rFonts w:ascii="Times New Roman" w:hAnsi="Times New Roman" w:cs="Times New Roman"/>
          <w:iCs/>
        </w:rPr>
      </w:pPr>
      <m:oMathPara>
        <m:oMath>
          <m:r>
            <m:rPr>
              <m:sty m:val="p"/>
            </m:rPr>
            <w:rPr>
              <w:rFonts w:ascii="Cambria Math" w:hAnsi="Cambria Math" w:cs="Times New Roman"/>
            </w:rPr>
            <m:t>δ∼</m:t>
          </m:r>
          <m:r>
            <m:rPr>
              <m:nor/>
            </m:rPr>
            <w:rPr>
              <w:rFonts w:ascii="Times New Roman" w:hAnsi="Times New Roman" w:cs="Times New Roman"/>
              <w:iCs/>
            </w:rPr>
            <m:t>HalfCauchy</m:t>
          </m:r>
          <m:d>
            <m:dPr>
              <m:ctrlPr>
                <w:rPr>
                  <w:rFonts w:ascii="Cambria Math" w:hAnsi="Cambria Math" w:cs="Times New Roman"/>
                  <w:i/>
                  <w:iCs/>
                </w:rPr>
              </m:ctrlPr>
            </m:dPr>
            <m:e>
              <m:r>
                <w:rPr>
                  <w:rFonts w:ascii="Cambria Math" w:hAnsi="Cambria Math" w:cs="Times New Roman"/>
                </w:rPr>
                <m:t>1</m:t>
              </m:r>
            </m:e>
          </m:d>
        </m:oMath>
      </m:oMathPara>
    </w:p>
    <w:p w14:paraId="6D1999E7" w14:textId="77777777" w:rsidR="00CB5EF4" w:rsidRPr="00CB5EF4" w:rsidRDefault="00CB5EF4" w:rsidP="00CB5EF4">
      <w:pPr>
        <w:rPr>
          <w:rFonts w:ascii="Times New Roman" w:hAnsi="Times New Roman" w:cs="Times New Roman"/>
          <w:iCs/>
        </w:rPr>
      </w:pPr>
      <m:oMathPara>
        <m:oMath>
          <m:r>
            <m:rPr>
              <m:sty m:val="p"/>
            </m:rPr>
            <w:rPr>
              <w:rFonts w:ascii="Cambria Math" w:hAnsi="Cambria Math" w:cs="Times New Roman"/>
            </w:rPr>
            <m:t>τ∼</m:t>
          </m:r>
          <m:r>
            <m:rPr>
              <m:nor/>
            </m:rPr>
            <w:rPr>
              <w:rFonts w:ascii="Times New Roman" w:hAnsi="Times New Roman" w:cs="Times New Roman"/>
              <w:iCs/>
            </w:rPr>
            <m:t>HalfCauchy</m:t>
          </m:r>
          <m:d>
            <m:dPr>
              <m:ctrlPr>
                <w:rPr>
                  <w:rFonts w:ascii="Cambria Math" w:hAnsi="Cambria Math" w:cs="Times New Roman"/>
                  <w:i/>
                  <w:iCs/>
                </w:rPr>
              </m:ctrlPr>
            </m:dPr>
            <m:e>
              <m:r>
                <w:rPr>
                  <w:rFonts w:ascii="Cambria Math" w:hAnsi="Cambria Math" w:cs="Times New Roman"/>
                </w:rPr>
                <m:t>1</m:t>
              </m:r>
            </m:e>
          </m:d>
        </m:oMath>
      </m:oMathPara>
    </w:p>
    <w:p w14:paraId="0A3219A6" w14:textId="77777777" w:rsidR="00CB5EF4" w:rsidRPr="00CB5EF4" w:rsidRDefault="00CB5EF4" w:rsidP="00CB5EF4">
      <w:pPr>
        <w:rPr>
          <w:rFonts w:ascii="Times New Roman" w:hAnsi="Times New Roman" w:cs="Times New Roman"/>
          <w:iCs/>
        </w:rPr>
      </w:pPr>
      <m:oMathPara>
        <m:oMath>
          <m:r>
            <m:rPr>
              <m:sty m:val="p"/>
            </m:rPr>
            <w:rPr>
              <w:rFonts w:ascii="Cambria Math" w:hAnsi="Cambria Math" w:cs="Times New Roman"/>
            </w:rPr>
            <m:t>λ∼</m:t>
          </m:r>
          <m:r>
            <m:rPr>
              <m:nor/>
            </m:rPr>
            <w:rPr>
              <w:rFonts w:ascii="Times New Roman" w:hAnsi="Times New Roman" w:cs="Times New Roman"/>
              <w:iCs/>
            </w:rPr>
            <m:t>HalfCauchy</m:t>
          </m:r>
          <m:d>
            <m:dPr>
              <m:ctrlPr>
                <w:rPr>
                  <w:rFonts w:ascii="Cambria Math" w:hAnsi="Cambria Math" w:cs="Times New Roman"/>
                  <w:i/>
                  <w:iCs/>
                </w:rPr>
              </m:ctrlPr>
            </m:dPr>
            <m:e>
              <m:r>
                <w:rPr>
                  <w:rFonts w:ascii="Cambria Math" w:hAnsi="Cambria Math" w:cs="Times New Roman"/>
                </w:rPr>
                <m:t>1</m:t>
              </m:r>
            </m:e>
          </m:d>
        </m:oMath>
      </m:oMathPara>
    </w:p>
    <w:p w14:paraId="3F0EA9FB" w14:textId="77777777" w:rsidR="00CB5EF4" w:rsidRPr="00CB5EF4" w:rsidRDefault="008E5812" w:rsidP="00CB5EF4">
      <w:pPr>
        <w:rPr>
          <w:rFonts w:ascii="Times New Roman" w:hAnsi="Times New Roman" w:cs="Times New Roman"/>
          <w:iCs/>
        </w:rPr>
      </w:pPr>
      <m:oMathPara>
        <m:oMath>
          <m:acc>
            <m:accPr>
              <m:chr m:val="̃"/>
              <m:ctrlPr>
                <w:rPr>
                  <w:rFonts w:ascii="Cambria Math" w:hAnsi="Cambria Math" w:cs="Times New Roman"/>
                  <w:iCs/>
                </w:rPr>
              </m:ctrlPr>
            </m:accPr>
            <m:e>
              <m:r>
                <m:rPr>
                  <m:sty m:val="p"/>
                </m:rPr>
                <w:rPr>
                  <w:rFonts w:ascii="Cambria Math" w:hAnsi="Cambria Math" w:cs="Times New Roman"/>
                </w:rPr>
                <m:t>λ</m:t>
              </m:r>
            </m:e>
          </m:acc>
          <m:r>
            <w:rPr>
              <w:rFonts w:ascii="Cambria Math" w:hAnsi="Cambria Math" w:cs="Times New Roman"/>
            </w:rPr>
            <m:t>=</m:t>
          </m:r>
          <m:rad>
            <m:radPr>
              <m:degHide m:val="1"/>
              <m:ctrlPr>
                <w:rPr>
                  <w:rFonts w:ascii="Cambria Math" w:hAnsi="Cambria Math" w:cs="Times New Roman"/>
                  <w:iCs/>
                </w:rPr>
              </m:ctrlPr>
            </m:radPr>
            <m:deg>
              <m:ctrlPr>
                <w:rPr>
                  <w:rFonts w:ascii="Cambria Math" w:hAnsi="Cambria Math" w:cs="Times New Roman"/>
                  <w:i/>
                  <w:iCs/>
                </w:rPr>
              </m:ctrlPr>
            </m:deg>
            <m:e>
              <m:f>
                <m:fPr>
                  <m:ctrlPr>
                    <w:rPr>
                      <w:rFonts w:ascii="Cambria Math" w:hAnsi="Cambria Math" w:cs="Times New Roman"/>
                      <w:iCs/>
                    </w:rPr>
                  </m:ctrlPr>
                </m:fPr>
                <m:num>
                  <m:sSubSup>
                    <m:sSubSupPr>
                      <m:ctrlPr>
                        <w:rPr>
                          <w:rFonts w:ascii="Cambria Math" w:hAnsi="Cambria Math" w:cs="Times New Roman"/>
                          <w:i/>
                          <w:iCs/>
                        </w:rPr>
                      </m:ctrlPr>
                    </m:sSubSupPr>
                    <m:e>
                      <m:r>
                        <w:rPr>
                          <w:rFonts w:ascii="Cambria Math" w:hAnsi="Cambria Math" w:cs="Times New Roman"/>
                        </w:rPr>
                        <m:t>c</m:t>
                      </m:r>
                    </m:e>
                    <m:sub>
                      <m:r>
                        <m:rPr>
                          <m:nor/>
                        </m:rPr>
                        <w:rPr>
                          <w:rFonts w:ascii="Times New Roman" w:hAnsi="Times New Roman" w:cs="Times New Roman"/>
                          <w:iCs/>
                        </w:rPr>
                        <m:t>aux</m:t>
                      </m:r>
                    </m:sub>
                    <m:sup>
                      <m:r>
                        <w:rPr>
                          <w:rFonts w:ascii="Cambria Math" w:hAnsi="Cambria Math" w:cs="Times New Roman"/>
                        </w:rPr>
                        <m:t>2</m:t>
                      </m:r>
                    </m:sup>
                  </m:sSubSup>
                  <m:sSup>
                    <m:sSupPr>
                      <m:ctrlPr>
                        <w:rPr>
                          <w:rFonts w:ascii="Cambria Math" w:hAnsi="Cambria Math" w:cs="Times New Roman"/>
                          <w:i/>
                          <w:iCs/>
                        </w:rPr>
                      </m:ctrlPr>
                    </m:sSupPr>
                    <m:e>
                      <m:r>
                        <m:rPr>
                          <m:sty m:val="p"/>
                        </m:rPr>
                        <w:rPr>
                          <w:rFonts w:ascii="Cambria Math" w:hAnsi="Cambria Math" w:cs="Times New Roman"/>
                        </w:rPr>
                        <m:t>τ</m:t>
                      </m:r>
                      <m:ctrlPr>
                        <w:rPr>
                          <w:rFonts w:ascii="Cambria Math" w:hAnsi="Cambria Math" w:cs="Times New Roman"/>
                          <w:iCs/>
                        </w:rPr>
                      </m:ctrlPr>
                    </m:e>
                    <m:sup>
                      <m:r>
                        <w:rPr>
                          <w:rFonts w:ascii="Cambria Math" w:hAnsi="Cambria Math" w:cs="Times New Roman"/>
                        </w:rPr>
                        <m:t>2</m:t>
                      </m:r>
                    </m:sup>
                  </m:sSup>
                  <m:sSup>
                    <m:sSupPr>
                      <m:ctrlPr>
                        <w:rPr>
                          <w:rFonts w:ascii="Cambria Math" w:hAnsi="Cambria Math" w:cs="Times New Roman"/>
                          <w:i/>
                          <w:iCs/>
                        </w:rPr>
                      </m:ctrlPr>
                    </m:sSupPr>
                    <m:e>
                      <m:r>
                        <m:rPr>
                          <m:sty m:val="p"/>
                        </m:rPr>
                        <w:rPr>
                          <w:rFonts w:ascii="Cambria Math" w:hAnsi="Cambria Math" w:cs="Times New Roman"/>
                        </w:rPr>
                        <m:t>δ</m:t>
                      </m:r>
                      <m:ctrlPr>
                        <w:rPr>
                          <w:rFonts w:ascii="Cambria Math" w:hAnsi="Cambria Math" w:cs="Times New Roman"/>
                          <w:iCs/>
                        </w:rPr>
                      </m:ctrlPr>
                    </m:e>
                    <m:sup>
                      <m:r>
                        <w:rPr>
                          <w:rFonts w:ascii="Cambria Math" w:hAnsi="Cambria Math" w:cs="Times New Roman"/>
                        </w:rPr>
                        <m:t>2</m:t>
                      </m:r>
                    </m:sup>
                  </m:sSup>
                  <m:sSup>
                    <m:sSupPr>
                      <m:ctrlPr>
                        <w:rPr>
                          <w:rFonts w:ascii="Cambria Math" w:hAnsi="Cambria Math" w:cs="Times New Roman"/>
                          <w:i/>
                          <w:iCs/>
                        </w:rPr>
                      </m:ctrlPr>
                    </m:sSupPr>
                    <m:e>
                      <m:r>
                        <m:rPr>
                          <m:sty m:val="p"/>
                        </m:rPr>
                        <w:rPr>
                          <w:rFonts w:ascii="Cambria Math" w:hAnsi="Cambria Math" w:cs="Times New Roman"/>
                        </w:rPr>
                        <m:t>λ</m:t>
                      </m:r>
                      <m:ctrlPr>
                        <w:rPr>
                          <w:rFonts w:ascii="Cambria Math" w:hAnsi="Cambria Math" w:cs="Times New Roman"/>
                          <w:iCs/>
                        </w:rPr>
                      </m:ctrlPr>
                    </m:e>
                    <m:sup>
                      <m:r>
                        <w:rPr>
                          <w:rFonts w:ascii="Cambria Math" w:hAnsi="Cambria Math" w:cs="Times New Roman"/>
                        </w:rPr>
                        <m:t>2</m:t>
                      </m:r>
                    </m:sup>
                  </m:sSup>
                  <m:ctrlPr>
                    <w:rPr>
                      <w:rFonts w:ascii="Cambria Math" w:hAnsi="Cambria Math" w:cs="Times New Roman"/>
                      <w:i/>
                      <w:iCs/>
                    </w:rPr>
                  </m:ctrlPr>
                </m:num>
                <m:den>
                  <m:sSubSup>
                    <m:sSubSupPr>
                      <m:ctrlPr>
                        <w:rPr>
                          <w:rFonts w:ascii="Cambria Math" w:hAnsi="Cambria Math" w:cs="Times New Roman"/>
                          <w:i/>
                          <w:iCs/>
                        </w:rPr>
                      </m:ctrlPr>
                    </m:sSubSupPr>
                    <m:e>
                      <m:r>
                        <w:rPr>
                          <w:rFonts w:ascii="Cambria Math" w:hAnsi="Cambria Math" w:cs="Times New Roman"/>
                        </w:rPr>
                        <m:t>c</m:t>
                      </m:r>
                    </m:e>
                    <m:sub>
                      <m:r>
                        <m:rPr>
                          <m:nor/>
                        </m:rPr>
                        <w:rPr>
                          <w:rFonts w:ascii="Times New Roman" w:hAnsi="Times New Roman" w:cs="Times New Roman"/>
                          <w:iCs/>
                        </w:rPr>
                        <m:t>aux</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iCs/>
                        </w:rPr>
                      </m:ctrlPr>
                    </m:sSupPr>
                    <m:e>
                      <m:r>
                        <m:rPr>
                          <m:sty m:val="p"/>
                        </m:rPr>
                        <w:rPr>
                          <w:rFonts w:ascii="Cambria Math" w:hAnsi="Cambria Math" w:cs="Times New Roman"/>
                        </w:rPr>
                        <m:t>τ</m:t>
                      </m:r>
                    </m:e>
                    <m:sup>
                      <m:r>
                        <w:rPr>
                          <w:rFonts w:ascii="Cambria Math" w:hAnsi="Cambria Math" w:cs="Times New Roman"/>
                        </w:rPr>
                        <m:t>2</m:t>
                      </m:r>
                    </m:sup>
                  </m:sSup>
                  <m:sSup>
                    <m:sSupPr>
                      <m:ctrlPr>
                        <w:rPr>
                          <w:rFonts w:ascii="Cambria Math" w:hAnsi="Cambria Math" w:cs="Times New Roman"/>
                          <w:i/>
                          <w:iCs/>
                        </w:rPr>
                      </m:ctrlPr>
                    </m:sSupPr>
                    <m:e>
                      <m:r>
                        <m:rPr>
                          <m:sty m:val="p"/>
                        </m:rPr>
                        <w:rPr>
                          <w:rFonts w:ascii="Cambria Math" w:hAnsi="Cambria Math" w:cs="Times New Roman"/>
                        </w:rPr>
                        <m:t>δ</m:t>
                      </m:r>
                      <m:ctrlPr>
                        <w:rPr>
                          <w:rFonts w:ascii="Cambria Math" w:hAnsi="Cambria Math" w:cs="Times New Roman"/>
                          <w:iCs/>
                        </w:rPr>
                      </m:ctrlPr>
                    </m:e>
                    <m:sup>
                      <m:r>
                        <w:rPr>
                          <w:rFonts w:ascii="Cambria Math" w:hAnsi="Cambria Math" w:cs="Times New Roman"/>
                        </w:rPr>
                        <m:t>2</m:t>
                      </m:r>
                    </m:sup>
                  </m:sSup>
                  <m:sSup>
                    <m:sSupPr>
                      <m:ctrlPr>
                        <w:rPr>
                          <w:rFonts w:ascii="Cambria Math" w:hAnsi="Cambria Math" w:cs="Times New Roman"/>
                          <w:i/>
                          <w:iCs/>
                        </w:rPr>
                      </m:ctrlPr>
                    </m:sSupPr>
                    <m:e>
                      <m:r>
                        <m:rPr>
                          <m:sty m:val="p"/>
                        </m:rPr>
                        <w:rPr>
                          <w:rFonts w:ascii="Cambria Math" w:hAnsi="Cambria Math" w:cs="Times New Roman"/>
                        </w:rPr>
                        <m:t>λ</m:t>
                      </m:r>
                      <m:ctrlPr>
                        <w:rPr>
                          <w:rFonts w:ascii="Cambria Math" w:hAnsi="Cambria Math" w:cs="Times New Roman"/>
                          <w:iCs/>
                        </w:rPr>
                      </m:ctrlPr>
                    </m:e>
                    <m:sup>
                      <m:r>
                        <w:rPr>
                          <w:rFonts w:ascii="Cambria Math" w:hAnsi="Cambria Math" w:cs="Times New Roman"/>
                        </w:rPr>
                        <m:t>2</m:t>
                      </m:r>
                    </m:sup>
                  </m:sSup>
                  <m:ctrlPr>
                    <w:rPr>
                      <w:rFonts w:ascii="Cambria Math" w:hAnsi="Cambria Math" w:cs="Times New Roman"/>
                      <w:i/>
                      <w:iCs/>
                    </w:rPr>
                  </m:ctrlPr>
                </m:den>
              </m:f>
            </m:e>
          </m:rad>
        </m:oMath>
      </m:oMathPara>
    </w:p>
    <w:p w14:paraId="309BD043" w14:textId="77777777" w:rsidR="00CB5EF4" w:rsidRPr="00CB5EF4" w:rsidRDefault="008E5812" w:rsidP="00CB5EF4">
      <w:pPr>
        <w:rPr>
          <w:rFonts w:ascii="Times New Roman" w:hAnsi="Times New Roman" w:cs="Times New Roman"/>
          <w:iCs/>
        </w:rPr>
      </w:pPr>
      <m:oMathPara>
        <m:oMath>
          <m:acc>
            <m:accPr>
              <m:chr m:val="̃"/>
              <m:ctrlPr>
                <w:rPr>
                  <w:rFonts w:ascii="Cambria Math" w:hAnsi="Cambria Math" w:cs="Times New Roman"/>
                  <w:iCs/>
                </w:rPr>
              </m:ctrlPr>
            </m:accPr>
            <m:e>
              <m:r>
                <m:rPr>
                  <m:sty m:val="p"/>
                </m:rPr>
                <w:rPr>
                  <w:rFonts w:ascii="Cambria Math" w:hAnsi="Cambria Math" w:cs="Times New Roman"/>
                </w:rPr>
                <m:t>η</m:t>
              </m:r>
            </m:e>
          </m:acc>
          <m:r>
            <w:rPr>
              <w:rFonts w:ascii="Cambria Math" w:hAnsi="Cambria Math" w:cs="Times New Roman"/>
            </w:rPr>
            <m:t>=</m:t>
          </m:r>
          <m:r>
            <m:rPr>
              <m:sty m:val="p"/>
            </m:rPr>
            <w:rPr>
              <w:rFonts w:ascii="Cambria Math" w:hAnsi="Cambria Math" w:cs="Times New Roman"/>
            </w:rPr>
            <m:t>η</m:t>
          </m:r>
          <m:acc>
            <m:accPr>
              <m:chr m:val="̃"/>
              <m:ctrlPr>
                <w:rPr>
                  <w:rFonts w:ascii="Cambria Math" w:hAnsi="Cambria Math" w:cs="Times New Roman"/>
                  <w:iCs/>
                </w:rPr>
              </m:ctrlPr>
            </m:accPr>
            <m:e>
              <m:r>
                <m:rPr>
                  <m:sty m:val="p"/>
                </m:rPr>
                <w:rPr>
                  <w:rFonts w:ascii="Cambria Math" w:hAnsi="Cambria Math" w:cs="Times New Roman"/>
                </w:rPr>
                <m:t>λ</m:t>
              </m:r>
            </m:e>
          </m:acc>
        </m:oMath>
      </m:oMathPara>
    </w:p>
    <w:p w14:paraId="64915827" w14:textId="77777777" w:rsidR="00CB5EF4" w:rsidRPr="00CB5EF4" w:rsidRDefault="008E5812" w:rsidP="00CB5EF4">
      <w:pPr>
        <w:rPr>
          <w:rFonts w:ascii="Times New Roman" w:hAnsi="Times New Roman" w:cs="Times New Roman"/>
          <w:iCs/>
        </w:rPr>
      </w:pPr>
      <m:oMathPara>
        <m:oMath>
          <m:acc>
            <m:accPr>
              <m:chr m:val="̃"/>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i</m:t>
                  </m:r>
                </m:sub>
              </m:sSub>
            </m:e>
          </m:acc>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i</m:t>
              </m:r>
            </m:sub>
          </m:sSub>
          <m:acc>
            <m:accPr>
              <m:chr m:val="̃"/>
              <m:ctrlPr>
                <w:rPr>
                  <w:rFonts w:ascii="Cambria Math" w:hAnsi="Cambria Math" w:cs="Times New Roman"/>
                  <w:iCs/>
                </w:rPr>
              </m:ctrlPr>
            </m:accPr>
            <m:e>
              <m:r>
                <m:rPr>
                  <m:sty m:val="p"/>
                </m:rPr>
                <w:rPr>
                  <w:rFonts w:ascii="Cambria Math" w:hAnsi="Cambria Math" w:cs="Times New Roman"/>
                </w:rPr>
                <m:t>η</m:t>
              </m:r>
            </m:e>
          </m:acc>
        </m:oMath>
      </m:oMathPara>
    </w:p>
    <w:p w14:paraId="36EFCAC0"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Then </w:t>
      </w:r>
      <m:oMath>
        <m:sSub>
          <m:sSubPr>
            <m:ctrlPr>
              <w:rPr>
                <w:rFonts w:ascii="Cambria Math" w:hAnsi="Cambria Math" w:cs="Times New Roman"/>
                <w:iCs/>
              </w:rPr>
            </m:ctrlPr>
          </m:sSubPr>
          <m:e>
            <m:r>
              <w:rPr>
                <w:rFonts w:ascii="Cambria Math" w:hAnsi="Cambria Math" w:cs="Times New Roman"/>
              </w:rPr>
              <m:t>z</m:t>
            </m:r>
          </m:e>
          <m:sub>
            <m:r>
              <w:rPr>
                <w:rFonts w:ascii="Cambria Math" w:hAnsi="Cambria Math" w:cs="Times New Roman"/>
              </w:rPr>
              <m:t>i</m:t>
            </m:r>
          </m:sub>
        </m:sSub>
      </m:oMath>
      <w:r w:rsidRPr="00CB5EF4">
        <w:rPr>
          <w:rFonts w:ascii="Times New Roman" w:hAnsi="Times New Roman" w:cs="Times New Roman"/>
          <w:iCs/>
        </w:rPr>
        <w:t xml:space="preserve"> is sampled from </w:t>
      </w:r>
      <m:oMath>
        <m:acc>
          <m:accPr>
            <m:chr m:val="̃"/>
            <m:ctrlPr>
              <w:rPr>
                <w:rFonts w:ascii="Cambria Math" w:hAnsi="Cambria Math" w:cs="Times New Roman"/>
                <w:iCs/>
              </w:rPr>
            </m:ctrlPr>
          </m:accPr>
          <m:e>
            <m:sSub>
              <m:sSubPr>
                <m:ctrlPr>
                  <w:rPr>
                    <w:rFonts w:ascii="Cambria Math" w:hAnsi="Cambria Math" w:cs="Times New Roman"/>
                    <w:iCs/>
                  </w:rPr>
                </m:ctrlPr>
              </m:sSubPr>
              <m:e>
                <m:r>
                  <w:rPr>
                    <w:rFonts w:ascii="Cambria Math" w:hAnsi="Cambria Math" w:cs="Times New Roman"/>
                  </w:rPr>
                  <m:t>X</m:t>
                </m:r>
              </m:e>
              <m:sub>
                <m:r>
                  <w:rPr>
                    <w:rFonts w:ascii="Cambria Math" w:hAnsi="Cambria Math" w:cs="Times New Roman"/>
                  </w:rPr>
                  <m:t>i</m:t>
                </m:r>
              </m:sub>
            </m:sSub>
          </m:e>
        </m:acc>
      </m:oMath>
      <w:r w:rsidRPr="00CB5EF4">
        <w:rPr>
          <w:rFonts w:ascii="Times New Roman" w:hAnsi="Times New Roman" w:cs="Times New Roman"/>
          <w:iCs/>
        </w:rPr>
        <w:t>,</w:t>
      </w:r>
    </w:p>
    <w:p w14:paraId="284207E3" w14:textId="77777777" w:rsidR="00CB5EF4" w:rsidRPr="00CB5EF4" w:rsidRDefault="008E5812" w:rsidP="00CB5EF4">
      <w:pPr>
        <w:rPr>
          <w:rFonts w:ascii="Times New Roman" w:hAnsi="Times New Roman" w:cs="Times New Roman"/>
          <w:iCs/>
        </w:rPr>
      </w:pPr>
      <m:oMathPara>
        <m:oMath>
          <m:acc>
            <m:accPr>
              <m:chr m:val="̃"/>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m:t>
                  </m:r>
                </m:sub>
              </m:sSub>
            </m:e>
          </m:acc>
          <m:r>
            <m:rPr>
              <m:sty m:val="p"/>
            </m:rPr>
            <w:rPr>
              <w:rFonts w:ascii="Cambria Math" w:hAnsi="Cambria Math" w:cs="Times New Roman"/>
            </w:rPr>
            <m:t>∼</m:t>
          </m:r>
          <m:r>
            <m:rPr>
              <m:scr m:val="script"/>
            </m:rPr>
            <w:rPr>
              <w:rFonts w:ascii="Cambria Math" w:hAnsi="Cambria Math" w:cs="Times New Roman"/>
            </w:rPr>
            <m:t>N</m:t>
          </m:r>
          <m:d>
            <m:dPr>
              <m:ctrlPr>
                <w:rPr>
                  <w:rFonts w:ascii="Cambria Math" w:hAnsi="Cambria Math" w:cs="Times New Roman"/>
                  <w:i/>
                  <w:iCs/>
                </w:rPr>
              </m:ctrlPr>
            </m:dPr>
            <m:e>
              <m:acc>
                <m:accPr>
                  <m:chr m:val="̃"/>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i</m:t>
                      </m:r>
                    </m:sub>
                  </m:sSub>
                </m:e>
              </m:acc>
              <m:r>
                <w:rPr>
                  <w:rFonts w:ascii="Cambria Math" w:hAnsi="Cambria Math" w:cs="Times New Roman"/>
                </w:rPr>
                <m:t>,I</m:t>
              </m:r>
            </m:e>
          </m:d>
        </m:oMath>
      </m:oMathPara>
    </w:p>
    <w:p w14:paraId="083544AB"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=SparseSoftmax</m:t>
          </m:r>
          <m:d>
            <m:dPr>
              <m:ctrlPr>
                <w:rPr>
                  <w:rFonts w:ascii="Cambria Math" w:hAnsi="Cambria Math" w:cs="Times New Roman"/>
                  <w:i/>
                  <w:iCs/>
                </w:rPr>
              </m:ctrlPr>
            </m:dPr>
            <m:e>
              <m:acc>
                <m:accPr>
                  <m:chr m:val="̃"/>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m:t>
                      </m:r>
                    </m:sub>
                  </m:sSub>
                </m:e>
              </m:acc>
            </m:e>
          </m:d>
        </m:oMath>
      </m:oMathPara>
    </w:p>
    <w:p w14:paraId="7E98063F"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Reference free gene modules discovery</w:t>
      </w:r>
    </w:p>
    <w:p w14:paraId="29348C95"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Reference Free deconvolution method is conceptually like the reference based approach, except that </w:t>
      </w:r>
      <m:oMath>
        <m:sSub>
          <m:sSubPr>
            <m:ctrlPr>
              <w:rPr>
                <w:rFonts w:ascii="Cambria Math" w:hAnsi="Cambria Math" w:cs="Times New Roman"/>
                <w:iCs/>
              </w:rPr>
            </m:ctrlPr>
          </m:sSubPr>
          <m:e>
            <m:r>
              <w:rPr>
                <w:rFonts w:ascii="Cambria Math" w:hAnsi="Cambria Math" w:cs="Times New Roman"/>
              </w:rPr>
              <m:t>β</m:t>
            </m:r>
          </m:e>
          <m:sub>
            <m:r>
              <w:rPr>
                <w:rFonts w:ascii="Cambria Math" w:hAnsi="Cambria Math" w:cs="Times New Roman"/>
              </w:rPr>
              <m:t>kg</m:t>
            </m:r>
          </m:sub>
        </m:sSub>
      </m:oMath>
      <w:r w:rsidRPr="00CB5EF4">
        <w:rPr>
          <w:rFonts w:ascii="Times New Roman" w:hAnsi="Times New Roman" w:cs="Times New Roman"/>
          <w:iCs/>
        </w:rPr>
        <w:t xml:space="preserve"> is directly inferred from the data rather than from single cell transcriptomics,</w:t>
      </w:r>
    </w:p>
    <w:p w14:paraId="600206F8"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m:rPr>
                  <m:sty m:val="p"/>
                </m:rPr>
                <w:rPr>
                  <w:rFonts w:ascii="Cambria Math" w:hAnsi="Cambria Math" w:cs="Times New Roman"/>
                </w:rPr>
                <m:t>β</m:t>
              </m:r>
              <m:ctrlPr>
                <w:rPr>
                  <w:rFonts w:ascii="Cambria Math" w:hAnsi="Cambria Math" w:cs="Times New Roman"/>
                  <w:iCs/>
                </w:rPr>
              </m:ctrlPr>
            </m:e>
            <m:sub>
              <m:r>
                <w:rPr>
                  <w:rFonts w:ascii="Cambria Math" w:hAnsi="Cambria Math" w:cs="Times New Roman"/>
                </w:rPr>
                <m:t>kg</m:t>
              </m:r>
            </m:sub>
          </m:sSub>
          <m:r>
            <m:rPr>
              <m:sty m:val="p"/>
            </m:rPr>
            <w:rPr>
              <w:rFonts w:ascii="Cambria Math" w:hAnsi="Cambria Math" w:cs="Times New Roman"/>
            </w:rPr>
            <m:t>∼</m:t>
          </m:r>
          <m:r>
            <m:rPr>
              <m:nor/>
            </m:rPr>
            <w:rPr>
              <w:rFonts w:ascii="Times New Roman" w:hAnsi="Times New Roman" w:cs="Times New Roman"/>
              <w:iCs/>
            </w:rPr>
            <m:t>TruncatedGamma</m:t>
          </m:r>
          <m:d>
            <m:dPr>
              <m:ctrlPr>
                <w:rPr>
                  <w:rFonts w:ascii="Cambria Math" w:hAnsi="Cambria Math" w:cs="Times New Roman"/>
                  <w:i/>
                  <w:iCs/>
                </w:rPr>
              </m:ctrlPr>
            </m:dPr>
            <m:e>
              <m:r>
                <m:rPr>
                  <m:sty m:val="p"/>
                </m:rPr>
                <w:rPr>
                  <w:rFonts w:ascii="Cambria Math" w:hAnsi="Cambria Math" w:cs="Times New Roman"/>
                </w:rPr>
                <m:t>α</m:t>
              </m:r>
              <m:r>
                <w:rPr>
                  <w:rFonts w:ascii="Cambria Math" w:hAnsi="Cambria Math" w:cs="Times New Roman"/>
                </w:rPr>
                <m:t>,</m:t>
              </m:r>
              <m:r>
                <m:rPr>
                  <m:sty m:val="p"/>
                </m:rPr>
                <w:rPr>
                  <w:rFonts w:ascii="Cambria Math" w:hAnsi="Cambria Math" w:cs="Times New Roman"/>
                </w:rPr>
                <m:t>β</m:t>
              </m:r>
              <m:r>
                <w:rPr>
                  <w:rFonts w:ascii="Cambria Math" w:hAnsi="Cambria Math" w:cs="Times New Roman"/>
                </w:rPr>
                <m:t>,a,b</m:t>
              </m:r>
            </m:e>
          </m:d>
        </m:oMath>
      </m:oMathPara>
    </w:p>
    <w:p w14:paraId="48D245F0" w14:textId="77777777" w:rsidR="00CB5EF4" w:rsidRPr="00CB5EF4" w:rsidRDefault="008E5812" w:rsidP="00CB5EF4">
      <w:pPr>
        <w:rPr>
          <w:rFonts w:ascii="Times New Roman" w:hAnsi="Times New Roman" w:cs="Times New Roman"/>
          <w:iCs/>
        </w:rPr>
      </w:pPr>
      <m:oMathPara>
        <m:oMath>
          <m:sSub>
            <m:sSubPr>
              <m:ctrlPr>
                <w:rPr>
                  <w:rFonts w:ascii="Cambria Math" w:hAnsi="Cambria Math" w:cs="Times New Roman"/>
                  <w:i/>
                  <w:iCs/>
                </w:rPr>
              </m:ctrlPr>
            </m:sSubPr>
            <m:e>
              <m:r>
                <m:rPr>
                  <m:sty m:val="p"/>
                </m:rPr>
                <w:rPr>
                  <w:rFonts w:ascii="Cambria Math" w:hAnsi="Cambria Math" w:cs="Times New Roman"/>
                </w:rPr>
                <m:t>β</m:t>
              </m:r>
              <m:ctrlPr>
                <w:rPr>
                  <w:rFonts w:ascii="Cambria Math" w:hAnsi="Cambria Math" w:cs="Times New Roman"/>
                  <w:iCs/>
                </w:rPr>
              </m:ctrlPr>
            </m:e>
            <m:sub>
              <m:r>
                <w:rPr>
                  <w:rFonts w:ascii="Cambria Math" w:hAnsi="Cambria Math" w:cs="Times New Roman"/>
                </w:rPr>
                <m:t>k</m:t>
              </m:r>
            </m:sub>
          </m:sSub>
          <m:r>
            <w:rPr>
              <w:rFonts w:ascii="Cambria Math" w:hAnsi="Cambria Math" w:cs="Times New Roman"/>
            </w:rPr>
            <m:t>=Softmax(</m:t>
          </m:r>
          <m:sSub>
            <m:sSubPr>
              <m:ctrlPr>
                <w:rPr>
                  <w:rFonts w:ascii="Cambria Math" w:hAnsi="Cambria Math" w:cs="Times New Roman"/>
                  <w:i/>
                  <w:iCs/>
                </w:rPr>
              </m:ctrlPr>
            </m:sSubPr>
            <m:e>
              <m:r>
                <m:rPr>
                  <m:sty m:val="p"/>
                </m:rPr>
                <w:rPr>
                  <w:rFonts w:ascii="Cambria Math" w:hAnsi="Cambria Math" w:cs="Times New Roman"/>
                </w:rPr>
                <m:t>β</m:t>
              </m:r>
              <m:ctrlPr>
                <w:rPr>
                  <w:rFonts w:ascii="Cambria Math" w:hAnsi="Cambria Math" w:cs="Times New Roman"/>
                  <w:iCs/>
                </w:rPr>
              </m:ctrlPr>
            </m:e>
            <m:sub>
              <m:r>
                <w:rPr>
                  <w:rFonts w:ascii="Cambria Math" w:hAnsi="Cambria Math" w:cs="Times New Roman"/>
                </w:rPr>
                <m:t>k</m:t>
              </m:r>
            </m:sub>
          </m:sSub>
          <m:r>
            <w:rPr>
              <w:rFonts w:ascii="Cambria Math" w:hAnsi="Cambria Math" w:cs="Times New Roman"/>
            </w:rPr>
            <m:t>)</m:t>
          </m:r>
        </m:oMath>
      </m:oMathPara>
    </w:p>
    <w:p w14:paraId="45D1ECF7" w14:textId="0ADB5291"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The </w:t>
      </w:r>
      <m:oMath>
        <m:r>
          <w:rPr>
            <w:rFonts w:ascii="Cambria Math" w:hAnsi="Cambria Math" w:cs="Times New Roman"/>
          </w:rPr>
          <m:t>alpha</m:t>
        </m:r>
      </m:oMath>
      <w:r w:rsidRPr="00CB5EF4">
        <w:rPr>
          <w:rFonts w:ascii="Times New Roman" w:hAnsi="Times New Roman" w:cs="Times New Roman"/>
          <w:iCs/>
        </w:rPr>
        <w:t xml:space="preserve"> and </w:t>
      </w:r>
      <m:oMath>
        <m:r>
          <w:rPr>
            <w:rFonts w:ascii="Cambria Math" w:hAnsi="Cambria Math" w:cs="Times New Roman"/>
          </w:rPr>
          <m:t>rate</m:t>
        </m:r>
      </m:oMath>
      <w:r w:rsidRPr="00CB5EF4">
        <w:rPr>
          <w:rFonts w:ascii="Times New Roman" w:hAnsi="Times New Roman" w:cs="Times New Roman"/>
          <w:iCs/>
        </w:rPr>
        <w:t xml:space="preserve"> values control the strength of the prior knowledge, and </w:t>
      </w:r>
      <m:oMath>
        <m:r>
          <w:rPr>
            <w:rFonts w:ascii="Cambria Math" w:hAnsi="Cambria Math" w:cs="Times New Roman"/>
          </w:rPr>
          <m:t>a</m:t>
        </m:r>
      </m:oMath>
      <w:r w:rsidRPr="00CB5EF4">
        <w:rPr>
          <w:rFonts w:ascii="Times New Roman" w:hAnsi="Times New Roman" w:cs="Times New Roman"/>
          <w:iCs/>
        </w:rPr>
        <w:t xml:space="preserve"> and </w:t>
      </w:r>
      <m:oMath>
        <m:r>
          <w:rPr>
            <w:rFonts w:ascii="Cambria Math" w:hAnsi="Cambria Math" w:cs="Times New Roman"/>
          </w:rPr>
          <m:t>b</m:t>
        </m:r>
      </m:oMath>
      <w:r w:rsidRPr="00CB5EF4">
        <w:rPr>
          <w:rFonts w:ascii="Times New Roman" w:hAnsi="Times New Roman" w:cs="Times New Roman"/>
          <w:iCs/>
        </w:rPr>
        <w:t xml:space="preserve"> correspond to upper and lower bounds relatively. We also provided another methods for </w:t>
      </w:r>
      <m:oMath>
        <m:sSub>
          <m:sSubPr>
            <m:ctrlPr>
              <w:rPr>
                <w:rFonts w:ascii="Cambria Math" w:hAnsi="Cambria Math" w:cs="Times New Roman"/>
                <w:i/>
                <w:iCs/>
              </w:rPr>
            </m:ctrlPr>
          </m:sSubPr>
          <m:e>
            <m:r>
              <m:rPr>
                <m:sty m:val="p"/>
              </m:rPr>
              <w:rPr>
                <w:rFonts w:ascii="Cambria Math" w:hAnsi="Cambria Math" w:cs="Times New Roman"/>
              </w:rPr>
              <m:t>β</m:t>
            </m:r>
            <m:ctrlPr>
              <w:rPr>
                <w:rFonts w:ascii="Cambria Math" w:hAnsi="Cambria Math" w:cs="Times New Roman"/>
                <w:iCs/>
              </w:rPr>
            </m:ctrlPr>
          </m:e>
          <m:sub>
            <m:r>
              <w:rPr>
                <w:rFonts w:ascii="Cambria Math" w:hAnsi="Cambria Math" w:cs="Times New Roman"/>
              </w:rPr>
              <m:t>kg</m:t>
            </m:r>
          </m:sub>
        </m:sSub>
      </m:oMath>
      <w:r w:rsidRPr="00CB5EF4">
        <w:rPr>
          <w:rFonts w:ascii="Times New Roman" w:hAnsi="Times New Roman" w:cs="Times New Roman"/>
          <w:i/>
          <w:vertAlign w:val="subscript"/>
        </w:rPr>
        <w:t xml:space="preserve"> </w:t>
      </w:r>
      <w:r w:rsidRPr="00CB5EF4">
        <w:rPr>
          <w:rFonts w:ascii="Times New Roman" w:hAnsi="Times New Roman" w:cs="Times New Roman"/>
          <w:iCs/>
        </w:rPr>
        <w:t>according to previous study</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{"citationID":"jPDKepkF","properties":{"formattedCitation":"\\super 2\\nosupersub{}","plainCitation":"2","noteIndex":0},"citationItems":[{"id":988,"uris":["http://zotero.org/users/9017146/items/ZX8WGRD9"],"itemData":{"id":988,"type":"article-journal","abstract":"Spatial transcriptomics produces high-dimensional gene expression measurements with spatial context. Obtaining a biologically meaningful low-dimensional representation of such data is crucial for effective interpretation and downstream analysis. Here, we present Spatial Transcriptomics Analysis with topic Modeling to uncover spatial Patterns (STAMP), an interpretable spatially aware dimension reduction method built on a deep generative model that returns biologically relevant, low-dimensional spatial topics and associated gene modules. STAMP can analyze data ranging from a single section to multiple sections and from different technologies to time-series data, returning topics matching known biological domains and associated gene modules containing established markers highly ranked within. In a lung cancer sample, STAMP delineated cell states with supporting markers at a higher resolution than the original annotation and uncovered cancer-associated fibroblasts concentrated on the tumor edge’s exterior. In time-series data of mouse embryonic development, STAMP disentangled the erythro-myeloid hematopoiesis and hepatocytes developmental trajectories within the liver. STAMP is highly scalable and can handle more than 500,000 cells.","container-title":"Nature Methods","DOI":"10.1038/s41592-024-02463-8","ISSN":"1548-7105","issue":"11","journalAbbreviation":"Nat Methods","language":"en","license":"2024 The Author(s)","note":"publisher: Nature Publishing Group","page":"2072-2083","source":"www.nature.com","title":"Interpretable spatially aware dimension reduction of spatial transcriptomics with STAMP","volume":"21","author":[{"family":"Zhong","given":"Chengwei"},{"family":"Ang","given":"Kok Siong"},{"family":"Chen","given":"Jinmiao"}],"issued":{"date-parts":[["2024",11]]}}}],"schema":"https://github.com/citation-style-language/schema/raw/master/csl-citation.json"}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2</w:t>
      </w:r>
      <w:r w:rsidRPr="00CB5EF4">
        <w:rPr>
          <w:rFonts w:ascii="Times New Roman" w:hAnsi="Times New Roman" w:cs="Times New Roman"/>
          <w:iCs/>
        </w:rPr>
        <w:fldChar w:fldCharType="end"/>
      </w:r>
      <w:r w:rsidRPr="00CB5EF4">
        <w:rPr>
          <w:rFonts w:ascii="Times New Roman" w:hAnsi="Times New Roman" w:cs="Times New Roman"/>
          <w:iCs/>
        </w:rPr>
        <w:t>, where</w:t>
      </w:r>
      <w:r w:rsidRPr="00CB5EF4">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kg</m:t>
            </m:r>
          </m:sub>
        </m:sSub>
      </m:oMath>
      <w:r w:rsidRPr="00CB5EF4">
        <w:rPr>
          <w:rFonts w:ascii="Times New Roman" w:hAnsi="Times New Roman" w:cs="Times New Roman"/>
          <w:iCs/>
        </w:rPr>
        <w:t xml:space="preserve"> modeling as the sum of the background mean expression and the derivation of each gene if it indeed gives information for each gene module. </w:t>
      </w:r>
    </w:p>
    <w:p w14:paraId="217CA556" w14:textId="77777777" w:rsidR="00CB5EF4" w:rsidRPr="00CB5EF4" w:rsidRDefault="00CB5EF4" w:rsidP="00CB5EF4">
      <w:pPr>
        <w:spacing w:beforeLines="50" w:before="163" w:afterLines="50" w:after="163"/>
        <w:rPr>
          <w:rFonts w:ascii="Times New Roman" w:hAnsi="Times New Roman" w:cs="Times New Roman"/>
          <w:b/>
          <w:bCs/>
          <w:sz w:val="21"/>
          <w:szCs w:val="21"/>
        </w:rPr>
      </w:pPr>
      <w:r w:rsidRPr="00CB5EF4">
        <w:rPr>
          <w:rFonts w:ascii="Times New Roman" w:hAnsi="Times New Roman" w:cs="Times New Roman"/>
          <w:b/>
          <w:bCs/>
          <w:sz w:val="21"/>
          <w:szCs w:val="21"/>
        </w:rPr>
        <w:t>Spatial regularization</w:t>
      </w:r>
    </w:p>
    <w:p w14:paraId="45DF9368"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To incorporate spatial context into the model, we first constructed an adjacency matrix that captures spatial relationships between spots or cells. For grid-based spatial transcriptomics data (e.g., 10x Visium), we used a k-nearest neighbors (k-NN) approach to define spatial neighborhoods, and applied a radial basis function (RBF) kernel to weight the edges based on physical distances between locations. For image-based platforms (e.g., CosMx or Xenium), the spatial network was constructed using Delaunay triangulation, as implemented in the Squidpy toolkit, which captures the local geometric structure of the tissue.</w:t>
      </w:r>
    </w:p>
    <w:p w14:paraId="2D26DB58"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Based on this adjacency structure, we derived a graph Laplacian matrix </w:t>
      </w:r>
      <m:oMath>
        <m:r>
          <w:rPr>
            <w:rFonts w:ascii="Cambria Math" w:hAnsi="Cambria Math" w:cs="Times New Roman"/>
          </w:rPr>
          <m:t>L</m:t>
        </m:r>
      </m:oMath>
      <w:r w:rsidRPr="00CB5EF4">
        <w:rPr>
          <w:rFonts w:ascii="Times New Roman" w:hAnsi="Times New Roman" w:cs="Times New Roman"/>
          <w:iCs/>
        </w:rPr>
        <w:t xml:space="preserve">, which was then used to introduce spatial regularization into the model. This regularization leverages the spatial relationships between locations by incorporating a graph Laplacian matrix </w:t>
      </w:r>
      <m:oMath>
        <m:r>
          <w:rPr>
            <w:rFonts w:ascii="Cambria Math" w:hAnsi="Cambria Math" w:cs="Times New Roman"/>
          </w:rPr>
          <m:t>L</m:t>
        </m:r>
      </m:oMath>
      <w:r w:rsidRPr="00CB5EF4">
        <w:rPr>
          <w:rFonts w:ascii="Times New Roman" w:hAnsi="Times New Roman" w:cs="Times New Roman"/>
          <w:iCs/>
        </w:rPr>
        <w:t xml:space="preserve">, which is derived from the spatial adjacency matrix constructed based on physical proximity. The spatial regularization term is then formulated as the </w:t>
      </w:r>
      <w:r w:rsidRPr="00CB5EF4">
        <w:rPr>
          <w:rFonts w:ascii="Times New Roman" w:hAnsi="Times New Roman" w:cs="Times New Roman"/>
          <w:iCs/>
        </w:rPr>
        <w:lastRenderedPageBreak/>
        <w:t xml:space="preserve">trace of the matrix product </w:t>
      </w:r>
      <m:oMath>
        <m:r>
          <w:rPr>
            <w:rFonts w:ascii="Cambria Math" w:hAnsi="Cambria Math" w:cs="Times New Roman"/>
          </w:rPr>
          <m:t>Tr</m:t>
        </m:r>
        <m:d>
          <m:dPr>
            <m:ctrlPr>
              <w:rPr>
                <w:rFonts w:ascii="Cambria Math" w:hAnsi="Cambria Math" w:cs="Times New Roman"/>
                <w:iCs/>
              </w:rPr>
            </m:ctrlPr>
          </m:dPr>
          <m:e>
            <m:sSup>
              <m:sSupPr>
                <m:ctrlPr>
                  <w:rPr>
                    <w:rFonts w:ascii="Cambria Math" w:hAnsi="Cambria Math" w:cs="Times New Roman"/>
                    <w:iCs/>
                  </w:rPr>
                </m:ctrlPr>
              </m:sSupPr>
              <m:e>
                <m:r>
                  <m:rPr>
                    <m:sty m:val="p"/>
                  </m:rPr>
                  <w:rPr>
                    <w:rFonts w:ascii="Cambria Math" w:hAnsi="Cambria Math" w:cs="Times New Roman"/>
                  </w:rPr>
                  <m:t>Z</m:t>
                </m:r>
              </m:e>
              <m:sup>
                <m:r>
                  <w:rPr>
                    <w:rFonts w:ascii="Cambria Math" w:hAnsi="Cambria Math" w:cs="Times New Roman"/>
                  </w:rPr>
                  <m:t>T</m:t>
                </m:r>
              </m:sup>
            </m:sSup>
            <m:r>
              <w:rPr>
                <w:rFonts w:ascii="Cambria Math" w:hAnsi="Cambria Math" w:cs="Times New Roman"/>
              </w:rPr>
              <m:t>L</m:t>
            </m:r>
            <m:r>
              <m:rPr>
                <m:sty m:val="p"/>
              </m:rPr>
              <w:rPr>
                <w:rFonts w:ascii="Cambria Math" w:hAnsi="Cambria Math" w:cs="Times New Roman"/>
              </w:rPr>
              <m:t>Z</m:t>
            </m:r>
          </m:e>
        </m:d>
      </m:oMath>
      <w:r w:rsidRPr="00CB5EF4">
        <w:rPr>
          <w:rFonts w:ascii="Times New Roman" w:hAnsi="Times New Roman" w:cs="Times New Roman"/>
          <w:iCs/>
        </w:rPr>
        <w:t xml:space="preserve"> where </w:t>
      </w:r>
      <m:oMath>
        <m:r>
          <m:rPr>
            <m:sty m:val="p"/>
          </m:rPr>
          <w:rPr>
            <w:rFonts w:ascii="Cambria Math" w:hAnsi="Cambria Math" w:cs="Times New Roman"/>
          </w:rPr>
          <m:t>Z</m:t>
        </m:r>
      </m:oMath>
      <w:r w:rsidRPr="00CB5EF4">
        <w:rPr>
          <w:rFonts w:ascii="Times New Roman" w:hAnsi="Times New Roman" w:cs="Times New Roman"/>
          <w:iCs/>
        </w:rPr>
        <w:t xml:space="preserve"> is the gene modules’ activities. This trace term penalizes large differences in module distributions between neighboring spatial locations, thus promoting local smoothness and encouraging spatial coherence in the inferred gene modules. The influence of this regularization term is controlled by a hyperparameter, which balances the trade-off between fitting the observed data and enforcing spatial smoothness. This approach allows the model to better capture biologically meaningful spatial patterns and module interactions within the tissue context.</w:t>
      </w:r>
    </w:p>
    <w:p w14:paraId="46B97B49" w14:textId="77777777" w:rsidR="00CB5EF4" w:rsidRPr="00CB5EF4" w:rsidRDefault="00CB5EF4" w:rsidP="00CB5EF4">
      <w:pPr>
        <w:spacing w:beforeLines="50" w:before="163" w:afterLines="50" w:after="163"/>
        <w:rPr>
          <w:rFonts w:ascii="Times New Roman" w:hAnsi="Times New Roman" w:cs="Times New Roman"/>
          <w:b/>
          <w:bCs/>
          <w:sz w:val="21"/>
          <w:szCs w:val="21"/>
        </w:rPr>
      </w:pPr>
      <w:r w:rsidRPr="00CB5EF4">
        <w:rPr>
          <w:rFonts w:ascii="Times New Roman" w:hAnsi="Times New Roman" w:cs="Times New Roman"/>
          <w:b/>
          <w:bCs/>
          <w:sz w:val="21"/>
          <w:szCs w:val="21"/>
        </w:rPr>
        <w:t>Inference</w:t>
      </w:r>
    </w:p>
    <w:p w14:paraId="54BB81D3"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We employed Variational Bayesian Inference to approximate the posterior distribution, using the Automatic Differentiation Variational Inference (ADVI) framework implemented in Pyro. In brief, ADVI approximates the true posterior over unknown parameters with variational distributions that are parameterized as univariate normal distributions. To ensure positivity where required (e.g., for scale parameters), the means and standard deviations are reparametrized using a softplus transformation. The parameters of these variational distributions are optimized by minimizing the Kullback–Leibler (KL) divergence between the variational approximation and the true posterior, which is equivalent to maximizing the evidence lower bound (ELBO) on the marginal likelihood.</w:t>
      </w:r>
    </w:p>
    <w:p w14:paraId="3870617B" w14:textId="77777777" w:rsidR="00CB5EF4" w:rsidRPr="00CB5EF4" w:rsidRDefault="00CB5EF4" w:rsidP="00CB5EF4">
      <w:pPr>
        <w:spacing w:beforeLines="50" w:before="163" w:afterLines="50" w:after="163"/>
        <w:rPr>
          <w:rFonts w:ascii="Times New Roman" w:hAnsi="Times New Roman" w:cs="Times New Roman"/>
          <w:b/>
          <w:bCs/>
          <w:iCs/>
        </w:rPr>
      </w:pPr>
      <w:r w:rsidRPr="00CB5EF4">
        <w:rPr>
          <w:rFonts w:ascii="Times New Roman" w:hAnsi="Times New Roman" w:cs="Times New Roman"/>
          <w:b/>
          <w:bCs/>
          <w:iCs/>
        </w:rPr>
        <w:t>Spatial module-module interactions</w:t>
      </w:r>
    </w:p>
    <w:p w14:paraId="4A587FC1"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The outputs of SIGMOD include the gene module activity</w:t>
      </w:r>
      <w:r w:rsidRPr="00CB5EF4">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ik</m:t>
            </m:r>
          </m:sub>
        </m:sSub>
      </m:oMath>
      <w:r w:rsidRPr="00CB5EF4">
        <w:rPr>
          <w:rFonts w:ascii="Times New Roman" w:hAnsi="Times New Roman" w:cs="Times New Roman"/>
          <w:i/>
        </w:rPr>
        <w:t xml:space="preserve"> </w:t>
      </w:r>
      <w:r w:rsidRPr="00CB5EF4">
        <w:rPr>
          <w:rFonts w:ascii="Times New Roman" w:hAnsi="Times New Roman" w:cs="Times New Roman"/>
          <w:iCs/>
        </w:rPr>
        <w:t xml:space="preserve">of the </w:t>
      </w:r>
      <m:oMath>
        <m:r>
          <w:rPr>
            <w:rFonts w:ascii="Cambria Math" w:hAnsi="Cambria Math" w:cs="Times New Roman"/>
          </w:rPr>
          <m:t>k</m:t>
        </m:r>
      </m:oMath>
      <w:r w:rsidRPr="00CB5EF4">
        <w:rPr>
          <w:rFonts w:ascii="Times New Roman" w:hAnsi="Times New Roman" w:cs="Times New Roman"/>
          <w:iCs/>
        </w:rPr>
        <w:t xml:space="preserve"> gene module in the </w:t>
      </w:r>
      <m:oMath>
        <m:r>
          <w:rPr>
            <w:rFonts w:ascii="Cambria Math" w:hAnsi="Cambria Math" w:cs="Times New Roman"/>
          </w:rPr>
          <m:t>i</m:t>
        </m:r>
      </m:oMath>
      <w:r w:rsidRPr="00CB5EF4">
        <w:rPr>
          <w:rFonts w:ascii="Times New Roman" w:hAnsi="Times New Roman" w:cs="Times New Roman"/>
          <w:iCs/>
        </w:rPr>
        <w:t xml:space="preserve"> spot/cell, along with the composition </w:t>
      </w:r>
      <m:oMath>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kg</m:t>
            </m:r>
          </m:sub>
        </m:sSub>
      </m:oMath>
      <w:r w:rsidRPr="00CB5EF4">
        <w:rPr>
          <w:rFonts w:ascii="Times New Roman" w:hAnsi="Times New Roman" w:cs="Times New Roman"/>
          <w:iCs/>
        </w:rPr>
        <w:t xml:space="preserve"> of the </w:t>
      </w:r>
      <m:oMath>
        <m:r>
          <w:rPr>
            <w:rFonts w:ascii="Cambria Math" w:hAnsi="Cambria Math" w:cs="Times New Roman"/>
          </w:rPr>
          <m:t>k</m:t>
        </m:r>
      </m:oMath>
      <w:r w:rsidRPr="00CB5EF4">
        <w:rPr>
          <w:rFonts w:ascii="Times New Roman" w:hAnsi="Times New Roman" w:cs="Times New Roman"/>
          <w:iCs/>
        </w:rPr>
        <w:t xml:space="preserve"> gene module. Additionally, SIGMOD outputs the influence </w:t>
      </w:r>
      <m:oMath>
        <m:sSub>
          <m:sSubPr>
            <m:ctrlPr>
              <w:rPr>
                <w:rFonts w:ascii="Cambria Math" w:hAnsi="Cambria Math" w:cs="Times New Roman"/>
                <w:i/>
                <w:iCs/>
              </w:rPr>
            </m:ctrlPr>
          </m:sSubPr>
          <m:e>
            <m:r>
              <w:rPr>
                <w:rFonts w:ascii="Cambria Math" w:hAnsi="Cambria Math" w:cs="Times New Roman"/>
              </w:rPr>
              <m:t>η</m:t>
            </m:r>
          </m:e>
          <m:sub>
            <m:r>
              <w:rPr>
                <w:rFonts w:ascii="Cambria Math" w:hAnsi="Cambria Math" w:cs="Times New Roman"/>
              </w:rPr>
              <m:t>mk</m:t>
            </m:r>
          </m:sub>
        </m:sSub>
      </m:oMath>
      <w:r w:rsidRPr="00CB5EF4">
        <w:rPr>
          <w:rFonts w:ascii="Times New Roman" w:hAnsi="Times New Roman" w:cs="Times New Roman"/>
          <w:iCs/>
        </w:rPr>
        <w:t xml:space="preserve"> of the constructed microenvironment information </w:t>
      </w:r>
      <m:oMath>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im</m:t>
            </m:r>
          </m:sub>
        </m:sSub>
      </m:oMath>
      <w:r w:rsidRPr="00CB5EF4">
        <w:rPr>
          <w:rFonts w:ascii="Times New Roman" w:hAnsi="Times New Roman" w:cs="Times New Roman"/>
          <w:iCs/>
        </w:rPr>
        <w:t xml:space="preserve">​ on the gene modules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ik</m:t>
            </m:r>
          </m:sub>
        </m:sSub>
      </m:oMath>
      <w:r w:rsidRPr="00CB5EF4">
        <w:rPr>
          <w:rFonts w:ascii="Times New Roman" w:hAnsi="Times New Roman" w:cs="Times New Roman"/>
          <w:i/>
          <w:vertAlign w:val="subscript"/>
        </w:rPr>
        <w:t>​</w:t>
      </w:r>
      <w:r w:rsidRPr="00CB5EF4">
        <w:rPr>
          <w:rFonts w:ascii="Times New Roman" w:hAnsi="Times New Roman" w:cs="Times New Roman"/>
          <w:iCs/>
        </w:rPr>
        <w:t>. Based on these outputs, we proposed following applications:</w:t>
      </w:r>
    </w:p>
    <w:p w14:paraId="4029E14F"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Cell type-specific gene modules interactions</w:t>
      </w:r>
    </w:p>
    <w:p w14:paraId="21B57782"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lastRenderedPageBreak/>
        <w:t>When constructing microenvironment information using spatially variable ligand-receptor interactions, we further integrate paired single-cell transcriptomic sequencing data to infer the interactions between cell types in the spatial transcriptomics data. Only statistically differential expressed ligand and receptor expression in single-cell transcriptomics are considered. The specific calculation is as follows:</w:t>
      </w:r>
    </w:p>
    <w:p w14:paraId="49B6679B" w14:textId="77777777" w:rsidR="00CB5EF4" w:rsidRPr="00CB5EF4" w:rsidRDefault="008E5812" w:rsidP="00CB5EF4">
      <w:pPr>
        <w:rPr>
          <w:rFonts w:ascii="Times New Roman" w:hAnsi="Times New Roman" w:cs="Times New Roman"/>
          <w:iCs/>
        </w:rPr>
      </w:pPr>
      <m:oMathPara>
        <m:oMath>
          <m:sSubSup>
            <m:sSubSupPr>
              <m:ctrlPr>
                <w:rPr>
                  <w:rFonts w:ascii="Cambria Math" w:hAnsi="Cambria Math" w:cs="Times New Roman"/>
                  <w:i/>
                  <w:iCs/>
                </w:rPr>
              </m:ctrlPr>
            </m:sSubSupPr>
            <m:e>
              <m:r>
                <m:rPr>
                  <m:sty m:val="p"/>
                </m:rPr>
                <w:rPr>
                  <w:rFonts w:ascii="Cambria Math" w:hAnsi="Cambria Math" w:cs="Times New Roman"/>
                </w:rPr>
                <m:t>η</m:t>
              </m:r>
              <m:ctrlPr>
                <w:rPr>
                  <w:rFonts w:ascii="Cambria Math" w:hAnsi="Cambria Math" w:cs="Times New Roman"/>
                  <w:iCs/>
                </w:rPr>
              </m:ctrlPr>
            </m:e>
            <m:sub>
              <m:r>
                <w:rPr>
                  <w:rFonts w:ascii="Cambria Math" w:hAnsi="Cambria Math" w:cs="Times New Roman"/>
                </w:rPr>
                <m:t>k</m:t>
              </m:r>
            </m:sub>
            <m:sup>
              <m:r>
                <w:rPr>
                  <w:rFonts w:ascii="Cambria Math" w:hAnsi="Cambria Math" w:cs="Times New Roman"/>
                </w:rPr>
                <m:t>lr</m:t>
              </m:r>
            </m:sup>
          </m:sSubSup>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H</m:t>
              </m:r>
            </m:e>
            <m:sub>
              <m:r>
                <w:rPr>
                  <w:rFonts w:ascii="Cambria Math" w:hAnsi="Cambria Math" w:cs="Times New Roman"/>
                </w:rPr>
                <m:t>m,lr</m:t>
              </m:r>
            </m:sub>
            <m:sup>
              <m:r>
                <w:rPr>
                  <w:rFonts w:ascii="Cambria Math" w:hAnsi="Cambria Math" w:cs="Times New Roman"/>
                </w:rPr>
                <m:t>T</m:t>
              </m:r>
            </m:sup>
          </m:sSubSup>
          <m:r>
            <w:rPr>
              <w:rFonts w:ascii="Cambria Math" w:hAnsi="Cambria Math" w:cs="Times New Roman"/>
            </w:rPr>
            <m:t>*</m:t>
          </m:r>
          <m:sSub>
            <m:sSubPr>
              <m:ctrlPr>
                <w:rPr>
                  <w:rFonts w:ascii="Cambria Math" w:hAnsi="Cambria Math" w:cs="Times New Roman"/>
                  <w:i/>
                  <w:iCs/>
                </w:rPr>
              </m:ctrlPr>
            </m:sSubPr>
            <m:e>
              <m:r>
                <m:rPr>
                  <m:sty m:val="p"/>
                </m:rPr>
                <w:rPr>
                  <w:rFonts w:ascii="Cambria Math" w:hAnsi="Cambria Math" w:cs="Times New Roman"/>
                </w:rPr>
                <m:t>η</m:t>
              </m:r>
            </m:e>
            <m:sub>
              <m:r>
                <w:rPr>
                  <w:rFonts w:ascii="Cambria Math" w:hAnsi="Cambria Math" w:cs="Times New Roman"/>
                </w:rPr>
                <m:t>mk</m:t>
              </m:r>
            </m:sub>
          </m:sSub>
        </m:oMath>
      </m:oMathPara>
    </w:p>
    <w:p w14:paraId="75B173AE" w14:textId="77777777" w:rsidR="00CB5EF4" w:rsidRPr="00CB5EF4" w:rsidRDefault="008E5812" w:rsidP="00CB5EF4">
      <w:pPr>
        <w:rPr>
          <w:rFonts w:ascii="Times New Roman" w:hAnsi="Times New Roman" w:cs="Times New Roman"/>
        </w:rPr>
      </w:pPr>
      <m:oMathPara>
        <m:oMath>
          <m:acc>
            <m:accPr>
              <m:ctrlPr>
                <w:rPr>
                  <w:rFonts w:ascii="Cambria Math" w:hAnsi="Cambria Math" w:cs="Times New Roman"/>
                </w:rPr>
              </m:ctrlPr>
            </m:accPr>
            <m:e>
              <m:sSubSup>
                <m:sSubSupPr>
                  <m:ctrlPr>
                    <w:rPr>
                      <w:rFonts w:ascii="Cambria Math" w:hAnsi="Cambria Math" w:cs="Times New Roman"/>
                      <w:i/>
                    </w:rPr>
                  </m:ctrlPr>
                </m:sSubSupPr>
                <m:e>
                  <m:r>
                    <m:rPr>
                      <m:sty m:val="p"/>
                    </m:rPr>
                    <w:rPr>
                      <w:rFonts w:ascii="Cambria Math" w:hAnsi="Cambria Math" w:cs="Times New Roman"/>
                    </w:rPr>
                    <m:t>η</m:t>
                  </m:r>
                  <m:ctrlPr>
                    <w:rPr>
                      <w:rFonts w:ascii="Cambria Math" w:hAnsi="Cambria Math" w:cs="Times New Roman"/>
                    </w:rPr>
                  </m:ctrlPr>
                </m:e>
                <m:sub>
                  <m:r>
                    <w:rPr>
                      <w:rFonts w:ascii="Cambria Math" w:hAnsi="Cambria Math" w:cs="Times New Roman"/>
                    </w:rPr>
                    <m:t>k</m:t>
                  </m:r>
                </m:sub>
                <m:sup>
                  <m:r>
                    <w:rPr>
                      <w:rFonts w:ascii="Cambria Math" w:hAnsi="Cambria Math" w:cs="Times New Roman"/>
                    </w:rPr>
                    <m:t>lr</m:t>
                  </m:r>
                </m:sup>
              </m:sSubSup>
            </m:e>
          </m:acc>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η</m:t>
              </m:r>
            </m:e>
            <m:sub>
              <m:r>
                <w:rPr>
                  <w:rFonts w:ascii="Cambria Math" w:hAnsi="Cambria Math" w:cs="Times New Roman"/>
                </w:rPr>
                <m:t>k</m:t>
              </m:r>
            </m:sub>
            <m:sup>
              <m:r>
                <w:rPr>
                  <w:rFonts w:ascii="Cambria Math" w:hAnsi="Cambria Math" w:cs="Times New Roman"/>
                </w:rPr>
                <m:t>lr</m:t>
              </m:r>
            </m:sup>
          </m:sSubSup>
          <m:r>
            <w:rPr>
              <w:rFonts w:ascii="Cambria Math" w:hAnsi="Cambria Math" w:cs="Times New Roman"/>
            </w:rPr>
            <m:t>*</m:t>
          </m:r>
          <m:acc>
            <m:accPr>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R</m:t>
                  </m:r>
                  <m:ctrlPr>
                    <w:rPr>
                      <w:rFonts w:ascii="Cambria Math" w:hAnsi="Cambria Math" w:cs="Times New Roman"/>
                    </w:rPr>
                  </m:ctrlPr>
                </m:e>
                <m:sub>
                  <m:r>
                    <w:rPr>
                      <w:rFonts w:ascii="Cambria Math" w:hAnsi="Cambria Math" w:cs="Times New Roman"/>
                    </w:rPr>
                    <m:t>kr</m:t>
                  </m:r>
                </m:sub>
              </m:sSub>
            </m:e>
          </m:acc>
        </m:oMath>
      </m:oMathPara>
    </w:p>
    <w:p w14:paraId="33AFDA44"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Where </w:t>
      </w:r>
      <m:oMath>
        <m:sSub>
          <m:sSubPr>
            <m:ctrlPr>
              <w:rPr>
                <w:rFonts w:ascii="Cambria Math" w:hAnsi="Cambria Math" w:cs="Times New Roman"/>
                <w:iCs/>
              </w:rPr>
            </m:ctrlPr>
          </m:sSubPr>
          <m:e>
            <m:r>
              <w:rPr>
                <w:rFonts w:ascii="Cambria Math" w:hAnsi="Cambria Math" w:cs="Times New Roman"/>
              </w:rPr>
              <m:t>η</m:t>
            </m:r>
          </m:e>
          <m:sub>
            <m:r>
              <w:rPr>
                <w:rFonts w:ascii="Cambria Math" w:hAnsi="Cambria Math" w:cs="Times New Roman"/>
              </w:rPr>
              <m:t>mk</m:t>
            </m:r>
          </m:sub>
        </m:sSub>
      </m:oMath>
      <w:r w:rsidRPr="00CB5EF4">
        <w:rPr>
          <w:rFonts w:ascii="Times New Roman" w:hAnsi="Times New Roman" w:cs="Times New Roman"/>
          <w:iCs/>
        </w:rPr>
        <w:t xml:space="preserve">​​ represents the influence of the </w:t>
      </w:r>
      <m:oMath>
        <m:r>
          <w:rPr>
            <w:rFonts w:ascii="Cambria Math" w:hAnsi="Cambria Math" w:cs="Times New Roman"/>
          </w:rPr>
          <m:t>m</m:t>
        </m:r>
      </m:oMath>
      <w:r w:rsidRPr="00CB5EF4">
        <w:rPr>
          <w:rFonts w:ascii="Times New Roman" w:hAnsi="Times New Roman" w:cs="Times New Roman"/>
          <w:iCs/>
        </w:rPr>
        <w:t xml:space="preserve"> microenvironment on the </w:t>
      </w:r>
      <m:oMath>
        <m:r>
          <w:rPr>
            <w:rFonts w:ascii="Cambria Math" w:hAnsi="Cambria Math" w:cs="Times New Roman"/>
          </w:rPr>
          <m:t>k</m:t>
        </m:r>
      </m:oMath>
      <w:r w:rsidRPr="00CB5EF4">
        <w:rPr>
          <w:rFonts w:ascii="Times New Roman" w:hAnsi="Times New Roman" w:cs="Times New Roman"/>
          <w:iCs/>
        </w:rPr>
        <w:t xml:space="preserve"> cell type-specific gene module, </w:t>
      </w:r>
      <m:oMath>
        <m:sSub>
          <m:sSubPr>
            <m:ctrlPr>
              <w:rPr>
                <w:rFonts w:ascii="Cambria Math" w:hAnsi="Cambria Math" w:cs="Times New Roman"/>
                <w:iCs/>
              </w:rPr>
            </m:ctrlPr>
          </m:sSubPr>
          <m:e>
            <m:r>
              <w:rPr>
                <w:rFonts w:ascii="Cambria Math" w:hAnsi="Cambria Math" w:cs="Times New Roman"/>
              </w:rPr>
              <m:t>H</m:t>
            </m:r>
          </m:e>
          <m:sub>
            <m:r>
              <w:rPr>
                <w:rFonts w:ascii="Cambria Math" w:hAnsi="Cambria Math" w:cs="Times New Roman"/>
              </w:rPr>
              <m:t>m</m:t>
            </m:r>
            <m:r>
              <m:rPr>
                <m:sty m:val="p"/>
              </m:rPr>
              <w:rPr>
                <w:rFonts w:ascii="Cambria Math" w:hAnsi="Cambria Math" w:cs="Times New Roman"/>
              </w:rPr>
              <m:t>,</m:t>
            </m:r>
            <m:r>
              <w:rPr>
                <w:rFonts w:ascii="Cambria Math" w:hAnsi="Cambria Math" w:cs="Times New Roman"/>
              </w:rPr>
              <m:t>lr</m:t>
            </m:r>
          </m:sub>
        </m:sSub>
      </m:oMath>
      <w:r w:rsidRPr="00CB5EF4">
        <w:rPr>
          <w:rFonts w:ascii="Times New Roman" w:hAnsi="Times New Roman" w:cs="Times New Roman"/>
          <w:iCs/>
        </w:rPr>
        <w:t xml:space="preserve">​ is the weight of the spatially variable ligand-receptor interaction </w:t>
      </w:r>
      <m:oMath>
        <m:r>
          <w:rPr>
            <w:rFonts w:ascii="Cambria Math" w:hAnsi="Cambria Math" w:cs="Times New Roman"/>
          </w:rPr>
          <m:t>lr</m:t>
        </m:r>
      </m:oMath>
      <w:r w:rsidRPr="00CB5EF4">
        <w:rPr>
          <w:rFonts w:ascii="Times New Roman" w:hAnsi="Times New Roman" w:cs="Times New Roman"/>
          <w:iCs/>
        </w:rPr>
        <w:t xml:space="preserve"> in the </w:t>
      </w:r>
      <m:oMath>
        <m:r>
          <w:rPr>
            <w:rFonts w:ascii="Cambria Math" w:hAnsi="Cambria Math" w:cs="Times New Roman"/>
          </w:rPr>
          <m:t>m</m:t>
        </m:r>
      </m:oMath>
      <w:r w:rsidRPr="00CB5EF4">
        <w:rPr>
          <w:rFonts w:ascii="Times New Roman" w:hAnsi="Times New Roman" w:cs="Times New Roman"/>
          <w:iCs/>
        </w:rPr>
        <w:t xml:space="preserve"> microenvironment. </w:t>
      </w:r>
      <m:oMath>
        <m:acc>
          <m:accPr>
            <m:ctrlPr>
              <w:rPr>
                <w:rFonts w:ascii="Cambria Math" w:hAnsi="Cambria Math" w:cs="Times New Roman"/>
                <w:iCs/>
              </w:rPr>
            </m:ctrlPr>
          </m:accPr>
          <m:e>
            <m:sSub>
              <m:sSubPr>
                <m:ctrlPr>
                  <w:rPr>
                    <w:rFonts w:ascii="Cambria Math" w:hAnsi="Cambria Math" w:cs="Times New Roman"/>
                    <w:iCs/>
                  </w:rPr>
                </m:ctrlPr>
              </m:sSubPr>
              <m:e>
                <m:r>
                  <w:rPr>
                    <w:rFonts w:ascii="Cambria Math" w:hAnsi="Cambria Math" w:cs="Times New Roman"/>
                  </w:rPr>
                  <m:t>R</m:t>
                </m:r>
              </m:e>
              <m:sub>
                <m:r>
                  <w:rPr>
                    <w:rFonts w:ascii="Cambria Math" w:hAnsi="Cambria Math" w:cs="Times New Roman"/>
                  </w:rPr>
                  <m:t>kr</m:t>
                </m:r>
              </m:sub>
            </m:sSub>
          </m:e>
        </m:acc>
      </m:oMath>
      <w:r w:rsidRPr="00CB5EF4">
        <w:rPr>
          <w:rFonts w:ascii="Times New Roman" w:hAnsi="Times New Roman" w:cs="Times New Roman"/>
          <w:iCs/>
        </w:rPr>
        <w:t xml:space="preserve">​​ denotes the average expression level of receptor </w:t>
      </w:r>
      <m:oMath>
        <m:r>
          <w:rPr>
            <w:rFonts w:ascii="Cambria Math" w:hAnsi="Cambria Math" w:cs="Times New Roman"/>
          </w:rPr>
          <m:t>r</m:t>
        </m:r>
      </m:oMath>
      <w:r w:rsidRPr="00CB5EF4">
        <w:rPr>
          <w:rFonts w:ascii="Times New Roman" w:hAnsi="Times New Roman" w:cs="Times New Roman"/>
          <w:iCs/>
        </w:rPr>
        <w:t xml:space="preserve"> in cell type </w:t>
      </w:r>
      <m:oMath>
        <m:r>
          <w:rPr>
            <w:rFonts w:ascii="Cambria Math" w:hAnsi="Cambria Math" w:cs="Times New Roman"/>
          </w:rPr>
          <m:t>k</m:t>
        </m:r>
      </m:oMath>
      <w:r w:rsidRPr="00CB5EF4">
        <w:rPr>
          <w:rFonts w:ascii="Times New Roman" w:hAnsi="Times New Roman" w:cs="Times New Roman"/>
          <w:iCs/>
        </w:rPr>
        <w:t xml:space="preserve"> in the single-cell transcriptomic data, and </w:t>
      </w:r>
      <m:oMath>
        <m:acc>
          <m:accPr>
            <m:ctrlPr>
              <w:rPr>
                <w:rFonts w:ascii="Cambria Math" w:hAnsi="Cambria Math" w:cs="Times New Roman"/>
                <w:iCs/>
              </w:rPr>
            </m:ctrlPr>
          </m:accPr>
          <m:e>
            <m:sSubSup>
              <m:sSubSupPr>
                <m:ctrlPr>
                  <w:rPr>
                    <w:rFonts w:ascii="Cambria Math" w:hAnsi="Cambria Math" w:cs="Times New Roman"/>
                    <w:iCs/>
                  </w:rPr>
                </m:ctrlPr>
              </m:sSubSupPr>
              <m:e>
                <m:r>
                  <w:rPr>
                    <w:rFonts w:ascii="Cambria Math" w:hAnsi="Cambria Math" w:cs="Times New Roman"/>
                  </w:rPr>
                  <m:t>η</m:t>
                </m:r>
              </m:e>
              <m:sub>
                <m:r>
                  <w:rPr>
                    <w:rFonts w:ascii="Cambria Math" w:hAnsi="Cambria Math" w:cs="Times New Roman"/>
                  </w:rPr>
                  <m:t>k</m:t>
                </m:r>
              </m:sub>
              <m:sup>
                <m:r>
                  <w:rPr>
                    <w:rFonts w:ascii="Cambria Math" w:hAnsi="Cambria Math" w:cs="Times New Roman"/>
                  </w:rPr>
                  <m:t>lr</m:t>
                </m:r>
              </m:sup>
            </m:sSubSup>
          </m:e>
        </m:acc>
      </m:oMath>
      <w:r w:rsidRPr="00CB5EF4">
        <w:rPr>
          <w:rFonts w:ascii="Times New Roman" w:hAnsi="Times New Roman" w:cs="Times New Roman"/>
          <w:iCs/>
        </w:rPr>
        <w:t xml:space="preserve">​​ represents the influence of the spatial ligand-receptor interaction </w:t>
      </w:r>
      <m:oMath>
        <m:r>
          <w:rPr>
            <w:rFonts w:ascii="Cambria Math" w:hAnsi="Cambria Math" w:cs="Times New Roman"/>
          </w:rPr>
          <m:t>lr</m:t>
        </m:r>
      </m:oMath>
      <w:r w:rsidRPr="00CB5EF4">
        <w:rPr>
          <w:rFonts w:ascii="Times New Roman" w:hAnsi="Times New Roman" w:cs="Times New Roman"/>
          <w:iCs/>
        </w:rPr>
        <w:t xml:space="preserve"> on the activities of the </w:t>
      </w:r>
      <m:oMath>
        <m:r>
          <w:rPr>
            <w:rFonts w:ascii="Cambria Math" w:hAnsi="Cambria Math" w:cs="Times New Roman"/>
          </w:rPr>
          <m:t>k</m:t>
        </m:r>
      </m:oMath>
      <w:r w:rsidRPr="00CB5EF4">
        <w:rPr>
          <w:rFonts w:ascii="Times New Roman" w:hAnsi="Times New Roman" w:cs="Times New Roman"/>
          <w:iCs/>
        </w:rPr>
        <w:t xml:space="preserve"> cell type-specific gene module.</w:t>
      </w:r>
    </w:p>
    <w:p w14:paraId="7C552683"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To incorporate ligand into the spatial ligand-receptor interaction analysis, SIGMOD first considers whether there is spatial similarity between the signaling cell type-specific gene module </w:t>
      </w:r>
      <m:oMath>
        <m:r>
          <w:rPr>
            <w:rFonts w:ascii="Cambria Math" w:hAnsi="Cambria Math" w:cs="Times New Roman"/>
          </w:rPr>
          <m:t>k</m:t>
        </m:r>
        <m:r>
          <m:rPr>
            <m:sty m:val="p"/>
          </m:rPr>
          <w:rPr>
            <w:rFonts w:ascii="Cambria Math" w:hAnsi="Cambria Math" w:cs="Times New Roman"/>
          </w:rPr>
          <m:t>1</m:t>
        </m:r>
      </m:oMath>
      <w:r w:rsidRPr="00CB5EF4">
        <w:rPr>
          <w:rFonts w:ascii="Times New Roman" w:hAnsi="Times New Roman" w:cs="Times New Roman"/>
          <w:iCs/>
        </w:rPr>
        <w:t xml:space="preserve">​ and the receiving cell type module </w:t>
      </w:r>
      <m:oMath>
        <m:r>
          <w:rPr>
            <w:rFonts w:ascii="Cambria Math" w:hAnsi="Cambria Math" w:cs="Times New Roman"/>
          </w:rPr>
          <m:t>k</m:t>
        </m:r>
        <m:r>
          <m:rPr>
            <m:sty m:val="p"/>
          </m:rPr>
          <w:rPr>
            <w:rFonts w:ascii="Cambria Math" w:hAnsi="Cambria Math" w:cs="Times New Roman"/>
          </w:rPr>
          <m:t>2</m:t>
        </m:r>
      </m:oMath>
      <w:r w:rsidRPr="00CB5EF4">
        <w:rPr>
          <w:rFonts w:ascii="Times New Roman" w:hAnsi="Times New Roman" w:cs="Times New Roman"/>
          <w:iCs/>
        </w:rPr>
        <w:t>:</w:t>
      </w:r>
    </w:p>
    <w:p w14:paraId="69B35830" w14:textId="77777777" w:rsidR="00CB5EF4" w:rsidRPr="00CB5EF4" w:rsidRDefault="00CB5EF4" w:rsidP="00CB5EF4">
      <w:pPr>
        <w:rPr>
          <w:rFonts w:ascii="Times New Roman" w:hAnsi="Times New Roman" w:cs="Times New Roman"/>
          <w:iCs/>
        </w:rPr>
      </w:pPr>
      <m:oMathPara>
        <m:oMath>
          <m:r>
            <w:rPr>
              <w:rFonts w:ascii="Cambria Math" w:hAnsi="Cambria Math" w:cs="Times New Roman"/>
            </w:rPr>
            <m:t>cor</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k1</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k2</m:t>
                  </m:r>
                </m:sub>
              </m:sSub>
            </m:e>
          </m:d>
          <m:r>
            <w:rPr>
              <w:rFonts w:ascii="Cambria Math" w:hAnsi="Cambria Math" w:cs="Times New Roman"/>
            </w:rPr>
            <m:t>=</m:t>
          </m:r>
          <m:f>
            <m:fPr>
              <m:ctrlPr>
                <w:rPr>
                  <w:rFonts w:ascii="Cambria Math" w:hAnsi="Cambria Math" w:cs="Times New Roman"/>
                  <w:iCs/>
                </w:rPr>
              </m:ctrlPr>
            </m:fPr>
            <m:num>
              <m:nary>
                <m:naryPr>
                  <m:chr m:val="∑"/>
                  <m:supHide m:val="1"/>
                  <m:ctrlPr>
                    <w:rPr>
                      <w:rFonts w:ascii="Cambria Math" w:hAnsi="Cambria Math" w:cs="Times New Roman"/>
                      <w:iCs/>
                    </w:rPr>
                  </m:ctrlPr>
                </m:naryPr>
                <m:sub>
                  <m:r>
                    <w:rPr>
                      <w:rFonts w:ascii="Cambria Math" w:hAnsi="Cambria Math" w:cs="Times New Roman"/>
                    </w:rPr>
                    <m:t>i</m:t>
                  </m:r>
                  <m:ctrlPr>
                    <w:rPr>
                      <w:rFonts w:ascii="Cambria Math" w:hAnsi="Cambria Math" w:cs="Times New Roman"/>
                      <w:i/>
                      <w:iCs/>
                    </w:rPr>
                  </m:ctrlPr>
                </m:sub>
                <m:sup>
                  <m:ctrlPr>
                    <w:rPr>
                      <w:rFonts w:ascii="Cambria Math" w:hAnsi="Cambria Math" w:cs="Times New Roman"/>
                      <w:i/>
                      <w:iCs/>
                    </w:rPr>
                  </m:ctrlPr>
                </m:sup>
                <m:e>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i,k1</m:t>
                          </m:r>
                        </m:sub>
                      </m:sSub>
                      <m:r>
                        <w:rPr>
                          <w:rFonts w:ascii="Cambria Math" w:hAnsi="Cambria Math" w:cs="Times New Roman"/>
                        </w:rPr>
                        <m:t>-</m:t>
                      </m:r>
                      <m:acc>
                        <m:accPr>
                          <m:chr m:val="̅"/>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k1</m:t>
                              </m:r>
                            </m:sub>
                          </m:sSub>
                        </m:e>
                      </m:acc>
                    </m:e>
                  </m:d>
                  <m:d>
                    <m:dPr>
                      <m:ctrlPr>
                        <w:rPr>
                          <w:rFonts w:ascii="Cambria Math" w:hAnsi="Cambria Math" w:cs="Times New Roman"/>
                          <w:i/>
                          <w:iCs/>
                        </w:rPr>
                      </m:ctrlPr>
                    </m:dPr>
                    <m:e>
                      <m:acc>
                        <m:accPr>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i,k2</m:t>
                              </m:r>
                            </m:sub>
                          </m:sSub>
                        </m:e>
                      </m:acc>
                      <m:r>
                        <w:rPr>
                          <w:rFonts w:ascii="Cambria Math" w:hAnsi="Cambria Math" w:cs="Times New Roman"/>
                        </w:rPr>
                        <m:t>-</m:t>
                      </m:r>
                      <m:acc>
                        <m:accPr>
                          <m:chr m:val="̅"/>
                          <m:ctrlPr>
                            <w:rPr>
                              <w:rFonts w:ascii="Cambria Math" w:hAnsi="Cambria Math" w:cs="Times New Roman"/>
                              <w:iCs/>
                            </w:rPr>
                          </m:ctrlPr>
                        </m:accPr>
                        <m:e>
                          <m:acc>
                            <m:accPr>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k2</m:t>
                                  </m:r>
                                </m:sub>
                              </m:sSub>
                            </m:e>
                          </m:acc>
                        </m:e>
                      </m:acc>
                    </m:e>
                  </m:d>
                  <m:ctrlPr>
                    <w:rPr>
                      <w:rFonts w:ascii="Cambria Math" w:hAnsi="Cambria Math" w:cs="Times New Roman"/>
                      <w:i/>
                      <w:iCs/>
                    </w:rPr>
                  </m:ctrlPr>
                </m:e>
              </m:nary>
              <m:ctrlPr>
                <w:rPr>
                  <w:rFonts w:ascii="Cambria Math" w:hAnsi="Cambria Math" w:cs="Times New Roman"/>
                  <w:i/>
                  <w:iCs/>
                </w:rPr>
              </m:ctrlPr>
            </m:num>
            <m:den>
              <m:rad>
                <m:radPr>
                  <m:degHide m:val="1"/>
                  <m:ctrlPr>
                    <w:rPr>
                      <w:rFonts w:ascii="Cambria Math" w:hAnsi="Cambria Math" w:cs="Times New Roman"/>
                      <w:iCs/>
                    </w:rPr>
                  </m:ctrlPr>
                </m:radPr>
                <m:deg>
                  <m:ctrlPr>
                    <w:rPr>
                      <w:rFonts w:ascii="Cambria Math" w:hAnsi="Cambria Math" w:cs="Times New Roman"/>
                      <w:i/>
                      <w:iCs/>
                    </w:rPr>
                  </m:ctrlPr>
                </m:deg>
                <m:e>
                  <m:nary>
                    <m:naryPr>
                      <m:chr m:val="∑"/>
                      <m:supHide m:val="1"/>
                      <m:ctrlPr>
                        <w:rPr>
                          <w:rFonts w:ascii="Cambria Math" w:hAnsi="Cambria Math" w:cs="Times New Roman"/>
                          <w:iCs/>
                        </w:rPr>
                      </m:ctrlPr>
                    </m:naryPr>
                    <m:sub>
                      <m:r>
                        <w:rPr>
                          <w:rFonts w:ascii="Cambria Math" w:hAnsi="Cambria Math" w:cs="Times New Roman"/>
                        </w:rPr>
                        <m:t>i</m:t>
                      </m:r>
                      <m:ctrlPr>
                        <w:rPr>
                          <w:rFonts w:ascii="Cambria Math" w:hAnsi="Cambria Math" w:cs="Times New Roman"/>
                          <w:i/>
                          <w:iCs/>
                        </w:rPr>
                      </m:ctrlPr>
                    </m:sub>
                    <m:sup>
                      <m:ctrlPr>
                        <w:rPr>
                          <w:rFonts w:ascii="Cambria Math" w:hAnsi="Cambria Math" w:cs="Times New Roman"/>
                          <w:i/>
                          <w:iCs/>
                        </w:rPr>
                      </m:ctrlPr>
                    </m:sup>
                    <m:e>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i,k1</m:t>
                                  </m:r>
                                </m:sub>
                              </m:sSub>
                              <m:r>
                                <w:rPr>
                                  <w:rFonts w:ascii="Cambria Math" w:hAnsi="Cambria Math" w:cs="Times New Roman"/>
                                </w:rPr>
                                <m:t>-</m:t>
                              </m:r>
                              <m:acc>
                                <m:accPr>
                                  <m:chr m:val="̅"/>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k1</m:t>
                                      </m:r>
                                    </m:sub>
                                  </m:sSub>
                                </m:e>
                              </m:acc>
                            </m:e>
                          </m:d>
                        </m:e>
                        <m:sup>
                          <m:r>
                            <w:rPr>
                              <w:rFonts w:ascii="Cambria Math" w:hAnsi="Cambria Math" w:cs="Times New Roman"/>
                            </w:rPr>
                            <m:t>2</m:t>
                          </m:r>
                        </m:sup>
                      </m:sSup>
                      <m:nary>
                        <m:naryPr>
                          <m:chr m:val="∑"/>
                          <m:supHide m:val="1"/>
                          <m:ctrlPr>
                            <w:rPr>
                              <w:rFonts w:ascii="Cambria Math" w:hAnsi="Cambria Math" w:cs="Times New Roman"/>
                              <w:iCs/>
                            </w:rPr>
                          </m:ctrlPr>
                        </m:naryPr>
                        <m:sub>
                          <m:r>
                            <w:rPr>
                              <w:rFonts w:ascii="Cambria Math" w:hAnsi="Cambria Math" w:cs="Times New Roman"/>
                            </w:rPr>
                            <m:t>i</m:t>
                          </m:r>
                          <m:ctrlPr>
                            <w:rPr>
                              <w:rFonts w:ascii="Cambria Math" w:hAnsi="Cambria Math" w:cs="Times New Roman"/>
                              <w:i/>
                              <w:iCs/>
                            </w:rPr>
                          </m:ctrlPr>
                        </m:sub>
                        <m:sup>
                          <m:ctrlPr>
                            <w:rPr>
                              <w:rFonts w:ascii="Cambria Math" w:hAnsi="Cambria Math" w:cs="Times New Roman"/>
                              <w:i/>
                              <w:iCs/>
                            </w:rPr>
                          </m:ctrlPr>
                        </m:sup>
                        <m:e>
                          <m:sSup>
                            <m:sSupPr>
                              <m:ctrlPr>
                                <w:rPr>
                                  <w:rFonts w:ascii="Cambria Math" w:hAnsi="Cambria Math" w:cs="Times New Roman"/>
                                  <w:i/>
                                  <w:iCs/>
                                </w:rPr>
                              </m:ctrlPr>
                            </m:sSupPr>
                            <m:e>
                              <m:d>
                                <m:dPr>
                                  <m:ctrlPr>
                                    <w:rPr>
                                      <w:rFonts w:ascii="Cambria Math" w:hAnsi="Cambria Math" w:cs="Times New Roman"/>
                                      <w:i/>
                                      <w:iCs/>
                                    </w:rPr>
                                  </m:ctrlPr>
                                </m:dPr>
                                <m:e>
                                  <m:acc>
                                    <m:accPr>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i,k2</m:t>
                                          </m:r>
                                        </m:sub>
                                      </m:sSub>
                                    </m:e>
                                  </m:acc>
                                  <m:r>
                                    <w:rPr>
                                      <w:rFonts w:ascii="Cambria Math" w:hAnsi="Cambria Math" w:cs="Times New Roman"/>
                                    </w:rPr>
                                    <m:t>-</m:t>
                                  </m:r>
                                  <m:acc>
                                    <m:accPr>
                                      <m:chr m:val="̅"/>
                                      <m:ctrlPr>
                                        <w:rPr>
                                          <w:rFonts w:ascii="Cambria Math" w:hAnsi="Cambria Math" w:cs="Times New Roman"/>
                                          <w:iCs/>
                                        </w:rPr>
                                      </m:ctrlPr>
                                    </m:accPr>
                                    <m:e>
                                      <m:acc>
                                        <m:accPr>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k2</m:t>
                                              </m:r>
                                            </m:sub>
                                          </m:sSub>
                                        </m:e>
                                      </m:acc>
                                    </m:e>
                                  </m:acc>
                                </m:e>
                              </m:d>
                            </m:e>
                            <m:sup>
                              <m:r>
                                <w:rPr>
                                  <w:rFonts w:ascii="Cambria Math" w:hAnsi="Cambria Math" w:cs="Times New Roman"/>
                                </w:rPr>
                                <m:t>2</m:t>
                              </m:r>
                            </m:sup>
                          </m:sSup>
                          <m:ctrlPr>
                            <w:rPr>
                              <w:rFonts w:ascii="Cambria Math" w:hAnsi="Cambria Math" w:cs="Times New Roman"/>
                              <w:i/>
                              <w:iCs/>
                            </w:rPr>
                          </m:ctrlPr>
                        </m:e>
                      </m:nary>
                      <m:ctrlPr>
                        <w:rPr>
                          <w:rFonts w:ascii="Cambria Math" w:hAnsi="Cambria Math" w:cs="Times New Roman"/>
                          <w:i/>
                          <w:iCs/>
                        </w:rPr>
                      </m:ctrlPr>
                    </m:e>
                  </m:nary>
                </m:e>
              </m:rad>
              <m:ctrlPr>
                <w:rPr>
                  <w:rFonts w:ascii="Cambria Math" w:hAnsi="Cambria Math" w:cs="Times New Roman"/>
                  <w:i/>
                  <w:iCs/>
                </w:rPr>
              </m:ctrlPr>
            </m:den>
          </m:f>
        </m:oMath>
      </m:oMathPara>
    </w:p>
    <w:p w14:paraId="204B1928" w14:textId="77777777" w:rsidR="00CB5EF4" w:rsidRPr="00CB5EF4" w:rsidRDefault="008E5812" w:rsidP="00CB5EF4">
      <w:pPr>
        <w:rPr>
          <w:rFonts w:ascii="Times New Roman" w:hAnsi="Times New Roman" w:cs="Times New Roman"/>
          <w:iCs/>
        </w:rPr>
      </w:pPr>
      <m:oMathPara>
        <m:oMath>
          <m:acc>
            <m:accPr>
              <m:ctrlPr>
                <w:rPr>
                  <w:rFonts w:ascii="Cambria Math" w:hAnsi="Cambria Math" w:cs="Times New Roman"/>
                  <w:iCs/>
                </w:rPr>
              </m:ctrlPr>
            </m:accPr>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i,k2</m:t>
                  </m:r>
                </m:sub>
              </m:sSub>
            </m:e>
          </m:acc>
          <m:r>
            <w:rPr>
              <w:rFonts w:ascii="Cambria Math" w:hAnsi="Cambria Math" w:cs="Times New Roman"/>
            </w:rPr>
            <m:t>=</m:t>
          </m:r>
          <m:nary>
            <m:naryPr>
              <m:chr m:val="∑"/>
              <m:supHide m:val="1"/>
              <m:ctrlPr>
                <w:rPr>
                  <w:rFonts w:ascii="Cambria Math" w:hAnsi="Cambria Math" w:cs="Times New Roman"/>
                  <w:iCs/>
                </w:rPr>
              </m:ctrlPr>
            </m:naryPr>
            <m:sub>
              <m:r>
                <w:rPr>
                  <w:rFonts w:ascii="Cambria Math" w:hAnsi="Cambria Math" w:cs="Times New Roman"/>
                </w:rPr>
                <m:t>j</m:t>
              </m:r>
              <m:r>
                <m:rPr>
                  <m:sty m:val="p"/>
                </m:rPr>
                <w:rPr>
                  <w:rFonts w:ascii="Cambria Math" w:hAnsi="Cambria Math" w:cs="Times New Roman"/>
                </w:rPr>
                <m:t>∈</m:t>
              </m:r>
              <m:r>
                <m:rPr>
                  <m:nor/>
                </m:rPr>
                <w:rPr>
                  <w:rFonts w:ascii="Times New Roman" w:hAnsi="Times New Roman" w:cs="Times New Roman"/>
                  <w:iCs/>
                </w:rPr>
                <m:t>neigh</m:t>
              </m:r>
              <m:d>
                <m:dPr>
                  <m:ctrlPr>
                    <w:rPr>
                      <w:rFonts w:ascii="Cambria Math" w:hAnsi="Cambria Math" w:cs="Times New Roman"/>
                      <w:i/>
                      <w:iCs/>
                    </w:rPr>
                  </m:ctrlPr>
                </m:dPr>
                <m:e>
                  <m:r>
                    <w:rPr>
                      <w:rFonts w:ascii="Cambria Math" w:hAnsi="Cambria Math" w:cs="Times New Roman"/>
                    </w:rPr>
                    <m:t>i</m:t>
                  </m:r>
                </m:e>
              </m:d>
              <m:ctrlPr>
                <w:rPr>
                  <w:rFonts w:ascii="Cambria Math" w:hAnsi="Cambria Math" w:cs="Times New Roman"/>
                  <w:i/>
                  <w:iCs/>
                </w:rPr>
              </m:ctrlPr>
            </m:sub>
            <m:sup>
              <m:ctrlPr>
                <w:rPr>
                  <w:rFonts w:ascii="Cambria Math" w:hAnsi="Cambria Math" w:cs="Times New Roman"/>
                  <w:i/>
                  <w:iCs/>
                </w:rPr>
              </m:ctrlPr>
            </m:sup>
            <m:e>
              <m:sSub>
                <m:sSubPr>
                  <m:ctrlPr>
                    <w:rPr>
                      <w:rFonts w:ascii="Cambria Math" w:hAnsi="Cambria Math" w:cs="Times New Roman"/>
                      <w:i/>
                      <w:iCs/>
                    </w:rPr>
                  </m:ctrlPr>
                </m:sSubPr>
                <m:e>
                  <m:r>
                    <w:rPr>
                      <w:rFonts w:ascii="Cambria Math" w:hAnsi="Cambria Math" w:cs="Times New Roman"/>
                    </w:rPr>
                    <m:t>z</m:t>
                  </m:r>
                </m:e>
                <m:sub>
                  <m:r>
                    <w:rPr>
                      <w:rFonts w:ascii="Cambria Math" w:hAnsi="Cambria Math" w:cs="Times New Roman"/>
                    </w:rPr>
                    <m:t>j,k2</m:t>
                  </m:r>
                </m:sub>
              </m:sSub>
              <m:ctrlPr>
                <w:rPr>
                  <w:rFonts w:ascii="Cambria Math" w:hAnsi="Cambria Math" w:cs="Times New Roman"/>
                  <w:i/>
                  <w:iCs/>
                </w:rPr>
              </m:ctrlPr>
            </m:e>
          </m:nary>
        </m:oMath>
      </m:oMathPara>
    </w:p>
    <w:p w14:paraId="7C10E6B3"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First, the cell type module </w:t>
      </w:r>
      <m:oMath>
        <m:r>
          <w:rPr>
            <w:rFonts w:ascii="Cambria Math" w:hAnsi="Cambria Math" w:cs="Times New Roman"/>
          </w:rPr>
          <m:t>k</m:t>
        </m:r>
        <m:r>
          <m:rPr>
            <m:sty m:val="p"/>
          </m:rPr>
          <w:rPr>
            <w:rFonts w:ascii="Cambria Math" w:hAnsi="Cambria Math" w:cs="Times New Roman"/>
          </w:rPr>
          <m:t>2</m:t>
        </m:r>
      </m:oMath>
      <w:r w:rsidRPr="00CB5EF4">
        <w:rPr>
          <w:rFonts w:ascii="Times New Roman" w:hAnsi="Times New Roman" w:cs="Times New Roman"/>
          <w:iCs/>
        </w:rPr>
        <w:t xml:space="preserve">​ that exhibit spatial correlation with </w:t>
      </w:r>
      <m:oMath>
        <m:r>
          <w:rPr>
            <w:rFonts w:ascii="Cambria Math" w:hAnsi="Cambria Math" w:cs="Times New Roman"/>
          </w:rPr>
          <m:t>k</m:t>
        </m:r>
        <m:r>
          <m:rPr>
            <m:sty m:val="p"/>
          </m:rPr>
          <w:rPr>
            <w:rFonts w:ascii="Cambria Math" w:hAnsi="Cambria Math" w:cs="Times New Roman"/>
          </w:rPr>
          <m:t>1</m:t>
        </m:r>
      </m:oMath>
      <w:r w:rsidRPr="00CB5EF4">
        <w:rPr>
          <w:rFonts w:ascii="Times New Roman" w:hAnsi="Times New Roman" w:cs="Times New Roman"/>
          <w:iCs/>
        </w:rPr>
        <w:t xml:space="preserve"> are selected. Next, the average expression level </w:t>
      </w:r>
      <m:oMath>
        <m:acc>
          <m:accPr>
            <m:ctrlPr>
              <w:rPr>
                <w:rFonts w:ascii="Cambria Math" w:hAnsi="Cambria Math" w:cs="Times New Roman"/>
                <w:iCs/>
              </w:rPr>
            </m:ctrlPr>
          </m:accPr>
          <m:e>
            <m:sSub>
              <m:sSubPr>
                <m:ctrlPr>
                  <w:rPr>
                    <w:rFonts w:ascii="Cambria Math" w:hAnsi="Cambria Math" w:cs="Times New Roman"/>
                    <w:iCs/>
                  </w:rPr>
                </m:ctrlPr>
              </m:sSubPr>
              <m:e>
                <m:r>
                  <w:rPr>
                    <w:rFonts w:ascii="Cambria Math" w:hAnsi="Cambria Math" w:cs="Times New Roman"/>
                  </w:rPr>
                  <m:t>L</m:t>
                </m:r>
              </m:e>
              <m:sub>
                <m:r>
                  <w:rPr>
                    <w:rFonts w:ascii="Cambria Math" w:hAnsi="Cambria Math" w:cs="Times New Roman"/>
                  </w:rPr>
                  <m:t>k</m:t>
                </m:r>
                <m:r>
                  <m:rPr>
                    <m:sty m:val="p"/>
                  </m:rPr>
                  <w:rPr>
                    <w:rFonts w:ascii="Cambria Math" w:hAnsi="Cambria Math" w:cs="Times New Roman"/>
                  </w:rPr>
                  <m:t>2,</m:t>
                </m:r>
                <m:r>
                  <w:rPr>
                    <w:rFonts w:ascii="Cambria Math" w:hAnsi="Cambria Math" w:cs="Times New Roman"/>
                  </w:rPr>
                  <m:t>l</m:t>
                </m:r>
              </m:sub>
            </m:sSub>
          </m:e>
        </m:acc>
      </m:oMath>
      <w:r w:rsidRPr="00CB5EF4">
        <w:rPr>
          <w:rFonts w:ascii="Times New Roman" w:hAnsi="Times New Roman" w:cs="Times New Roman"/>
          <w:iCs/>
        </w:rPr>
        <w:t xml:space="preserve"> of ligand l in cell type module </w:t>
      </w:r>
      <m:oMath>
        <m:r>
          <w:rPr>
            <w:rFonts w:ascii="Cambria Math" w:hAnsi="Cambria Math" w:cs="Times New Roman"/>
          </w:rPr>
          <m:t>k</m:t>
        </m:r>
        <m:r>
          <m:rPr>
            <m:sty m:val="p"/>
          </m:rPr>
          <w:rPr>
            <w:rFonts w:ascii="Cambria Math" w:hAnsi="Cambria Math" w:cs="Times New Roman"/>
          </w:rPr>
          <m:t>2</m:t>
        </m:r>
      </m:oMath>
      <w:r w:rsidRPr="00CB5EF4">
        <w:rPr>
          <w:rFonts w:ascii="Times New Roman" w:hAnsi="Times New Roman" w:cs="Times New Roman"/>
          <w:iCs/>
        </w:rPr>
        <w:t xml:space="preserve"> from the single-cell transcriptomic data is considered:</w:t>
      </w:r>
    </w:p>
    <w:p w14:paraId="2F6F52B2" w14:textId="77777777" w:rsidR="00CB5EF4" w:rsidRPr="00CB5EF4" w:rsidRDefault="008E5812" w:rsidP="00CB5EF4">
      <w:pPr>
        <w:rPr>
          <w:rFonts w:ascii="Times New Roman" w:hAnsi="Times New Roman" w:cs="Times New Roman"/>
        </w:rPr>
      </w:pPr>
      <m:oMathPara>
        <m:oMath>
          <m:acc>
            <m:accPr>
              <m:ctrlPr>
                <w:rPr>
                  <w:rFonts w:ascii="Cambria Math" w:hAnsi="Cambria Math" w:cs="Times New Roman"/>
                </w:rPr>
              </m:ctrlPr>
            </m:accPr>
            <m:e>
              <m:sSubSup>
                <m:sSubSupPr>
                  <m:ctrlPr>
                    <w:rPr>
                      <w:rFonts w:ascii="Cambria Math" w:hAnsi="Cambria Math" w:cs="Times New Roman"/>
                      <w:i/>
                    </w:rPr>
                  </m:ctrlPr>
                </m:sSubSupPr>
                <m:e>
                  <m:r>
                    <m:rPr>
                      <m:sty m:val="p"/>
                    </m:rPr>
                    <w:rPr>
                      <w:rFonts w:ascii="Cambria Math" w:hAnsi="Cambria Math" w:cs="Times New Roman"/>
                    </w:rPr>
                    <m:t>η</m:t>
                  </m:r>
                </m:e>
                <m:sub>
                  <m:r>
                    <w:rPr>
                      <w:rFonts w:ascii="Cambria Math" w:hAnsi="Cambria Math" w:cs="Times New Roman"/>
                    </w:rPr>
                    <m:t>k1,k2</m:t>
                  </m:r>
                </m:sub>
                <m:sup>
                  <m:r>
                    <w:rPr>
                      <w:rFonts w:ascii="Cambria Math" w:hAnsi="Cambria Math" w:cs="Times New Roman"/>
                    </w:rPr>
                    <m:t>lr</m:t>
                  </m:r>
                </m:sup>
              </m:sSubSup>
            </m:e>
          </m:acc>
          <m:r>
            <w:rPr>
              <w:rFonts w:ascii="Cambria Math" w:hAnsi="Cambria Math" w:cs="Times New Roman"/>
            </w:rPr>
            <m:t>=</m:t>
          </m:r>
          <m:acc>
            <m:accPr>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k2,l</m:t>
                  </m:r>
                </m:sub>
              </m:sSub>
            </m:e>
          </m:acc>
          <m:r>
            <w:rPr>
              <w:rFonts w:ascii="Cambria Math" w:hAnsi="Cambria Math" w:cs="Times New Roman"/>
            </w:rPr>
            <m:t>*</m:t>
          </m:r>
          <m:acc>
            <m:accPr>
              <m:ctrlPr>
                <w:rPr>
                  <w:rFonts w:ascii="Cambria Math" w:hAnsi="Cambria Math" w:cs="Times New Roman"/>
                </w:rPr>
              </m:ctrlPr>
            </m:accPr>
            <m:e>
              <m:sSubSup>
                <m:sSubSupPr>
                  <m:ctrlPr>
                    <w:rPr>
                      <w:rFonts w:ascii="Cambria Math" w:hAnsi="Cambria Math" w:cs="Times New Roman"/>
                      <w:i/>
                    </w:rPr>
                  </m:ctrlPr>
                </m:sSubSupPr>
                <m:e>
                  <m:r>
                    <m:rPr>
                      <m:sty m:val="p"/>
                    </m:rPr>
                    <w:rPr>
                      <w:rFonts w:ascii="Cambria Math" w:hAnsi="Cambria Math" w:cs="Times New Roman"/>
                    </w:rPr>
                    <m:t>η</m:t>
                  </m:r>
                </m:e>
                <m:sub>
                  <m:r>
                    <w:rPr>
                      <w:rFonts w:ascii="Cambria Math" w:hAnsi="Cambria Math" w:cs="Times New Roman"/>
                    </w:rPr>
                    <m:t>k1</m:t>
                  </m:r>
                </m:sub>
                <m:sup>
                  <m:r>
                    <w:rPr>
                      <w:rFonts w:ascii="Cambria Math" w:hAnsi="Cambria Math" w:cs="Times New Roman"/>
                    </w:rPr>
                    <m:t>lr</m:t>
                  </m:r>
                </m:sup>
              </m:sSubSup>
            </m:e>
          </m:acc>
        </m:oMath>
      </m:oMathPara>
    </w:p>
    <w:p w14:paraId="5CC43F45"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Cell state-specific gene modules interactions</w:t>
      </w:r>
    </w:p>
    <w:p w14:paraId="6FBC1447"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When microenvironment information is directly constructed based on the enrichment of neighboring cells, for a given cell type </w:t>
      </w:r>
      <m:oMath>
        <m:r>
          <w:rPr>
            <w:rFonts w:ascii="Cambria Math" w:hAnsi="Cambria Math" w:cs="Times New Roman"/>
          </w:rPr>
          <m:t>K</m:t>
        </m:r>
      </m:oMath>
      <w:r w:rsidRPr="00CB5EF4">
        <w:rPr>
          <w:rFonts w:ascii="Times New Roman" w:hAnsi="Times New Roman" w:cs="Times New Roman"/>
          <w:iCs/>
        </w:rPr>
        <w:t xml:space="preserve">, </w:t>
      </w:r>
      <m:oMath>
        <m:sSub>
          <m:sSubPr>
            <m:ctrlPr>
              <w:rPr>
                <w:rFonts w:ascii="Cambria Math" w:hAnsi="Cambria Math" w:cs="Times New Roman"/>
                <w:iCs/>
              </w:rPr>
            </m:ctrlPr>
          </m:sSubPr>
          <m:e>
            <m:r>
              <w:rPr>
                <w:rFonts w:ascii="Cambria Math" w:hAnsi="Cambria Math" w:cs="Times New Roman"/>
              </w:rPr>
              <m:t>η</m:t>
            </m:r>
          </m:e>
          <m:sub>
            <m:r>
              <w:rPr>
                <w:rFonts w:ascii="Cambria Math" w:hAnsi="Cambria Math" w:cs="Times New Roman"/>
              </w:rPr>
              <m:t>mk</m:t>
            </m:r>
          </m:sub>
        </m:sSub>
      </m:oMath>
      <w:r w:rsidRPr="00CB5EF4">
        <w:rPr>
          <w:rFonts w:ascii="Times New Roman" w:hAnsi="Times New Roman" w:cs="Times New Roman"/>
          <w:iCs/>
        </w:rPr>
        <w:t xml:space="preserve"> represents the influence of the </w:t>
      </w:r>
      <m:oMath>
        <m:r>
          <w:rPr>
            <w:rFonts w:ascii="Cambria Math" w:hAnsi="Cambria Math" w:cs="Times New Roman"/>
          </w:rPr>
          <m:t>m</m:t>
        </m:r>
      </m:oMath>
      <w:r w:rsidRPr="00CB5EF4">
        <w:rPr>
          <w:rFonts w:ascii="Times New Roman" w:hAnsi="Times New Roman" w:cs="Times New Roman"/>
          <w:iCs/>
        </w:rPr>
        <w:t xml:space="preserve"> </w:t>
      </w:r>
      <w:r w:rsidRPr="00CB5EF4">
        <w:rPr>
          <w:rFonts w:ascii="Times New Roman" w:hAnsi="Times New Roman" w:cs="Times New Roman"/>
          <w:iCs/>
        </w:rPr>
        <w:lastRenderedPageBreak/>
        <w:t xml:space="preserve">cell type on the </w:t>
      </w:r>
      <m:oMath>
        <m:r>
          <w:rPr>
            <w:rFonts w:ascii="Cambria Math" w:hAnsi="Cambria Math" w:cs="Times New Roman"/>
          </w:rPr>
          <m:t>k</m:t>
        </m:r>
      </m:oMath>
      <w:r w:rsidRPr="00CB5EF4">
        <w:rPr>
          <w:rFonts w:ascii="Times New Roman" w:hAnsi="Times New Roman" w:cs="Times New Roman"/>
          <w:iCs/>
        </w:rPr>
        <w:t xml:space="preserve"> gene module in the </w:t>
      </w:r>
      <m:oMath>
        <m:r>
          <w:rPr>
            <w:rFonts w:ascii="Cambria Math" w:hAnsi="Cambria Math" w:cs="Times New Roman"/>
          </w:rPr>
          <m:t>K</m:t>
        </m:r>
      </m:oMath>
      <w:r w:rsidRPr="00CB5EF4">
        <w:rPr>
          <w:rFonts w:ascii="Times New Roman" w:hAnsi="Times New Roman" w:cs="Times New Roman"/>
          <w:iCs/>
        </w:rPr>
        <w:t xml:space="preserve"> cell type. To specifically quantify which module within the </w:t>
      </w:r>
      <m:oMath>
        <m:r>
          <w:rPr>
            <w:rFonts w:ascii="Cambria Math" w:hAnsi="Cambria Math" w:cs="Times New Roman"/>
          </w:rPr>
          <m:t>m</m:t>
        </m:r>
      </m:oMath>
      <w:r w:rsidRPr="00CB5EF4">
        <w:rPr>
          <w:rFonts w:ascii="Times New Roman" w:hAnsi="Times New Roman" w:cs="Times New Roman"/>
          <w:iCs/>
        </w:rPr>
        <w:t xml:space="preserve"> cell type affects the </w:t>
      </w:r>
      <m:oMath>
        <m:r>
          <w:rPr>
            <w:rFonts w:ascii="Cambria Math" w:hAnsi="Cambria Math" w:cs="Times New Roman"/>
          </w:rPr>
          <m:t>k</m:t>
        </m:r>
      </m:oMath>
      <w:r w:rsidRPr="00CB5EF4">
        <w:rPr>
          <w:rFonts w:ascii="Times New Roman" w:hAnsi="Times New Roman" w:cs="Times New Roman"/>
          <w:iCs/>
        </w:rPr>
        <w:t xml:space="preserve"> gene module in the </w:t>
      </w:r>
      <m:oMath>
        <m:r>
          <w:rPr>
            <w:rFonts w:ascii="Cambria Math" w:hAnsi="Cambria Math" w:cs="Times New Roman"/>
          </w:rPr>
          <m:t>K</m:t>
        </m:r>
      </m:oMath>
      <w:r w:rsidRPr="00CB5EF4">
        <w:rPr>
          <w:rFonts w:ascii="Times New Roman" w:hAnsi="Times New Roman" w:cs="Times New Roman"/>
          <w:iCs/>
        </w:rPr>
        <w:t xml:space="preserve"> cell type, we first calculate the spatial correlation </w:t>
      </w:r>
      <m:oMath>
        <m:r>
          <w:rPr>
            <w:rFonts w:ascii="Cambria Math" w:hAnsi="Cambria Math" w:cs="Times New Roman"/>
          </w:rPr>
          <m:t>cor</m:t>
        </m:r>
        <m:d>
          <m:dPr>
            <m:ctrlPr>
              <w:rPr>
                <w:rFonts w:ascii="Cambria Math" w:hAnsi="Cambria Math" w:cs="Times New Roman"/>
                <w:iCs/>
              </w:rPr>
            </m:ctrlPr>
          </m:dPr>
          <m:e>
            <m:sSub>
              <m:sSubPr>
                <m:ctrlPr>
                  <w:rPr>
                    <w:rFonts w:ascii="Cambria Math" w:hAnsi="Cambria Math" w:cs="Times New Roman"/>
                    <w:iCs/>
                  </w:rPr>
                </m:ctrlPr>
              </m:sSubPr>
              <m:e>
                <m:r>
                  <w:rPr>
                    <w:rFonts w:ascii="Cambria Math" w:hAnsi="Cambria Math" w:cs="Times New Roman"/>
                  </w:rPr>
                  <m:t>z</m:t>
                </m:r>
              </m:e>
              <m:sub>
                <m: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iCs/>
                  </w:rPr>
                </m:ctrlPr>
              </m:sSubPr>
              <m:e>
                <m:r>
                  <w:rPr>
                    <w:rFonts w:ascii="Cambria Math" w:hAnsi="Cambria Math" w:cs="Times New Roman"/>
                  </w:rPr>
                  <m:t>z</m:t>
                </m:r>
              </m:e>
              <m:sub>
                <m:r>
                  <w:rPr>
                    <w:rFonts w:ascii="Cambria Math" w:hAnsi="Cambria Math" w:cs="Times New Roman"/>
                  </w:rPr>
                  <m:t>k</m:t>
                </m:r>
              </m:sub>
            </m:sSub>
          </m:e>
        </m:d>
      </m:oMath>
      <w:r w:rsidRPr="00CB5EF4">
        <w:rPr>
          <w:rFonts w:ascii="Times New Roman" w:hAnsi="Times New Roman" w:cs="Times New Roman"/>
          <w:iCs/>
        </w:rPr>
        <w:t xml:space="preserve"> between the gene module </w:t>
      </w:r>
      <m:oMath>
        <m:r>
          <w:rPr>
            <w:rFonts w:ascii="Cambria Math" w:hAnsi="Cambria Math" w:cs="Times New Roman"/>
          </w:rPr>
          <m:t>M</m:t>
        </m:r>
      </m:oMath>
      <w:r w:rsidRPr="00CB5EF4">
        <w:rPr>
          <w:rFonts w:ascii="Times New Roman" w:hAnsi="Times New Roman" w:cs="Times New Roman"/>
          <w:iCs/>
        </w:rPr>
        <w:t xml:space="preserve"> in the </w:t>
      </w:r>
      <m:oMath>
        <m:r>
          <w:rPr>
            <w:rFonts w:ascii="Cambria Math" w:hAnsi="Cambria Math" w:cs="Times New Roman"/>
          </w:rPr>
          <m:t>m</m:t>
        </m:r>
      </m:oMath>
      <w:r w:rsidRPr="00CB5EF4">
        <w:rPr>
          <w:rFonts w:ascii="Times New Roman" w:hAnsi="Times New Roman" w:cs="Times New Roman"/>
          <w:iCs/>
        </w:rPr>
        <w:t xml:space="preserve"> cell type and the </w:t>
      </w:r>
      <m:oMath>
        <m:r>
          <w:rPr>
            <w:rFonts w:ascii="Cambria Math" w:hAnsi="Cambria Math" w:cs="Times New Roman"/>
          </w:rPr>
          <m:t>k</m:t>
        </m:r>
      </m:oMath>
      <w:r w:rsidRPr="00CB5EF4">
        <w:rPr>
          <w:rFonts w:ascii="Times New Roman" w:hAnsi="Times New Roman" w:cs="Times New Roman"/>
          <w:iCs/>
        </w:rPr>
        <w:t xml:space="preserve"> gene module in the </w:t>
      </w:r>
      <m:oMath>
        <m:r>
          <w:rPr>
            <w:rFonts w:ascii="Cambria Math" w:hAnsi="Cambria Math" w:cs="Times New Roman"/>
          </w:rPr>
          <m:t>K</m:t>
        </m:r>
      </m:oMath>
      <w:r w:rsidRPr="00CB5EF4">
        <w:rPr>
          <w:rFonts w:ascii="Times New Roman" w:hAnsi="Times New Roman" w:cs="Times New Roman"/>
          <w:iCs/>
        </w:rPr>
        <w:t xml:space="preserve"> cell type. This correlation is then multiplied by </w:t>
      </w:r>
      <m:oMath>
        <m:sSub>
          <m:sSubPr>
            <m:ctrlPr>
              <w:rPr>
                <w:rFonts w:ascii="Cambria Math" w:hAnsi="Cambria Math" w:cs="Times New Roman"/>
                <w:iCs/>
              </w:rPr>
            </m:ctrlPr>
          </m:sSubPr>
          <m:e>
            <m:r>
              <w:rPr>
                <w:rFonts w:ascii="Cambria Math" w:hAnsi="Cambria Math" w:cs="Times New Roman"/>
              </w:rPr>
              <m:t>η</m:t>
            </m:r>
          </m:e>
          <m:sub>
            <m:r>
              <w:rPr>
                <w:rFonts w:ascii="Cambria Math" w:hAnsi="Cambria Math" w:cs="Times New Roman"/>
              </w:rPr>
              <m:t>mk</m:t>
            </m:r>
          </m:sub>
        </m:sSub>
      </m:oMath>
      <w:r w:rsidRPr="00CB5EF4">
        <w:rPr>
          <w:rFonts w:ascii="Times New Roman" w:hAnsi="Times New Roman" w:cs="Times New Roman"/>
          <w:iCs/>
        </w:rPr>
        <w:t>​​ ​to obtain the cross-cell type gene module interaction strength:</w:t>
      </w:r>
    </w:p>
    <w:p w14:paraId="1D62DC4F" w14:textId="77777777" w:rsidR="00CB5EF4" w:rsidRPr="00CB5EF4" w:rsidRDefault="008E5812" w:rsidP="00CB5EF4">
      <w:pPr>
        <w:rPr>
          <w:rFonts w:ascii="Times New Roman" w:hAnsi="Times New Roman" w:cs="Times New Roman"/>
        </w:rPr>
      </w:pPr>
      <m:oMathPara>
        <m:oMath>
          <m:sSub>
            <m:sSubPr>
              <m:ctrlPr>
                <w:rPr>
                  <w:rFonts w:ascii="Cambria Math" w:hAnsi="Cambria Math" w:cs="Times New Roman"/>
                  <w:i/>
                </w:rPr>
              </m:ctrlPr>
            </m:sSubPr>
            <m:e>
              <m:r>
                <m:rPr>
                  <m:sty m:val="p"/>
                </m:rPr>
                <w:rPr>
                  <w:rFonts w:ascii="Cambria Math" w:hAnsi="Cambria Math" w:cs="Times New Roman"/>
                </w:rPr>
                <m:t>η</m:t>
              </m:r>
              <m:ctrlPr>
                <w:rPr>
                  <w:rFonts w:ascii="Cambria Math" w:hAnsi="Cambria Math" w:cs="Times New Roman"/>
                </w:rPr>
              </m:ctrlPr>
            </m:e>
            <m:sub>
              <m:r>
                <w:rPr>
                  <w:rFonts w:ascii="Cambria Math" w:hAnsi="Cambria Math" w:cs="Times New Roman"/>
                </w:rPr>
                <m:t>Mk</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η</m:t>
              </m:r>
            </m:e>
            <m:sub>
              <m:r>
                <w:rPr>
                  <w:rFonts w:ascii="Cambria Math" w:hAnsi="Cambria Math" w:cs="Times New Roman"/>
                </w:rPr>
                <m:t>mk</m:t>
              </m:r>
            </m:sub>
          </m:sSub>
          <m:r>
            <w:rPr>
              <w:rFonts w:ascii="Cambria Math" w:hAnsi="Cambria Math" w:cs="Times New Roman"/>
            </w:rPr>
            <m:t>*cor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k</m:t>
                  </m:r>
                </m:sub>
              </m:sSub>
            </m:e>
          </m:d>
        </m:oMath>
      </m:oMathPara>
    </w:p>
    <w:p w14:paraId="74AA878E"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We select gene module pairs with significant interactions based on the spatial correlation of the modules, and further assess the influence of ligand lM,l in gene module </w:t>
      </w:r>
      <m:oMath>
        <m:r>
          <w:rPr>
            <w:rFonts w:ascii="Cambria Math" w:hAnsi="Cambria Math" w:cs="Times New Roman"/>
          </w:rPr>
          <m:t>M</m:t>
        </m:r>
      </m:oMath>
      <w:r w:rsidRPr="00CB5EF4">
        <w:rPr>
          <w:rFonts w:ascii="Times New Roman" w:hAnsi="Times New Roman" w:cs="Times New Roman"/>
          <w:iCs/>
        </w:rPr>
        <w:t xml:space="preserve"> on the feature gene gk,g​ in gene module </w:t>
      </w:r>
      <m:oMath>
        <m:r>
          <w:rPr>
            <w:rFonts w:ascii="Cambria Math" w:hAnsi="Cambria Math" w:cs="Times New Roman"/>
          </w:rPr>
          <m:t>K</m:t>
        </m:r>
      </m:oMath>
      <w:r w:rsidRPr="00CB5EF4">
        <w:rPr>
          <w:rFonts w:ascii="Times New Roman" w:hAnsi="Times New Roman" w:cs="Times New Roman"/>
          <w:iCs/>
        </w:rPr>
        <w:t>:</w:t>
      </w:r>
    </w:p>
    <w:p w14:paraId="4D1F5004" w14:textId="77777777" w:rsidR="00CB5EF4" w:rsidRPr="00CB5EF4" w:rsidRDefault="008E5812" w:rsidP="00CB5EF4">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k,g</m:t>
              </m:r>
            </m:sub>
          </m:sSub>
          <m:r>
            <w:rPr>
              <w:rFonts w:ascii="Cambria Math" w:hAnsi="Cambria Math" w:cs="Times New Roman"/>
            </w:rPr>
            <m:t>=</m:t>
          </m:r>
          <m:nary>
            <m:naryPr>
              <m:chr m:val="∑"/>
              <m:supHide m:val="1"/>
              <m:ctrlPr>
                <w:rPr>
                  <w:rFonts w:ascii="Cambria Math" w:hAnsi="Cambria Math" w:cs="Times New Roman"/>
                </w:rPr>
              </m:ctrlPr>
            </m:naryPr>
            <m:sub>
              <m:r>
                <w:rPr>
                  <w:rFonts w:ascii="Cambria Math" w:hAnsi="Cambria Math" w:cs="Times New Roman"/>
                </w:rPr>
                <m:t>M</m:t>
              </m:r>
              <m:ctrlPr>
                <w:rPr>
                  <w:rFonts w:ascii="Cambria Math" w:hAnsi="Cambria Math" w:cs="Times New Roman"/>
                  <w:i/>
                </w:rPr>
              </m:ctrlPr>
            </m:sub>
            <m:sup>
              <m:ctrlPr>
                <w:rPr>
                  <w:rFonts w:ascii="Cambria Math" w:hAnsi="Cambria Math" w:cs="Times New Roman"/>
                  <w:i/>
                </w:rPr>
              </m:ctrlPr>
            </m:sup>
            <m:e>
              <m:nary>
                <m:naryPr>
                  <m:chr m:val="∑"/>
                  <m:supHide m:val="1"/>
                  <m:ctrlPr>
                    <w:rPr>
                      <w:rFonts w:ascii="Cambria Math" w:hAnsi="Cambria Math" w:cs="Times New Roman"/>
                    </w:rPr>
                  </m:ctrlPr>
                </m:naryPr>
                <m:sub>
                  <m:r>
                    <w:rPr>
                      <w:rFonts w:ascii="Cambria Math" w:hAnsi="Cambria Math" w:cs="Times New Roman"/>
                    </w:rPr>
                    <m:t>l</m:t>
                  </m:r>
                  <m:ctrlPr>
                    <w:rPr>
                      <w:rFonts w:ascii="Cambria Math" w:hAnsi="Cambria Math" w:cs="Times New Roman"/>
                      <w:i/>
                    </w:rPr>
                  </m:ctrlPr>
                </m:sub>
                <m:sup>
                  <m:ctrlPr>
                    <w:rPr>
                      <w:rFonts w:ascii="Cambria Math" w:hAnsi="Cambria Math" w:cs="Times New Roman"/>
                      <w:i/>
                    </w:rPr>
                  </m:ctrlPr>
                </m:sup>
                <m:e>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M,l</m:t>
                      </m:r>
                    </m:sub>
                  </m:sSub>
                  <m:ctrlPr>
                    <w:rPr>
                      <w:rFonts w:ascii="Cambria Math" w:hAnsi="Cambria Math" w:cs="Times New Roman"/>
                      <w:i/>
                    </w:rPr>
                  </m:ctrlPr>
                </m:e>
              </m:nary>
              <m:ctrlPr>
                <w:rPr>
                  <w:rFonts w:ascii="Cambria Math" w:hAnsi="Cambria Math" w:cs="Times New Roman"/>
                  <w:i/>
                </w:rPr>
              </m:ctrlPr>
            </m:e>
          </m:nary>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ctrlPr>
                <w:rPr>
                  <w:rFonts w:ascii="Cambria Math" w:hAnsi="Cambria Math" w:cs="Times New Roman"/>
                </w:rPr>
              </m:ctrlPr>
            </m:e>
            <m:sub>
              <m:r>
                <w:rPr>
                  <w:rFonts w:ascii="Cambria Math" w:hAnsi="Cambria Math" w:cs="Times New Roman"/>
                </w:rPr>
                <m:t>M,l</m:t>
              </m:r>
            </m:sub>
          </m:sSub>
          <m:r>
            <w:rPr>
              <w:rFonts w:ascii="Cambria Math" w:hAnsi="Cambria Math" w:cs="Times New Roman"/>
            </w:rPr>
            <m:t>+</m:t>
          </m:r>
          <m:r>
            <m:rPr>
              <m:sty m:val="p"/>
            </m:rPr>
            <w:rPr>
              <w:rFonts w:ascii="Cambria Math" w:hAnsi="Cambria Math" w:cs="Times New Roman"/>
            </w:rPr>
            <m:t xml:space="preserve"> ϵ</m:t>
          </m:r>
        </m:oMath>
      </m:oMathPara>
    </w:p>
    <w:p w14:paraId="454D85FD" w14:textId="77777777" w:rsidR="00CB5EF4" w:rsidRPr="00CB5EF4" w:rsidRDefault="00CB5EF4" w:rsidP="00CB5EF4">
      <w:pPr>
        <w:spacing w:beforeLines="50" w:before="163" w:afterLines="50" w:after="163"/>
        <w:rPr>
          <w:rFonts w:ascii="Times New Roman" w:hAnsi="Times New Roman" w:cs="Times New Roman"/>
          <w:b/>
          <w:bCs/>
        </w:rPr>
      </w:pPr>
      <w:r w:rsidRPr="00CB5EF4">
        <w:rPr>
          <w:rFonts w:ascii="Times New Roman" w:hAnsi="Times New Roman" w:cs="Times New Roman"/>
          <w:b/>
          <w:bCs/>
        </w:rPr>
        <w:t>Methods Comparison</w:t>
      </w:r>
    </w:p>
    <w:p w14:paraId="4A1A2143" w14:textId="7885EE64"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For reference based gene module discovery, we compared SIGMOD with several existing methods that perform deconvolution including Tangram</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{"citationID":"fblXQJTV","properties":{"formattedCitation":"\\super 3\\nosupersub{}","plainCitation":"3","noteIndex":0},"citationItems":[{"id":1266,"uris":["http://zotero.org/users/9017146/items/RDIRRYMR"],"itemData":{"id":1266,"type":"article-journal","abstract":"Charting an organs’ biological atlas requires us to spatially resolve the entire single-cell transcriptome, and to relate such cellular features to the anatomical scale. Single-cell and single-nucleus RNA-seq (sc/snRNA-seq) can profile cells comprehensively, but lose spatial information. Spatial transcriptomics allows for spatial measurements, but at lower resolution and with limited sensitivity. Targeted in situ technologies solve both issues, but are limited in gene throughput. To overcome these limitations we present Tangram, a method that aligns sc/snRNA-seq data to various forms of spatial data collected from the same region, including MERFISH, STARmap, smFISH, Spatial Transcriptomics (Visium) and histological images. Tangram can map any type of sc/snRNA-seq data, including multimodal data such as those from SHARE-seq, which we used to reveal spatial patterns of chromatin accessibility. We demonstrate Tangram on healthy mouse brain tissue, by reconstructing a genome-wide anatomically integrated spatial map at single-cell resolution of the visual and somatomotor areas.","container-title":"Nature Methods","DOI":"10.1038/s41592-021-01264-7","ISSN":"1548-7105","issue":"11","journalAbbreviation":"Nat Methods","language":"en","license":"2021 The Author(s)","note":"publisher: Nature Publishing Group","page":"1352-1362","source":"www.nature.com","title":"Deep learning and alignment of spatially resolved single-cell transcriptomes with Tangram","volume":"18","author":[{"family":"Biancalani","given":"Tommaso"},{"family":"Scalia","given":"Gabriele"},{"family":"Buffoni","given":"Lorenzo"},{"family":"Avasthi","given":"Raghav"},{"family":"Lu","given":"Ziqing"},{"family":"Sanger","given":"Aman"},{"family":"Tokcan","given":"Neriman"},{"family":"Vanderburg","given":"Charles R."},{"family":"Segerstolpe","given":"Åsa"},{"family":"Zhang","given":"Meng"},{"family":"Avraham-Davidi","given":"Inbal"},{"family":"Vickovic","given":"Sanja"},{"family":"Nitzan","given":"Mor"},{"family":"Ma","given":"Sai"},{"family":"Subramanian","given":"Ayshwarya"},{"family":"Lipinski","given":"Michal"},{"family":"Buenrostro","given":"Jason"},{"family":"Brown","given":"Nik Bear"},{"family":"Fanelli","given":"Duccio"},{"family":"Zhuang","given":"Xiaowei"},{"family":"Macosko","given":"Evan Z."},{"family":"Regev","given":"Aviv"}],"issued":{"date-parts":[["2021",11]]}}}],"schema":"https://github.com/citation-style-language/schema/raw/master/csl-citation.json"}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3</w:t>
      </w:r>
      <w:r w:rsidRPr="00CB5EF4">
        <w:rPr>
          <w:rFonts w:ascii="Times New Roman" w:hAnsi="Times New Roman" w:cs="Times New Roman"/>
          <w:iCs/>
        </w:rPr>
        <w:fldChar w:fldCharType="end"/>
      </w:r>
      <w:r w:rsidRPr="00CB5EF4">
        <w:rPr>
          <w:rFonts w:ascii="Times New Roman" w:hAnsi="Times New Roman" w:cs="Times New Roman"/>
          <w:iCs/>
        </w:rPr>
        <w:t>, SPOTlight</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{"citationID":"eDHhwHkm","properties":{"formattedCitation":"\\super 4\\nosupersub{}","plainCitation":"4","noteIndex":0},"citationItems":[{"id":1257,"uris":["http://zotero.org/users/9017146/items/RNYBDM3C"],"itemData":{"id":1257,"type":"article-journal","abstract":"Spatially resolved gene expression profiles are key to understand tissue organization and function. However, spatial transcriptomics (ST) profiling techniques lack single-cell resolution and require a combination with single-cell RNA sequencing (scRNA-seq) information to deconvolute the spatially indexed datasets. Leveraging the strengths of both data types, we developed SPOTlight, a computational tool that enables the integration of ST with scRNA-seq data to infer the location of cell types and states within a complex tissue. SPOTlight is centered around a seeded non-negative matrix factorization (NMF) regression, initialized using cell-type marker genes and non-negative least squares (NNLS) to subsequently deconvolute ST capture locations (spots). Simulating varying reference quantities and qualities, we confirmed high prediction accuracy also with shallowly sequenced or small-sized scRNA-seq reference datasets. SPOTlight deconvolution of the mouse brain correctly mapped subtle neuronal cell states of the cortical layers and the defined architecture of the hippocampus. In human pancreatic cancer, we successfully segmented patient sections and further fine-mapped normal and neoplastic cell states. Trained on an external single-cell pancreatic tumor references, we further charted the localization of clinical-relevant and tumor-specific immune cell states, an illustrative example of its flexible application spectrum and future potential in digital pathology.","container-title":"Nucleic Acids Research","DOI":"10.1093/nar/gkab043","ISSN":"0305-1048","issue":"9","journalAbbreviation":"Nucleic Acids Research","page":"e50","source":"Silverchair","title":"SPOTlight: seeded NMF regression to deconvolute spatial transcriptomics spots with single-cell transcriptomes","title-short":"SPOTlight","volume":"49","author":[{"family":"Elosua-Bayes","given":"Marc"},{"family":"Nieto","given":"Paula"},{"family":"Mereu","given":"Elisabetta"},{"family":"Gut","given":"Ivo"},{"family":"Heyn","given":"Holger"}],"issued":{"date-parts":[["2021",5,21]]}}}],"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4</w:t>
      </w:r>
      <w:r w:rsidRPr="00CB5EF4">
        <w:rPr>
          <w:rFonts w:ascii="Times New Roman" w:hAnsi="Times New Roman" w:cs="Times New Roman"/>
          <w:iCs/>
        </w:rPr>
        <w:fldChar w:fldCharType="end"/>
      </w:r>
      <w:r w:rsidRPr="00CB5EF4">
        <w:rPr>
          <w:rFonts w:ascii="Times New Roman" w:hAnsi="Times New Roman" w:cs="Times New Roman"/>
          <w:iCs/>
        </w:rPr>
        <w:t>, Cell2location</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{"citationID":"ikXmjtdu","properties":{"formattedCitation":"\\super 5\\nosupersub{}","plainCitation":"5","noteIndex":0},"citationItems":[{"id":434,"uris":["http://zotero.org/users/9017146/items/5FF6GPTW"],"itemData":{"id":434,"type":"article-journal","abstract":"Spatial transcriptomic technologies promise to resolve cellular wiring diagrams of tissues in health and disease, but comprehensive mapping of cell types in situ remains a challenge. Here we present сell2location, a Bayesian model that can resolve fine-grained cell types in spatial transcriptomic data and create comprehensive cellular maps of diverse tissues. Cell2location accounts for technical sources of variation and borrows statistical strength across locations, thereby enabling the integration of single-cell and spatial transcriptomics with higher sensitivity and resolution than existing tools. We assessed cell2location in three different tissues and show improved mapping of fine-grained cell types. In the mouse brain, we discovered fine regional astrocyte subtypes across the thalamus and hypothalamus. In the human lymph node, we spatially mapped a rare pre-germinal center B cell population. In the human gut, we resolved fine immune cell populations in lymphoid follicles. Collectively, our results present сell2location as a versatile analysis tool for mapping tissue architectures in a comprehensive manner.","container-title":"Nature Biotechnology","DOI":"10.1038/s41587-021-01139-4","ISSN":"1546-1696","issue":"5","journalAbbreviation":"Nat Biotechnol","language":"en","license":"2022 The Author(s), under exclusive licence to Springer Nature America, Inc.","note":"number: 5\npublisher: Nature Publishing Group","page":"661-671","source":"www.nature.com","title":"Cell2location maps fine-grained cell types in spatial transcriptomics","volume":"40","author":[{"family":"Kleshchevnikov","given":"Vitalii"},{"family":"Shmatko","given":"Artem"},{"family":"Dann","given":"Emma"},{"family":"Aivazidis","given":"Alexander"},{"family":"King","given":"Hamish W."},{"family":"Li","given":"Tong"},{"family":"Elmentaite","given":"Rasa"},{"family":"Lomakin","given":"Artem"},{"family":"Kedlian","given":"Veronika"},{"family":"Gayoso","given":"Adam"},{"family":"Jain","given":"Mika Sarkin"},{"family":"Park","given":"Jun Sung"},{"family":"Ramona","given":"Lauma"},{"family":"Tuck","given":"Elizabeth"},{"family":"Arutyunyan","given":"Anna"},{"family":"Vento-Tormo","given":"Roser"},{"family":"Gerstung","given":"Moritz"},{"family":"James","given":"Louisa"},{"family":"Stegle","given":"Oliver"},{"family":"Bayraktar","given":"Omer Ali"}],"issued":{"date-parts":[["2022",5]]}}}],"schema":"https://github.com/citation-style-language/schema/raw/master/csl-citation.json"}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5</w:t>
      </w:r>
      <w:r w:rsidRPr="00CB5EF4">
        <w:rPr>
          <w:rFonts w:ascii="Times New Roman" w:hAnsi="Times New Roman" w:cs="Times New Roman"/>
          <w:iCs/>
        </w:rPr>
        <w:fldChar w:fldCharType="end"/>
      </w:r>
      <w:r w:rsidRPr="00CB5EF4">
        <w:rPr>
          <w:rFonts w:ascii="Times New Roman" w:hAnsi="Times New Roman" w:cs="Times New Roman"/>
          <w:iCs/>
        </w:rPr>
        <w:t>, CARD</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{"citationID":"CzQS4hjM","properties":{"formattedCitation":"\\super 6\\nosupersub{}","plainCitation":"6","noteIndex":0},"citationItems":[{"id":1748,"uris":["http://zotero.org/users/9017146/items/J9UKL682"],"itemData":{"id":1748,"type":"article-journal","abstract":"Many spatially resolved transcriptomic technologies do not have single-cell resolution but measure the average gene expression for each spot from a mixture of cells of potentially heterogeneous cell types. Here, we introduce a deconvolution method, conditional autoregressive-based deconvolution (CARD), that combines cell-type-specific expression information from single-cell RNA sequencing (scRNA-seq) with correlation in cell-type composition across tissue locations. Modeling spatial correlation allows us to borrow the cell-type composition information across locations, improving accuracy of deconvolution even with a mismatched scRNA-seq reference. CARD can also impute cell-type compositions and gene expression levels at unmeasured tissue locations to enable the construction of a refined spatial tissue map with a resolution arbitrarily higher than that measured in the original study and can perform deconvolution without an scRNA-seq reference. Applications to four datasets, including a pancreatic cancer dataset, identified multiple cell types and molecular markers with distinct spatial localization that define the progression, heterogeneity and compartmentalization of pancreatic cancer.","container-title":"Nature Biotechnology","DOI":"10.1038/s41587-022-01273-7","ISSN":"1546-1696","issue":"9","journalAbbreviation":"Nat Biotechnol","language":"en","license":"2022 The Author(s), under exclusive licence to Springer Nature America, Inc.","note":"publisher: Nature Publishing Group","page":"1349-1359","source":"www.nature.com","title":"Spatially informed cell-type deconvolution for spatial transcriptomics","volume":"40","author":[{"family":"Ma","given":"Ying"},{"family":"Zhou","given":"Xiang"}],"issued":{"date-parts":[["2022",9]]}}}],"schema":"https://github.com/citation-style-language/schema/raw/master/csl-citation.json"}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6</w:t>
      </w:r>
      <w:r w:rsidRPr="00CB5EF4">
        <w:rPr>
          <w:rFonts w:ascii="Times New Roman" w:hAnsi="Times New Roman" w:cs="Times New Roman"/>
          <w:iCs/>
        </w:rPr>
        <w:fldChar w:fldCharType="end"/>
      </w:r>
      <w:r w:rsidRPr="00CB5EF4">
        <w:rPr>
          <w:rFonts w:ascii="Times New Roman" w:hAnsi="Times New Roman" w:cs="Times New Roman"/>
          <w:iCs/>
        </w:rPr>
        <w:t>, RCTD</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{"citationID":"CYQdWVwD","properties":{"formattedCitation":"\\super 7\\nosupersub{}","plainCitation":"7","noteIndex":0},"citationItems":[{"id":901,"uris":["http://zotero.org/users/9017146/items/UQQNWE3H"],"itemData":{"id":901,"type":"article-journal","abstract":"A limitation of spatial transcriptomics technologies is that individual measurements may contain contributions from multiple cells, hindering the discovery of cell-type-specific spatial patterns of localization and expression. Here, we develop robust cell type decomposition (RCTD), a computational method that leverages cell type profiles learned from single-cell RNA-seq to decompose cell type mixtures while correcting for differences across sequencing technologies. We demonstrate the ability of RCTD to detect mixtures and identify cell types on simulated datasets. Furthermore, RCTD accurately reproduces known cell type and subtype localization patterns in Slide-seq and Visium datasets of the mouse brain. Finally, we show how RCTD’s recovery of cell type localization enables the discovery of genes within a cell type whose expression depends on spatial environment. Spatial mapping of cell types with RCTD enables the spatial components of cellular identity to be defined, uncovering new principles of cellular organization in biological tissue. RCTD is publicly available as an open-source R package at https://github.com/dmcable/RCTD.","container-title":"Nature Biotechnology","DOI":"10.1038/s41587-021-00830-w","ISSN":"1546-1696","issue":"4","journalAbbreviation":"Nat Biotechnol","language":"en","license":"2021 The Author(s), under exclusive licence to Springer Nature America, Inc.","note":"publisher: Nature Publishing Group","page":"517-526","source":"www.nature.com","title":"Robust decomposition of cell type mixtures in spatial transcriptomics","volume":"40","author":[{"family":"Cable","given":"Dylan M."},{"family":"Murray","given":"Evan"},{"family":"Zou","given":"Luli S."},{"family":"Goeva","given":"Aleksandrina"},{"family":"Macosko","given":"Evan Z."},{"family":"Chen","given":"Fei"},{"family":"Irizarry","given":"Rafael A."}],"issued":{"date-parts":[["2022",4]]}}}],"schema":"https://github.com/citation-style-language/schema/raw/master/csl-citation.json"}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7</w:t>
      </w:r>
      <w:r w:rsidRPr="00CB5EF4">
        <w:rPr>
          <w:rFonts w:ascii="Times New Roman" w:hAnsi="Times New Roman" w:cs="Times New Roman"/>
          <w:iCs/>
        </w:rPr>
        <w:fldChar w:fldCharType="end"/>
      </w:r>
      <w:r w:rsidRPr="00CB5EF4">
        <w:rPr>
          <w:rFonts w:ascii="Times New Roman" w:hAnsi="Times New Roman" w:cs="Times New Roman"/>
          <w:iCs/>
        </w:rPr>
        <w:t xml:space="preserve"> and Spotiphy</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{"citationID":"P1sVZDnq","properties":{"formattedCitation":"\\super 8\\nosupersub{}","plainCitation":"8","noteIndex":0},"citationItems":[{"id":1414,"uris":["http://zotero.org/users/9017146/items/G3VJ5VEQ"],"itemData":{"id":1414,"type":"article-journal","abstract":"Spatial transcriptomics (ST) has advanced our understanding of tissue regionalization by enabling the visualization of gene expression within whole-tissue sections, but current approaches remain plagued by the challenge of achieving single-cell resolution without sacrificing whole-genome coverage. Here we present Spotiphy (spot imager with pseudo-single-cell-resolution histology), a computational toolkit that transforms sequencing-based ST data into single-cell-resolved whole-transcriptome images. Spotiphy delivers the most precise cellular proportions in extensive benchmarking evaluations. Spotiphy-derived inferred single-cell profiles reveal astrocyte and disease-associated microglia regional specifications in Alzheimer’s disease and healthy mouse brains. Spotiphy identifies multiple spatial domains and alterations in tumor–tumor microenvironment interactions in human breast ST data. Spotiphy bridges the information gap and enables visualization of cell localization and transcriptomic profiles throughout entire sections, offering highly informative outputs and an innovative spatial analysis pipeline for exploring complex biological systems.","container-title":"Nature Methods","DOI":"10.1038/s41592-025-02622-5","ISSN":"1548-7105","journalAbbreviation":"Nat Methods","language":"en","license":"2025 The Author(s)","note":"publisher: Nature Publishing Group","page":"1-13","source":"www.nature.com","title":"Spotiphy enables single-cell spatial whole transcriptomics across an entire section","author":[{"family":"Yang","given":"Jiyuan"},{"family":"Zheng","given":"Ziqian"},{"family":"Jiao","given":"Yun"},{"family":"Yu","given":"Kaiwen"},{"family":"Bhatara","given":"Sheetal"},{"family":"Yang","given":"Xu"},{"family":"Natarajan","given":"Sivaraman"},{"family":"Zhang","given":"Jiahui"},{"family":"Pan","given":"Qingfei"},{"family":"Easton","given":"John"},{"family":"Yan","given":"Koon-Kiu"},{"family":"Peng","given":"Junmin"},{"family":"Liu","given":"Kaibo"},{"family":"Yu","given":"Jiyang"}],"issued":{"date-parts":[["2025",3,12]]}}}],"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8</w:t>
      </w:r>
      <w:r w:rsidRPr="00CB5EF4">
        <w:rPr>
          <w:rFonts w:ascii="Times New Roman" w:hAnsi="Times New Roman" w:cs="Times New Roman"/>
          <w:iCs/>
        </w:rPr>
        <w:fldChar w:fldCharType="end"/>
      </w:r>
      <w:r w:rsidRPr="00CB5EF4">
        <w:rPr>
          <w:rFonts w:ascii="Times New Roman" w:hAnsi="Times New Roman" w:cs="Times New Roman"/>
          <w:iCs/>
        </w:rPr>
        <w:t>. For all algorithms, we followed the corresponding tutorials on Github and used the recommended default parameter settings. For reference free gene module discovery, we compared SIGMOD with several existing methods that can identify topics and their corresponding gene modules. We compared SIGMOD to STAMP</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{"citationID":"t0VPQjDl","properties":{"formattedCitation":"\\super 2\\nosupersub{}","plainCitation":"2","noteIndex":0},"citationItems":[{"id":988,"uris":["http://zotero.org/users/9017146/items/ZX8WGRD9"],"itemData":{"id":988,"type":"article-journal","abstract":"Spatial transcriptomics produces high-dimensional gene expression measurements with spatial context. Obtaining a biologically meaningful low-dimensional representation of such data is crucial for effective interpretation and downstream analysis. Here, we present Spatial Transcriptomics Analysis with topic Modeling to uncover spatial Patterns (STAMP), an interpretable spatially aware dimension reduction method built on a deep generative model that returns biologically relevant, low-dimensional spatial topics and associated gene modules. STAMP can analyze data ranging from a single section to multiple sections and from different technologies to time-series data, returning topics matching known biological domains and associated gene modules containing established markers highly ranked within. In a lung cancer sample, STAMP delineated cell states with supporting markers at a higher resolution than the original annotation and uncovered cancer-associated fibroblasts concentrated on the tumor edge’s exterior. In time-series data of mouse embryonic development, STAMP disentangled the erythro-myeloid hematopoiesis and hepatocytes developmental trajectories within the liver. STAMP is highly scalable and can handle more than 500,000 cells.","container-title":"Nature Methods","DOI":"10.1038/s41592-024-02463-8","ISSN":"1548-7105","issue":"11","journalAbbreviation":"Nat Methods","language":"en","license":"2024 The Author(s)","note":"publisher: Nature Publishing Group","page":"2072-2083","source":"www.nature.com","title":"Interpretable spatially aware dimension reduction of spatial transcriptomics with STAMP","volume":"21","author":[{"family":"Zhong","given":"Chengwei"},{"family":"Ang","given":"Kok Siong"},{"family":"Chen","given":"Jinmiao"}],"issued":{"date-parts":[["2024",11]]}}}],"schema":"https://github.com/citation-style-language/schema/raw/master/csl-citation.json"}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2</w:t>
      </w:r>
      <w:r w:rsidRPr="00CB5EF4">
        <w:rPr>
          <w:rFonts w:ascii="Times New Roman" w:hAnsi="Times New Roman" w:cs="Times New Roman"/>
          <w:iCs/>
        </w:rPr>
        <w:fldChar w:fldCharType="end"/>
      </w:r>
      <w:r w:rsidRPr="00CB5EF4">
        <w:rPr>
          <w:rFonts w:ascii="Times New Roman" w:hAnsi="Times New Roman" w:cs="Times New Roman"/>
          <w:iCs/>
        </w:rPr>
        <w:t>, NMF, LDVAE</w:t>
      </w:r>
      <w:r w:rsidRPr="00CB5EF4">
        <w:rPr>
          <w:rFonts w:ascii="Times New Roman" w:hAnsi="Times New Roman" w:cs="Times New Roman"/>
          <w:iCs/>
        </w:rPr>
        <w:fldChar w:fldCharType="begin"/>
      </w:r>
      <w:r w:rsidR="00C61174">
        <w:rPr>
          <w:rFonts w:ascii="Times New Roman" w:hAnsi="Times New Roman" w:cs="Times New Roman"/>
          <w:iCs/>
        </w:rPr>
        <w:instrText xml:space="preserve"> ADDIN ZOTERO_ITEM CSL_CITATION {"citationID":"2JnZfJeJ","properties":{"formattedCitation":"\\super 9\\nosupersub{}","plainCitation":"9","noteIndex":0},"citationItems":[{"id":1888,"uris":["http://zotero.org/users/9017146/items/7H6TZN46"],"itemData":{"id":1888,"type":"article-journal","abstract":"Motivation: Single-cell RNA-seq makes possible the investigation of variability in gene expression among cells, and dependence of variation on cell type. Statistical inference methods for such analyses must be scalable, and ideally interpretable.","container-title":"Bioinformatics","DOI":"10.1093/bioinformatics/btaa169","ISSN":"1367-4803, 1367-4811","issue":"11","language":"en","license":"http://creativecommons.org/licenses/by/4.0/","note":"publisher: Oxford University Press (OUP)","page":"3418-3421","source":"Crossref","title":"Interpretable factor models of single-cell RNA-seq via variational autoencoders","volume":"36","author":[{"family":"Svensson","given":"Valentine"},{"family":"Gayoso","given":"Adam"},{"family":"Yosef","given":"Nir"},{"family":"Pachter","given":"Lior"}],"editor":[{"family":"Mathelier","given":"Anthony"}],"issued":{"date-parts":[["2020",6,1]]}}}],"schema":"https://github.com/citation-style-language/schema/raw/master/csl-citation.json"} </w:instrText>
      </w:r>
      <w:r w:rsidRPr="00CB5EF4">
        <w:rPr>
          <w:rFonts w:ascii="Times New Roman" w:hAnsi="Times New Roman" w:cs="Times New Roman"/>
          <w:iCs/>
        </w:rPr>
        <w:fldChar w:fldCharType="separate"/>
      </w:r>
      <w:r w:rsidR="00F41FAE" w:rsidRPr="00F41FAE">
        <w:rPr>
          <w:rFonts w:ascii="Times New Roman" w:hAnsi="Times New Roman" w:cs="Times New Roman"/>
          <w:vertAlign w:val="superscript"/>
        </w:rPr>
        <w:t>9</w:t>
      </w:r>
      <w:r w:rsidRPr="00CB5EF4">
        <w:rPr>
          <w:rFonts w:ascii="Times New Roman" w:hAnsi="Times New Roman" w:cs="Times New Roman"/>
          <w:iCs/>
        </w:rPr>
        <w:fldChar w:fldCharType="end"/>
      </w:r>
      <w:r w:rsidRPr="00CB5EF4">
        <w:rPr>
          <w:rFonts w:ascii="Times New Roman" w:hAnsi="Times New Roman" w:cs="Times New Roman"/>
          <w:iCs/>
        </w:rPr>
        <w:t xml:space="preserve"> and LDA. For all algorithms, we followed the corresponding tutorials on Github and used the recommended default parameter settings.</w:t>
      </w:r>
    </w:p>
    <w:p w14:paraId="677AE5D3"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Tangram</w:t>
      </w:r>
      <w:r w:rsidRPr="00CB5EF4">
        <w:rPr>
          <w:rFonts w:ascii="Times New Roman" w:hAnsi="Times New Roman" w:cs="Times New Roman"/>
          <w:iCs/>
        </w:rPr>
        <w:t>: we used the code of Tangram v1.0.3 from https://github.com/broadinstitute/Tangram. The mapping of cells to space was conducted with the function tg.map_cell_to_space with mode = clusters.</w:t>
      </w:r>
    </w:p>
    <w:p w14:paraId="70CFAB5D"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SPOTlight</w:t>
      </w:r>
      <w:r w:rsidRPr="00CB5EF4">
        <w:rPr>
          <w:rFonts w:ascii="Times New Roman" w:hAnsi="Times New Roman" w:cs="Times New Roman"/>
          <w:iCs/>
        </w:rPr>
        <w:t>: we used the code of SPOTlight v0.99.0 from https://github.com/MarcElosua/SPOTlight. We set cl_n to 10 and hvg to 2000.</w:t>
      </w:r>
    </w:p>
    <w:p w14:paraId="69EDF536"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Cell2location</w:t>
      </w:r>
      <w:r w:rsidRPr="00CB5EF4">
        <w:rPr>
          <w:rFonts w:ascii="Times New Roman" w:hAnsi="Times New Roman" w:cs="Times New Roman"/>
          <w:iCs/>
        </w:rPr>
        <w:t>: we used the code of Cell2location v0.1 from </w:t>
      </w:r>
      <w:hyperlink r:id="rId5" w:history="1">
        <w:r w:rsidRPr="00CB5EF4">
          <w:rPr>
            <w:rFonts w:ascii="Times New Roman" w:hAnsi="Times New Roman" w:cs="Times New Roman"/>
            <w:iCs/>
          </w:rPr>
          <w:t>https://github.com/BayraktarLab/cell2location</w:t>
        </w:r>
      </w:hyperlink>
      <w:r w:rsidRPr="00CB5EF4">
        <w:rPr>
          <w:rFonts w:ascii="Times New Roman" w:hAnsi="Times New Roman" w:cs="Times New Roman"/>
          <w:iCs/>
        </w:rPr>
        <w:t>. The settings max_epochs = 4000, batch_size = None, and train_size = 1 were used.</w:t>
      </w:r>
    </w:p>
    <w:p w14:paraId="68E4FE25"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lastRenderedPageBreak/>
        <w:t>CARD</w:t>
      </w:r>
      <w:r w:rsidRPr="00CB5EF4">
        <w:rPr>
          <w:rFonts w:ascii="Times New Roman" w:hAnsi="Times New Roman" w:cs="Times New Roman"/>
          <w:iCs/>
        </w:rPr>
        <w:t>: we used the code of CARD v1.0.0 from https://github.com/YingMa0107/CARD. We set minCountGene to 5 and minCountSpot to 5, which are the default parameter settings.</w:t>
      </w:r>
    </w:p>
    <w:p w14:paraId="33F6B001"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RCTD</w:t>
      </w:r>
      <w:r w:rsidRPr="00CB5EF4">
        <w:rPr>
          <w:rFonts w:ascii="Times New Roman" w:hAnsi="Times New Roman" w:cs="Times New Roman"/>
          <w:iCs/>
        </w:rPr>
        <w:t>: We used the code of RCTD from https://github.com/dmcable/spacexr, which is integrated into a tool called spacexr (2.0.0). Spacexr (RCTD) was run with following the configuration: (1) create.RCTD was used with the parameter CELL_MIN_INSTANCE = 1; (2) run.RCTD was used in the doublet mode.</w:t>
      </w:r>
    </w:p>
    <w:p w14:paraId="19CAD2AF" w14:textId="77777777" w:rsidR="00CB5EF4" w:rsidRPr="00CB5EF4" w:rsidRDefault="00CB5EF4" w:rsidP="00CB5EF4">
      <w:pPr>
        <w:spacing w:line="360" w:lineRule="auto"/>
        <w:rPr>
          <w:rFonts w:ascii="Times New Roman" w:hAnsi="Times New Roman" w:cs="Times New Roman"/>
        </w:rPr>
      </w:pPr>
      <w:r w:rsidRPr="00CB5EF4">
        <w:rPr>
          <w:rFonts w:ascii="Times New Roman" w:hAnsi="Times New Roman" w:cs="Times New Roman"/>
          <w:b/>
          <w:bCs/>
          <w:iCs/>
        </w:rPr>
        <w:t>Spotiphy</w:t>
      </w:r>
      <w:r w:rsidRPr="00CB5EF4">
        <w:rPr>
          <w:rFonts w:ascii="Times New Roman" w:hAnsi="Times New Roman" w:cs="Times New Roman"/>
          <w:iCs/>
        </w:rPr>
        <w:t xml:space="preserve">: We used the code of Spotiphy from </w:t>
      </w:r>
      <w:hyperlink r:id="rId6" w:history="1">
        <w:r w:rsidRPr="00CB5EF4">
          <w:rPr>
            <w:rStyle w:val="af"/>
            <w:rFonts w:ascii="Times New Roman" w:hAnsi="Times New Roman" w:cs="Times New Roman"/>
          </w:rPr>
          <w:t>https://github.com/jyyulab/Spotiphy</w:t>
        </w:r>
      </w:hyperlink>
      <w:r w:rsidRPr="00CB5EF4">
        <w:rPr>
          <w:rFonts w:ascii="Times New Roman" w:hAnsi="Times New Roman" w:cs="Times New Roman"/>
          <w:iCs/>
        </w:rPr>
        <w:t>. The settings are n_epoch=8000, batch_prior=1</w:t>
      </w:r>
    </w:p>
    <w:p w14:paraId="15013F85"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NMF</w:t>
      </w:r>
      <w:r w:rsidRPr="00CB5EF4">
        <w:rPr>
          <w:rFonts w:ascii="Times New Roman" w:hAnsi="Times New Roman" w:cs="Times New Roman"/>
          <w:iCs/>
        </w:rPr>
        <w:t>: We used NMF from the scikit-learn package with the Kullback divergence loss and set max-iter to 1000.</w:t>
      </w:r>
    </w:p>
    <w:p w14:paraId="6BEE90C7"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LDA</w:t>
      </w:r>
      <w:r w:rsidRPr="00CB5EF4">
        <w:rPr>
          <w:rFonts w:ascii="Times New Roman" w:hAnsi="Times New Roman" w:cs="Times New Roman"/>
          <w:iCs/>
        </w:rPr>
        <w:t>: We used LDA from the scikit-learn package with its default parameters.</w:t>
      </w:r>
    </w:p>
    <w:p w14:paraId="3A351CBA"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LDVAE</w:t>
      </w:r>
      <w:r w:rsidRPr="00CB5EF4">
        <w:rPr>
          <w:rFonts w:ascii="Times New Roman" w:hAnsi="Times New Roman" w:cs="Times New Roman"/>
          <w:iCs/>
        </w:rPr>
        <w:t>: We used LDVAE from scVI with the default parameters except for the use of a logistic-normal distribution as the latent topics’ distributions to enforce positivity.</w:t>
      </w:r>
    </w:p>
    <w:p w14:paraId="229BDDEB"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b/>
          <w:bCs/>
          <w:iCs/>
        </w:rPr>
        <w:t>STAMP</w:t>
      </w:r>
      <w:r w:rsidRPr="00CB5EF4">
        <w:rPr>
          <w:rFonts w:ascii="Times New Roman" w:hAnsi="Times New Roman" w:cs="Times New Roman"/>
          <w:iCs/>
        </w:rPr>
        <w:t xml:space="preserve">: We used the code of STAMP from </w:t>
      </w:r>
      <w:hyperlink r:id="rId7" w:history="1">
        <w:r w:rsidRPr="00CB5EF4">
          <w:rPr>
            <w:rStyle w:val="af"/>
            <w:rFonts w:ascii="Times New Roman" w:hAnsi="Times New Roman" w:cs="Times New Roman"/>
          </w:rPr>
          <w:t>https://github.com/JinmiaoChenLab/scTM</w:t>
        </w:r>
      </w:hyperlink>
      <w:r w:rsidRPr="00CB5EF4">
        <w:rPr>
          <w:rFonts w:ascii="Times New Roman" w:hAnsi="Times New Roman" w:cs="Times New Roman"/>
          <w:iCs/>
        </w:rPr>
        <w:t xml:space="preserve"> with setting gene_likelihood = "nb".</w:t>
      </w:r>
    </w:p>
    <w:p w14:paraId="509D4BC0" w14:textId="77777777" w:rsidR="00CB5EF4" w:rsidRPr="00CB5EF4" w:rsidRDefault="00CB5EF4" w:rsidP="00CB5EF4">
      <w:pPr>
        <w:rPr>
          <w:rFonts w:ascii="Times New Roman" w:hAnsi="Times New Roman" w:cs="Times New Roman"/>
          <w:b/>
          <w:bCs/>
          <w:iCs/>
        </w:rPr>
      </w:pPr>
      <w:r w:rsidRPr="00CB5EF4">
        <w:rPr>
          <w:rFonts w:ascii="Times New Roman" w:hAnsi="Times New Roman" w:cs="Times New Roman"/>
          <w:b/>
          <w:bCs/>
          <w:iCs/>
        </w:rPr>
        <w:t>Data resources, preprocessing and anlyzing</w:t>
      </w:r>
    </w:p>
    <w:p w14:paraId="3D6FD440" w14:textId="77777777" w:rsidR="00CB5EF4" w:rsidRPr="00CB5EF4" w:rsidRDefault="00CB5EF4" w:rsidP="00CB5EF4">
      <w:pPr>
        <w:spacing w:beforeLines="50" w:before="163" w:afterLines="50" w:after="163"/>
        <w:rPr>
          <w:rFonts w:ascii="Times New Roman" w:hAnsi="Times New Roman" w:cs="Times New Roman"/>
          <w:i/>
        </w:rPr>
      </w:pPr>
      <w:r w:rsidRPr="00CB5EF4">
        <w:rPr>
          <w:rFonts w:ascii="Times New Roman" w:hAnsi="Times New Roman" w:cs="Times New Roman"/>
          <w:i/>
        </w:rPr>
        <w:t>Human pancreatic cancer data, 10X ST</w:t>
      </w:r>
    </w:p>
    <w:p w14:paraId="062E6A61"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We downloaded the human pancreatic ductal adenocarcinoma (PDAC) dataset from the GEO database (accession number GSE111672), which includes both spatial transcriptomics and single-cell RNA sequencing (scRNA-seq) data obtained from the same tissue using the inDrop technology. Following the original study, we focused on the PDAC-A spatial transcriptomics data corresponding to patient ID GSM3036911. During preprocessing, we removed genes with zero expression across all spatial locations and excluded locations with fewer than 100 total read counts. After filtering, the dataset comprised 22,269 genes and 428 spatial locations.</w:t>
      </w:r>
    </w:p>
    <w:p w14:paraId="3DB3B785"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In the PDAC dataset, we first normalized the reference single-cell transcriptomic data. Based on the pre-annotated cell types, we then identified differentially expressed </w:t>
      </w:r>
      <w:r w:rsidRPr="00CB5EF4">
        <w:rPr>
          <w:rFonts w:ascii="Times New Roman" w:hAnsi="Times New Roman" w:cs="Times New Roman"/>
          <w:iCs/>
        </w:rPr>
        <w:lastRenderedPageBreak/>
        <w:t>genes using the t-test. Genes with a log₂ fold change greater than 1 and an adjusted p-value less than 0.05 were selected as candidate genes for cell type–specific modules. Using the normalized data, we computed the average expression of these genes within each cell type to construct the reference profiles for cell type–specific modules. For spatially highly variable ligand–receptor pairs, we applied the following selection criteria: co-localization score greater than 1, adjusted p-value less than 0.05, and region-specific enrichment p-value less than 0.05. Subsequently, we applied non-negative matrix factorization (NMF) using the implementation in scikit-learn to identify spatial niches, with the number of components set to 12. During the discovery of cell type–specific gene modules, SIGMOD constructed a spatial adjacency graph by connecting each spot to its four nearest neighbors. The RBF kernel weight was set to 1, the spatial regularization strength was set to 200, and the alpha parameter for the sparse softmax was set to 1.25.</w:t>
      </w:r>
    </w:p>
    <w:p w14:paraId="32945092" w14:textId="77777777" w:rsidR="00CB5EF4" w:rsidRPr="00CB5EF4" w:rsidRDefault="00CB5EF4" w:rsidP="00CB5EF4">
      <w:pPr>
        <w:spacing w:beforeLines="50" w:before="163" w:afterLines="50" w:after="163" w:line="360" w:lineRule="auto"/>
        <w:rPr>
          <w:rFonts w:ascii="Times New Roman" w:hAnsi="Times New Roman" w:cs="Times New Roman"/>
          <w:i/>
        </w:rPr>
      </w:pPr>
      <w:r w:rsidRPr="00CB5EF4">
        <w:rPr>
          <w:rFonts w:ascii="Times New Roman" w:hAnsi="Times New Roman" w:cs="Times New Roman"/>
          <w:i/>
        </w:rPr>
        <w:t>Mouse Alzheimer's disease data, 10X Visium</w:t>
      </w:r>
    </w:p>
    <w:p w14:paraId="7EE3B00D"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We obtained the processed HDF5 object from https://doi.org/10.5281/zenodo.10520022 and converted it to the H5AD format. During preprocessing, we removed genes with zero expression across all spatial locations and excluded genes that appeared in fewer than 10 spots. After filtering, the final dataset consisted of 17,245 genes and 3,476 spatial locations.</w:t>
      </w:r>
    </w:p>
    <w:p w14:paraId="7FE5D9B5"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The single-cell transcriptomic data were obtained from the Allen Brain Map Atlas. To define reference features for cell type–specific gene modules, we selected marker genes consistent with those used in Spotiphy. Using the normalized data, we computed the average expression of these genes within each cell type to serve as reference profiles for the cell type–specific modules. For spatially highly variable ligand–receptor pairs, we applied the following selection criteria: co-localization score greater than 1, adjusted p-value less than 0.05, and region-specific enrichment adjust p-value less than 0.05. Subsequently, we applied non-negative matrix factorization (NMF) using the implementation in scikit-learn to identify spatial </w:t>
      </w:r>
      <w:r w:rsidRPr="00CB5EF4">
        <w:rPr>
          <w:rFonts w:ascii="Times New Roman" w:hAnsi="Times New Roman" w:cs="Times New Roman"/>
          <w:iCs/>
        </w:rPr>
        <w:lastRenderedPageBreak/>
        <w:t>niches, with the number of components set to 15. During the discovery of cell type–specific modules, SIGMOD constructed a spatial adjacency graph by connecting each spot to its six nearest neighbors. The RBF kernel weight was set to 1, the spatial regularization strength was set to 200, and the alpha parameter for the sparse softmax was set to 1.75.</w:t>
      </w:r>
    </w:p>
    <w:p w14:paraId="2FDDDFAE" w14:textId="77777777" w:rsidR="00CB5EF4" w:rsidRPr="00CB5EF4" w:rsidRDefault="00CB5EF4" w:rsidP="00142A11">
      <w:pPr>
        <w:spacing w:beforeLines="50" w:before="163" w:afterLines="50" w:after="163" w:line="360" w:lineRule="auto"/>
        <w:rPr>
          <w:rFonts w:ascii="Times New Roman" w:hAnsi="Times New Roman" w:cs="Times New Roman"/>
          <w:i/>
        </w:rPr>
      </w:pPr>
      <w:r w:rsidRPr="00CB5EF4">
        <w:rPr>
          <w:rFonts w:ascii="Times New Roman" w:hAnsi="Times New Roman" w:cs="Times New Roman"/>
          <w:i/>
        </w:rPr>
        <w:t>Human colorectal cancer with liver metasis data, 10X Visium</w:t>
      </w:r>
    </w:p>
    <w:p w14:paraId="6DDAD17A"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We downloaded the human colorectal cancer with liver metastasis dataset from the GEO database (accession number GSE225857). This dataset includes both spatial transcriptomics and single-cell RNA sequencing (scRNA-seq) data, comprising four primary colorectal cancer samples and two liver metastasis samples. During preprocessing, we removed genes with zero expression across all spatial locations and excluded genes expressed in fewer than 0.5% of the spots. After filtering, the final dataset contained 17,943 genes and 22,260 spatial locations.</w:t>
      </w:r>
    </w:p>
    <w:p w14:paraId="7EA32928"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In the CRC liver metastasis dataset, we first normalized the reference single-cell transcriptomic data. Based on the pre-annotated cell types, we identified differentially expressed genes using the t-test. Genes with a log₂ fold change greater than 1 and an adjusted p-value less than 0.05 were selected as candidate genes for cell type–specific modules. Using the normalized data, we then calculated the average expression of these genes within each cell type to construct the reference profiles for the cell type–specific modules. For spatially highly variable ligand–receptor pairs, we applied the following selection criteria: co-localization score greater than 1, adjusted p-value less than 0.05, and region-specific enrichment adjust p-value less than 0.05. Subsequently, we applied non-negative matrix factorization (NMF) to combined dataset using the implementation in scikit-learn to identify spatial niches, with the number of components set to 15. During the identification of cell type–specific modules, SIGMOD constructed a spatial adjacency graph by connecting each spot to its six nearest neighbors. The RBF kernel weight was set to 1, the spatial regularization </w:t>
      </w:r>
      <w:r w:rsidRPr="00CB5EF4">
        <w:rPr>
          <w:rFonts w:ascii="Times New Roman" w:hAnsi="Times New Roman" w:cs="Times New Roman"/>
          <w:iCs/>
        </w:rPr>
        <w:lastRenderedPageBreak/>
        <w:t>strength was set to 200, and the alpha parameter for the sparse softmax was set to 1.25.</w:t>
      </w:r>
    </w:p>
    <w:p w14:paraId="546EDCD7" w14:textId="77777777" w:rsidR="00CB5EF4" w:rsidRPr="00CB5EF4" w:rsidRDefault="00CB5EF4" w:rsidP="00142A11">
      <w:pPr>
        <w:spacing w:beforeLines="50" w:before="163" w:afterLines="50" w:after="163" w:line="360" w:lineRule="auto"/>
        <w:rPr>
          <w:rFonts w:ascii="Times New Roman" w:hAnsi="Times New Roman" w:cs="Times New Roman"/>
          <w:i/>
        </w:rPr>
      </w:pPr>
      <w:r w:rsidRPr="00CB5EF4">
        <w:rPr>
          <w:rFonts w:ascii="Times New Roman" w:hAnsi="Times New Roman" w:cs="Times New Roman"/>
          <w:i/>
        </w:rPr>
        <w:t>Human breast cancer data, Xenium</w:t>
      </w:r>
    </w:p>
    <w:p w14:paraId="3C1B00F1"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We downloaded the high-resolution human breast cancer dataset from the 10x Genomics website (https://www.10xgenomics.com/products/xenium-in-situ/preview-dataset-human-breast). This dataset includes gene expression measurements for 313 genes across approximately 118,708 to 167,782 spatial locations from two adjacent human breast cancer tissue sections. For quality control, we retained genes with non-zero expression in at least five spots for each tissue slice and retained spots with a minimum of 100 unique molecular identifiers (UMIs). After filtering, the final dataset consisted of 313 genes and 90,424 to 124,945 spatial locations across the two tissue sections. We selected the Rep1 section for downstream analysis. The final dataset contained 313 genes and 124,945 spatial locations. We constructed the spatial adjacency graph using the Delaunay triangulation method implemented in Squidpy, and subsequently computed ligand–receptor interactions between neighboring cells to define spatial niches. During the discovery of cell state–specific modules, SIGMOD was configured with an RBF kernel weight of 3, a spatial regularization strength of 200, and a sparse softmax alpha parameter of 1.5. Here, </w:t>
      </w:r>
      <w:r w:rsidRPr="00CB5EF4">
        <w:rPr>
          <w:rFonts w:ascii="Times New Roman" w:hAnsi="Times New Roman" w:cs="Times New Roman"/>
          <w:i/>
        </w:rPr>
        <w:t>β</w:t>
      </w:r>
      <w:r w:rsidRPr="00CB5EF4">
        <w:rPr>
          <w:rFonts w:ascii="Times New Roman" w:hAnsi="Times New Roman" w:cs="Times New Roman"/>
          <w:i/>
          <w:vertAlign w:val="subscript"/>
        </w:rPr>
        <w:t>kg</w:t>
      </w:r>
      <w:r w:rsidRPr="00CB5EF4">
        <w:rPr>
          <w:rFonts w:ascii="Times New Roman" w:hAnsi="Times New Roman" w:cs="Times New Roman"/>
          <w:iCs/>
        </w:rPr>
        <w:t xml:space="preserve"> was modeled as the sum of the background mean expression for each gene </w:t>
      </w:r>
      <w:r w:rsidRPr="00CB5EF4">
        <w:rPr>
          <w:rFonts w:ascii="Times New Roman" w:hAnsi="Times New Roman" w:cs="Times New Roman"/>
          <w:i/>
        </w:rPr>
        <w:t>g</w:t>
      </w:r>
      <w:r w:rsidRPr="00CB5EF4">
        <w:rPr>
          <w:rFonts w:ascii="Times New Roman" w:hAnsi="Times New Roman" w:cs="Times New Roman"/>
          <w:iCs/>
        </w:rPr>
        <w:t xml:space="preserve"> and the derivation of each gene </w:t>
      </w:r>
      <w:r w:rsidRPr="00CB5EF4">
        <w:rPr>
          <w:rFonts w:ascii="Times New Roman" w:hAnsi="Times New Roman" w:cs="Times New Roman"/>
          <w:i/>
        </w:rPr>
        <w:t>g</w:t>
      </w:r>
      <w:r w:rsidRPr="00CB5EF4">
        <w:rPr>
          <w:rFonts w:ascii="Times New Roman" w:hAnsi="Times New Roman" w:cs="Times New Roman"/>
          <w:iCs/>
        </w:rPr>
        <w:t>.</w:t>
      </w:r>
    </w:p>
    <w:p w14:paraId="72FFF969" w14:textId="77777777" w:rsidR="00CB5EF4" w:rsidRPr="00CB5EF4" w:rsidRDefault="00CB5EF4" w:rsidP="007F78AB">
      <w:pPr>
        <w:spacing w:beforeLines="50" w:before="163" w:afterLines="50" w:after="163" w:line="360" w:lineRule="auto"/>
        <w:rPr>
          <w:rFonts w:ascii="Times New Roman" w:hAnsi="Times New Roman" w:cs="Times New Roman"/>
          <w:i/>
        </w:rPr>
      </w:pPr>
      <w:r w:rsidRPr="00CB5EF4">
        <w:rPr>
          <w:rFonts w:ascii="Times New Roman" w:hAnsi="Times New Roman" w:cs="Times New Roman"/>
          <w:i/>
        </w:rPr>
        <w:t>Human non-small cell lung cancer data, CosMx SMI</w:t>
      </w:r>
    </w:p>
    <w:p w14:paraId="61102582" w14:textId="77777777" w:rsidR="00CB5EF4" w:rsidRPr="00CB5EF4" w:rsidRDefault="00CB5EF4" w:rsidP="00CB5EF4">
      <w:pPr>
        <w:spacing w:line="360" w:lineRule="auto"/>
        <w:rPr>
          <w:rFonts w:ascii="Times New Roman" w:hAnsi="Times New Roman" w:cs="Times New Roman"/>
          <w:iCs/>
        </w:rPr>
      </w:pPr>
      <w:r w:rsidRPr="00CB5EF4">
        <w:rPr>
          <w:rFonts w:ascii="Times New Roman" w:hAnsi="Times New Roman" w:cs="Times New Roman"/>
          <w:iCs/>
        </w:rPr>
        <w:t xml:space="preserve">We obtained the processed Giotto object from https://nanostring.com/products/cosmx-spatial-molecular-imager/nsclc-ffpe-dataset and converted it into an H5AD object. During preprocessing, we filtered out genes expressed in fewer than three cells and cells expressing fewer than three genes. After filtering, the final dataset consisted of 960 genes and 765,771 spatial locations. We separated the literature-annotated cell types and, for each cell type, constructed a spatial adjacency graph using the Delaunay triangulation method implemented in </w:t>
      </w:r>
      <w:r w:rsidRPr="00CB5EF4">
        <w:rPr>
          <w:rFonts w:ascii="Times New Roman" w:hAnsi="Times New Roman" w:cs="Times New Roman"/>
          <w:iCs/>
        </w:rPr>
        <w:lastRenderedPageBreak/>
        <w:t xml:space="preserve">Squidpy. The number of neighboring cells belonging to other cell types was then computed to define the niche for each cell. During the discovery of cell state–specific modules, SIGMOD was configured with an RBF kernel weight of 100, a spatial regularization strength of 200, and a sparse softmax alpha parameter of 1.5. Here, </w:t>
      </w:r>
      <w:r w:rsidRPr="00CB5EF4">
        <w:rPr>
          <w:rFonts w:ascii="Times New Roman" w:hAnsi="Times New Roman" w:cs="Times New Roman"/>
          <w:i/>
        </w:rPr>
        <w:t>β</w:t>
      </w:r>
      <w:r w:rsidRPr="00CB5EF4">
        <w:rPr>
          <w:rFonts w:ascii="Times New Roman" w:hAnsi="Times New Roman" w:cs="Times New Roman"/>
          <w:i/>
          <w:vertAlign w:val="subscript"/>
        </w:rPr>
        <w:t>kg</w:t>
      </w:r>
      <w:r w:rsidRPr="00CB5EF4">
        <w:rPr>
          <w:rFonts w:ascii="Times New Roman" w:hAnsi="Times New Roman" w:cs="Times New Roman"/>
          <w:iCs/>
        </w:rPr>
        <w:t xml:space="preserve"> was modeled as the truncated gamma distributions.</w:t>
      </w:r>
    </w:p>
    <w:p w14:paraId="7E955AAC" w14:textId="77777777" w:rsidR="00CB5EF4" w:rsidRDefault="00CB5EF4" w:rsidP="006173DA">
      <w:pPr>
        <w:rPr>
          <w:rFonts w:ascii="Times New Roman" w:hAnsi="Times New Roman" w:cs="Times New Roman"/>
          <w:b/>
          <w:bCs/>
          <w:sz w:val="28"/>
          <w:szCs w:val="28"/>
        </w:rPr>
      </w:pPr>
    </w:p>
    <w:p w14:paraId="1559D06C" w14:textId="047A80F7" w:rsidR="007F78AB" w:rsidRDefault="007F78AB" w:rsidP="006173DA">
      <w:pPr>
        <w:rPr>
          <w:rFonts w:ascii="Times New Roman" w:hAnsi="Times New Roman" w:cs="Times New Roman"/>
          <w:b/>
          <w:bCs/>
          <w:sz w:val="28"/>
          <w:szCs w:val="28"/>
        </w:rPr>
      </w:pPr>
      <w:r>
        <w:rPr>
          <w:rFonts w:ascii="Times New Roman" w:hAnsi="Times New Roman" w:cs="Times New Roman" w:hint="eastAsia"/>
          <w:b/>
          <w:bCs/>
          <w:sz w:val="28"/>
          <w:szCs w:val="28"/>
        </w:rPr>
        <w:t>R</w:t>
      </w:r>
      <w:r>
        <w:rPr>
          <w:rFonts w:ascii="Times New Roman" w:hAnsi="Times New Roman" w:cs="Times New Roman"/>
          <w:b/>
          <w:bCs/>
          <w:sz w:val="28"/>
          <w:szCs w:val="28"/>
        </w:rPr>
        <w:t>eference</w:t>
      </w:r>
    </w:p>
    <w:p w14:paraId="449FED6F" w14:textId="77777777" w:rsidR="00F41FAE" w:rsidRPr="00F41FAE" w:rsidRDefault="00F41FAE" w:rsidP="00F41FAE">
      <w:pPr>
        <w:pStyle w:val="31"/>
        <w:spacing w:line="240" w:lineRule="auto"/>
        <w:ind w:left="266" w:hanging="266"/>
        <w:rPr>
          <w:b w:val="0"/>
          <w:bCs w:val="0"/>
          <w:sz w:val="21"/>
          <w:szCs w:val="21"/>
        </w:rPr>
      </w:pPr>
      <w:r>
        <w:fldChar w:fldCharType="begin"/>
      </w:r>
      <w:r>
        <w:instrText xml:space="preserve"> ADDIN ZOTERO_BIBL {"uncited":[],"omitted":[],"custom":[]} CSL_BIBLIOGRAPHY </w:instrText>
      </w:r>
      <w:r>
        <w:fldChar w:fldCharType="separate"/>
      </w:r>
      <w:r w:rsidRPr="00F41FAE">
        <w:t>1</w:t>
      </w:r>
      <w:r w:rsidRPr="00F41FAE">
        <w:rPr>
          <w:b w:val="0"/>
          <w:bCs w:val="0"/>
          <w:sz w:val="21"/>
          <w:szCs w:val="21"/>
        </w:rPr>
        <w:t>.</w:t>
      </w:r>
      <w:r w:rsidRPr="00F41FAE">
        <w:rPr>
          <w:b w:val="0"/>
          <w:bCs w:val="0"/>
          <w:sz w:val="21"/>
          <w:szCs w:val="21"/>
        </w:rPr>
        <w:tab/>
        <w:t xml:space="preserve">Shao, X. </w:t>
      </w:r>
      <w:r w:rsidRPr="00F41FAE">
        <w:rPr>
          <w:b w:val="0"/>
          <w:bCs w:val="0"/>
          <w:i/>
          <w:iCs/>
          <w:sz w:val="21"/>
          <w:szCs w:val="21"/>
        </w:rPr>
        <w:t>et al.</w:t>
      </w:r>
      <w:r w:rsidRPr="00F41FAE">
        <w:rPr>
          <w:b w:val="0"/>
          <w:bCs w:val="0"/>
          <w:sz w:val="21"/>
          <w:szCs w:val="21"/>
        </w:rPr>
        <w:t xml:space="preserve"> CellTalkDB: a manually curated database of ligand–receptor interactions in humans and mice. </w:t>
      </w:r>
      <w:r w:rsidRPr="00F41FAE">
        <w:rPr>
          <w:b w:val="0"/>
          <w:bCs w:val="0"/>
          <w:i/>
          <w:iCs/>
          <w:sz w:val="21"/>
          <w:szCs w:val="21"/>
        </w:rPr>
        <w:t>Brief Bioinform</w:t>
      </w:r>
      <w:r w:rsidRPr="00F41FAE">
        <w:rPr>
          <w:b w:val="0"/>
          <w:bCs w:val="0"/>
          <w:sz w:val="21"/>
          <w:szCs w:val="21"/>
        </w:rPr>
        <w:t xml:space="preserve"> 22, (2021).</w:t>
      </w:r>
    </w:p>
    <w:p w14:paraId="46649816"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2.</w:t>
      </w:r>
      <w:r w:rsidRPr="00F41FAE">
        <w:rPr>
          <w:b w:val="0"/>
          <w:bCs w:val="0"/>
          <w:sz w:val="21"/>
          <w:szCs w:val="21"/>
        </w:rPr>
        <w:tab/>
        <w:t xml:space="preserve">Zhong, C., Ang, K. S. &amp; Chen, J. Interpretable spatially aware dimension reduction of spatial transcriptomics with STAMP. </w:t>
      </w:r>
      <w:r w:rsidRPr="00F41FAE">
        <w:rPr>
          <w:b w:val="0"/>
          <w:bCs w:val="0"/>
          <w:i/>
          <w:iCs/>
          <w:sz w:val="21"/>
          <w:szCs w:val="21"/>
        </w:rPr>
        <w:t>Nat Methods</w:t>
      </w:r>
      <w:r w:rsidRPr="00F41FAE">
        <w:rPr>
          <w:b w:val="0"/>
          <w:bCs w:val="0"/>
          <w:sz w:val="21"/>
          <w:szCs w:val="21"/>
        </w:rPr>
        <w:t xml:space="preserve"> 21, 2072–2083 (2024).</w:t>
      </w:r>
    </w:p>
    <w:p w14:paraId="1C2B58E3"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3.</w:t>
      </w:r>
      <w:r w:rsidRPr="00F41FAE">
        <w:rPr>
          <w:b w:val="0"/>
          <w:bCs w:val="0"/>
          <w:sz w:val="21"/>
          <w:szCs w:val="21"/>
        </w:rPr>
        <w:tab/>
        <w:t xml:space="preserve">Biancalani, T. </w:t>
      </w:r>
      <w:r w:rsidRPr="00F41FAE">
        <w:rPr>
          <w:b w:val="0"/>
          <w:bCs w:val="0"/>
          <w:i/>
          <w:iCs/>
          <w:sz w:val="21"/>
          <w:szCs w:val="21"/>
        </w:rPr>
        <w:t>et al.</w:t>
      </w:r>
      <w:r w:rsidRPr="00F41FAE">
        <w:rPr>
          <w:b w:val="0"/>
          <w:bCs w:val="0"/>
          <w:sz w:val="21"/>
          <w:szCs w:val="21"/>
        </w:rPr>
        <w:t xml:space="preserve"> Deep learning and alignment of spatially resolved single-cell transcriptomes with Tangram. </w:t>
      </w:r>
      <w:r w:rsidRPr="00F41FAE">
        <w:rPr>
          <w:b w:val="0"/>
          <w:bCs w:val="0"/>
          <w:i/>
          <w:iCs/>
          <w:sz w:val="21"/>
          <w:szCs w:val="21"/>
        </w:rPr>
        <w:t>Nat Methods</w:t>
      </w:r>
      <w:r w:rsidRPr="00F41FAE">
        <w:rPr>
          <w:b w:val="0"/>
          <w:bCs w:val="0"/>
          <w:sz w:val="21"/>
          <w:szCs w:val="21"/>
        </w:rPr>
        <w:t xml:space="preserve"> 18, 1352–1362 (2021).</w:t>
      </w:r>
    </w:p>
    <w:p w14:paraId="45FDCE96"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4.</w:t>
      </w:r>
      <w:r w:rsidRPr="00F41FAE">
        <w:rPr>
          <w:b w:val="0"/>
          <w:bCs w:val="0"/>
          <w:sz w:val="21"/>
          <w:szCs w:val="21"/>
        </w:rPr>
        <w:tab/>
        <w:t xml:space="preserve">Elosua-Bayes, M., Nieto, P., Mereu, E., Gut, I. &amp; Heyn, H. SPOTlight: seeded NMF regression to deconvolute spatial transcriptomics spots with single-cell transcriptomes. </w:t>
      </w:r>
      <w:r w:rsidRPr="00F41FAE">
        <w:rPr>
          <w:b w:val="0"/>
          <w:bCs w:val="0"/>
          <w:i/>
          <w:iCs/>
          <w:sz w:val="21"/>
          <w:szCs w:val="21"/>
        </w:rPr>
        <w:t>Nucleic Acids Research</w:t>
      </w:r>
      <w:r w:rsidRPr="00F41FAE">
        <w:rPr>
          <w:b w:val="0"/>
          <w:bCs w:val="0"/>
          <w:sz w:val="21"/>
          <w:szCs w:val="21"/>
        </w:rPr>
        <w:t xml:space="preserve"> 49, e50 (2021).</w:t>
      </w:r>
    </w:p>
    <w:p w14:paraId="34EB2D54"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5.</w:t>
      </w:r>
      <w:r w:rsidRPr="00F41FAE">
        <w:rPr>
          <w:b w:val="0"/>
          <w:bCs w:val="0"/>
          <w:sz w:val="21"/>
          <w:szCs w:val="21"/>
        </w:rPr>
        <w:tab/>
        <w:t xml:space="preserve">Kleshchevnikov, V. </w:t>
      </w:r>
      <w:r w:rsidRPr="00F41FAE">
        <w:rPr>
          <w:b w:val="0"/>
          <w:bCs w:val="0"/>
          <w:i/>
          <w:iCs/>
          <w:sz w:val="21"/>
          <w:szCs w:val="21"/>
        </w:rPr>
        <w:t>et al.</w:t>
      </w:r>
      <w:r w:rsidRPr="00F41FAE">
        <w:rPr>
          <w:b w:val="0"/>
          <w:bCs w:val="0"/>
          <w:sz w:val="21"/>
          <w:szCs w:val="21"/>
        </w:rPr>
        <w:t xml:space="preserve"> Cell2location maps fine-grained cell types in spatial transcriptomics. </w:t>
      </w:r>
      <w:r w:rsidRPr="00F41FAE">
        <w:rPr>
          <w:b w:val="0"/>
          <w:bCs w:val="0"/>
          <w:i/>
          <w:iCs/>
          <w:sz w:val="21"/>
          <w:szCs w:val="21"/>
        </w:rPr>
        <w:t>Nat Biotechnol</w:t>
      </w:r>
      <w:r w:rsidRPr="00F41FAE">
        <w:rPr>
          <w:b w:val="0"/>
          <w:bCs w:val="0"/>
          <w:sz w:val="21"/>
          <w:szCs w:val="21"/>
        </w:rPr>
        <w:t xml:space="preserve"> 40, 661–671 (2022).</w:t>
      </w:r>
    </w:p>
    <w:p w14:paraId="3D36CB61"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6.</w:t>
      </w:r>
      <w:r w:rsidRPr="00F41FAE">
        <w:rPr>
          <w:b w:val="0"/>
          <w:bCs w:val="0"/>
          <w:sz w:val="21"/>
          <w:szCs w:val="21"/>
        </w:rPr>
        <w:tab/>
        <w:t xml:space="preserve">Ma, Y. &amp; Zhou, X. Spatially informed cell-type deconvolution for spatial transcriptomics. </w:t>
      </w:r>
      <w:r w:rsidRPr="00F41FAE">
        <w:rPr>
          <w:b w:val="0"/>
          <w:bCs w:val="0"/>
          <w:i/>
          <w:iCs/>
          <w:sz w:val="21"/>
          <w:szCs w:val="21"/>
        </w:rPr>
        <w:t>Nat Biotechnol</w:t>
      </w:r>
      <w:r w:rsidRPr="00F41FAE">
        <w:rPr>
          <w:b w:val="0"/>
          <w:bCs w:val="0"/>
          <w:sz w:val="21"/>
          <w:szCs w:val="21"/>
        </w:rPr>
        <w:t xml:space="preserve"> 40, 1349–1359 (2022).</w:t>
      </w:r>
    </w:p>
    <w:p w14:paraId="7A25163C"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7.</w:t>
      </w:r>
      <w:r w:rsidRPr="00F41FAE">
        <w:rPr>
          <w:b w:val="0"/>
          <w:bCs w:val="0"/>
          <w:sz w:val="21"/>
          <w:szCs w:val="21"/>
        </w:rPr>
        <w:tab/>
        <w:t xml:space="preserve">Cable, D. M. </w:t>
      </w:r>
      <w:r w:rsidRPr="00F41FAE">
        <w:rPr>
          <w:b w:val="0"/>
          <w:bCs w:val="0"/>
          <w:i/>
          <w:iCs/>
          <w:sz w:val="21"/>
          <w:szCs w:val="21"/>
        </w:rPr>
        <w:t>et al.</w:t>
      </w:r>
      <w:r w:rsidRPr="00F41FAE">
        <w:rPr>
          <w:b w:val="0"/>
          <w:bCs w:val="0"/>
          <w:sz w:val="21"/>
          <w:szCs w:val="21"/>
        </w:rPr>
        <w:t xml:space="preserve"> Robust decomposition of cell type mixtures in spatial transcriptomics. </w:t>
      </w:r>
      <w:r w:rsidRPr="00F41FAE">
        <w:rPr>
          <w:b w:val="0"/>
          <w:bCs w:val="0"/>
          <w:i/>
          <w:iCs/>
          <w:sz w:val="21"/>
          <w:szCs w:val="21"/>
        </w:rPr>
        <w:t>Nat Biotechnol</w:t>
      </w:r>
      <w:r w:rsidRPr="00F41FAE">
        <w:rPr>
          <w:b w:val="0"/>
          <w:bCs w:val="0"/>
          <w:sz w:val="21"/>
          <w:szCs w:val="21"/>
        </w:rPr>
        <w:t xml:space="preserve"> 40, 517–526 (2022).</w:t>
      </w:r>
    </w:p>
    <w:p w14:paraId="7BD2FF5E"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8.</w:t>
      </w:r>
      <w:r w:rsidRPr="00F41FAE">
        <w:rPr>
          <w:b w:val="0"/>
          <w:bCs w:val="0"/>
          <w:sz w:val="21"/>
          <w:szCs w:val="21"/>
        </w:rPr>
        <w:tab/>
        <w:t xml:space="preserve">Yang, J. </w:t>
      </w:r>
      <w:r w:rsidRPr="00F41FAE">
        <w:rPr>
          <w:b w:val="0"/>
          <w:bCs w:val="0"/>
          <w:i/>
          <w:iCs/>
          <w:sz w:val="21"/>
          <w:szCs w:val="21"/>
        </w:rPr>
        <w:t>et al.</w:t>
      </w:r>
      <w:r w:rsidRPr="00F41FAE">
        <w:rPr>
          <w:b w:val="0"/>
          <w:bCs w:val="0"/>
          <w:sz w:val="21"/>
          <w:szCs w:val="21"/>
        </w:rPr>
        <w:t xml:space="preserve"> Spotiphy enables single-cell spatial whole transcriptomics across an entire section. </w:t>
      </w:r>
      <w:r w:rsidRPr="00F41FAE">
        <w:rPr>
          <w:b w:val="0"/>
          <w:bCs w:val="0"/>
          <w:i/>
          <w:iCs/>
          <w:sz w:val="21"/>
          <w:szCs w:val="21"/>
        </w:rPr>
        <w:t>Nat Methods</w:t>
      </w:r>
      <w:r w:rsidRPr="00F41FAE">
        <w:rPr>
          <w:b w:val="0"/>
          <w:bCs w:val="0"/>
          <w:sz w:val="21"/>
          <w:szCs w:val="21"/>
        </w:rPr>
        <w:t xml:space="preserve"> 1–13 (2025) doi:10.1038/s41592-025-02622-5.</w:t>
      </w:r>
    </w:p>
    <w:p w14:paraId="689BB7DA" w14:textId="77777777" w:rsidR="00F41FAE" w:rsidRPr="00F41FAE" w:rsidRDefault="00F41FAE" w:rsidP="00F41FAE">
      <w:pPr>
        <w:pStyle w:val="31"/>
        <w:spacing w:line="240" w:lineRule="auto"/>
        <w:ind w:left="266" w:hanging="266"/>
        <w:rPr>
          <w:b w:val="0"/>
          <w:bCs w:val="0"/>
          <w:sz w:val="21"/>
          <w:szCs w:val="21"/>
        </w:rPr>
      </w:pPr>
      <w:r w:rsidRPr="00F41FAE">
        <w:rPr>
          <w:b w:val="0"/>
          <w:bCs w:val="0"/>
          <w:sz w:val="21"/>
          <w:szCs w:val="21"/>
        </w:rPr>
        <w:t>9.</w:t>
      </w:r>
      <w:r w:rsidRPr="00F41FAE">
        <w:rPr>
          <w:b w:val="0"/>
          <w:bCs w:val="0"/>
          <w:sz w:val="21"/>
          <w:szCs w:val="21"/>
        </w:rPr>
        <w:tab/>
        <w:t xml:space="preserve">Svensson, V., Gayoso, A., Yosef, N. &amp; Pachter, L. Interpretable factor models of single-cell RNA-seq via variational autoencoders. </w:t>
      </w:r>
      <w:r w:rsidRPr="00F41FAE">
        <w:rPr>
          <w:b w:val="0"/>
          <w:bCs w:val="0"/>
          <w:i/>
          <w:iCs/>
          <w:sz w:val="21"/>
          <w:szCs w:val="21"/>
        </w:rPr>
        <w:t>Bioinformatics</w:t>
      </w:r>
      <w:r w:rsidRPr="00F41FAE">
        <w:rPr>
          <w:b w:val="0"/>
          <w:bCs w:val="0"/>
          <w:sz w:val="21"/>
          <w:szCs w:val="21"/>
        </w:rPr>
        <w:t xml:space="preserve"> 36, 3418–3421 (2020).</w:t>
      </w:r>
    </w:p>
    <w:p w14:paraId="53053207" w14:textId="34E74437" w:rsidR="007F78AB" w:rsidRPr="00CB5EF4" w:rsidRDefault="00F41FAE" w:rsidP="006173DA">
      <w:pPr>
        <w:rPr>
          <w:rFonts w:ascii="Times New Roman" w:hAnsi="Times New Roman" w:cs="Times New Roman"/>
          <w:b/>
          <w:bCs/>
          <w:sz w:val="28"/>
          <w:szCs w:val="28"/>
        </w:rPr>
      </w:pPr>
      <w:r>
        <w:rPr>
          <w:rFonts w:ascii="Times New Roman" w:hAnsi="Times New Roman" w:cs="Times New Roman"/>
          <w:b/>
          <w:bCs/>
          <w:sz w:val="28"/>
          <w:szCs w:val="28"/>
        </w:rPr>
        <w:fldChar w:fldCharType="end"/>
      </w:r>
    </w:p>
    <w:p w14:paraId="6FBBAEE6" w14:textId="260F1D6F" w:rsidR="00CB5EF4" w:rsidRDefault="00CB5EF4" w:rsidP="006173DA">
      <w:pPr>
        <w:rPr>
          <w:rFonts w:ascii="Times New Roman" w:hAnsi="Times New Roman" w:cs="Times New Roman"/>
          <w:b/>
          <w:bCs/>
          <w:sz w:val="28"/>
          <w:szCs w:val="28"/>
        </w:rPr>
      </w:pPr>
      <w:r>
        <w:rPr>
          <w:rFonts w:ascii="Times New Roman" w:hAnsi="Times New Roman" w:cs="Times New Roman"/>
          <w:b/>
          <w:bCs/>
          <w:sz w:val="28"/>
          <w:szCs w:val="28"/>
        </w:rPr>
        <w:br w:type="page"/>
      </w:r>
    </w:p>
    <w:p w14:paraId="4957630B" w14:textId="7C715700" w:rsidR="00F41FAE" w:rsidRPr="00A6376F" w:rsidRDefault="00F41FAE" w:rsidP="00F41FAE">
      <w:pPr>
        <w:rPr>
          <w:rFonts w:ascii="Times New Roman" w:hAnsi="Times New Roman" w:cs="Times New Roman"/>
          <w:b/>
          <w:bCs/>
          <w:sz w:val="28"/>
          <w:szCs w:val="28"/>
        </w:rPr>
      </w:pPr>
      <w:r w:rsidRPr="00746359">
        <w:rPr>
          <w:rFonts w:ascii="Times New Roman" w:hAnsi="Times New Roman" w:cs="Times New Roman"/>
          <w:b/>
          <w:bCs/>
          <w:sz w:val="28"/>
          <w:szCs w:val="28"/>
        </w:rPr>
        <w:lastRenderedPageBreak/>
        <w:t xml:space="preserve">Supplementary </w:t>
      </w:r>
      <w:r>
        <w:rPr>
          <w:rFonts w:ascii="Times New Roman" w:hAnsi="Times New Roman" w:cs="Times New Roman"/>
          <w:b/>
          <w:bCs/>
          <w:sz w:val="28"/>
          <w:szCs w:val="28"/>
        </w:rPr>
        <w:t>Figure</w:t>
      </w:r>
    </w:p>
    <w:p w14:paraId="165054BD"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noProof/>
          <w:sz w:val="20"/>
          <w:szCs w:val="20"/>
        </w:rPr>
        <w:drawing>
          <wp:inline distT="0" distB="0" distL="0" distR="0" wp14:anchorId="444A1EB6" wp14:editId="6A88F9F7">
            <wp:extent cx="5274310" cy="7466330"/>
            <wp:effectExtent l="0" t="0" r="0" b="1270"/>
            <wp:docPr id="212378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8707" name=""/>
                    <pic:cNvPicPr/>
                  </pic:nvPicPr>
                  <pic:blipFill>
                    <a:blip r:embed="rId8"/>
                    <a:stretch>
                      <a:fillRect/>
                    </a:stretch>
                  </pic:blipFill>
                  <pic:spPr>
                    <a:xfrm>
                      <a:off x="0" y="0"/>
                      <a:ext cx="5274310" cy="7466330"/>
                    </a:xfrm>
                    <a:prstGeom prst="rect">
                      <a:avLst/>
                    </a:prstGeom>
                  </pic:spPr>
                </pic:pic>
              </a:graphicData>
            </a:graphic>
          </wp:inline>
        </w:drawing>
      </w:r>
    </w:p>
    <w:p w14:paraId="22CFA6E9" w14:textId="77777777" w:rsidR="00A6376F" w:rsidRPr="00A6376F" w:rsidRDefault="00A6376F" w:rsidP="00A6376F">
      <w:pPr>
        <w:rPr>
          <w:rFonts w:ascii="Times New Roman" w:hAnsi="Times New Roman" w:cs="Times New Roman"/>
          <w:b/>
          <w:bCs/>
          <w:sz w:val="20"/>
          <w:szCs w:val="20"/>
        </w:rPr>
      </w:pPr>
      <w:r w:rsidRPr="00A6376F">
        <w:rPr>
          <w:rFonts w:ascii="Times New Roman" w:hAnsi="Times New Roman" w:cs="Times New Roman"/>
          <w:b/>
          <w:bCs/>
          <w:sz w:val="20"/>
          <w:szCs w:val="20"/>
        </w:rPr>
        <w:t>Supplementary Figure1 Analyzing of PDAC dataset.</w:t>
      </w:r>
    </w:p>
    <w:p w14:paraId="134300BB"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A, Spatial plot showing different niche distributions in the PDAC dataset.</w:t>
      </w:r>
    </w:p>
    <w:p w14:paraId="0C7FAF5F"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 xml:space="preserve">B, Scatter plot of spatially variable ligand-receptor (LR) interactions identified in the PDAC dataset. The y-axis represents the region-specific p-value (enrichment of LR interactions in specific spatial </w:t>
      </w:r>
      <w:r w:rsidRPr="00A6376F">
        <w:rPr>
          <w:rFonts w:ascii="Times New Roman" w:hAnsi="Times New Roman" w:cs="Times New Roman"/>
          <w:sz w:val="20"/>
          <w:szCs w:val="20"/>
        </w:rPr>
        <w:lastRenderedPageBreak/>
        <w:t>regions), and the x-axis denotes the co-localization p-value (similarity in spatial expression trends between ligand and receptor).</w:t>
      </w:r>
    </w:p>
    <w:p w14:paraId="19779426"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C, Heatmap illustrating the relationship between niches and LR interactions, where each niche is defined by its constituent LR pairs.</w:t>
      </w:r>
    </w:p>
    <w:p w14:paraId="1B7B37F8"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D, Pie charts depicting inferred cell-type composition at each spatial spot, generated by different methods.</w:t>
      </w:r>
    </w:p>
    <w:p w14:paraId="611EE77B"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E, Bar plot comparing the mean similarity (Pearson correlation) between cell type proportions estimated by different methods in spatial transcriptomics and matched marker gene expression for each cell type.</w:t>
      </w:r>
    </w:p>
    <w:p w14:paraId="79A330F9"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F, Dot plot showing the differential enrichment of cell proportions inferred by different methods across various regions. Dot size represents the significance level (p-value), and dot color indicates the log</w:t>
      </w:r>
      <w:r w:rsidRPr="00A6376F">
        <w:rPr>
          <w:rFonts w:ascii="Times New Roman" w:hAnsi="Times New Roman" w:cs="Times New Roman"/>
          <w:sz w:val="20"/>
          <w:szCs w:val="20"/>
          <w:vertAlign w:val="subscript"/>
        </w:rPr>
        <w:t>2</w:t>
      </w:r>
      <w:r w:rsidRPr="00A6376F">
        <w:rPr>
          <w:rFonts w:ascii="Times New Roman" w:hAnsi="Times New Roman" w:cs="Times New Roman"/>
          <w:sz w:val="20"/>
          <w:szCs w:val="20"/>
        </w:rPr>
        <w:t xml:space="preserve"> fold change (log</w:t>
      </w:r>
      <w:r w:rsidRPr="00A6376F">
        <w:rPr>
          <w:rFonts w:ascii="Times New Roman" w:hAnsi="Times New Roman" w:cs="Times New Roman"/>
          <w:sz w:val="20"/>
          <w:szCs w:val="20"/>
          <w:vertAlign w:val="subscript"/>
        </w:rPr>
        <w:t>2</w:t>
      </w:r>
      <w:r w:rsidRPr="00A6376F">
        <w:rPr>
          <w:rFonts w:ascii="Times New Roman" w:hAnsi="Times New Roman" w:cs="Times New Roman"/>
          <w:sz w:val="20"/>
          <w:szCs w:val="20"/>
        </w:rPr>
        <w:t>FC). In the top annotation bar, different colors represent different cell types; in the bottom annotation bar, different colors represent different regions.</w:t>
      </w:r>
    </w:p>
    <w:p w14:paraId="049AB1C1"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G, Bar plot showing enrichment (odds ratio via Fisher’s exact test) of cell type proportions predicted by different methods within annotated regions in Figure 2A.</w:t>
      </w:r>
    </w:p>
    <w:p w14:paraId="3DA1DECD"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H, Box plot showing the distribution of Duct Hypoxia cell scores across the cancer region, pancreatic region, and duct epithelium region. P-values were calculated using the Wilcoxon signed-rank test.</w:t>
      </w:r>
    </w:p>
    <w:p w14:paraId="05ED4654"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I, Circle plot showing the CXCL12-CD4 mediated cell type-specific gene module interactions.</w:t>
      </w:r>
    </w:p>
    <w:p w14:paraId="7AAFAE8C"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sz w:val="20"/>
          <w:szCs w:val="20"/>
        </w:rPr>
        <w:br w:type="page"/>
      </w:r>
    </w:p>
    <w:p w14:paraId="40C82D3E"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noProof/>
          <w:sz w:val="20"/>
          <w:szCs w:val="20"/>
        </w:rPr>
        <w:lastRenderedPageBreak/>
        <w:drawing>
          <wp:inline distT="0" distB="0" distL="0" distR="0" wp14:anchorId="23EA6E5F" wp14:editId="7398ECBA">
            <wp:extent cx="5274310" cy="6529070"/>
            <wp:effectExtent l="0" t="0" r="0" b="0"/>
            <wp:docPr id="1445491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91300" name=""/>
                    <pic:cNvPicPr/>
                  </pic:nvPicPr>
                  <pic:blipFill>
                    <a:blip r:embed="rId9"/>
                    <a:stretch>
                      <a:fillRect/>
                    </a:stretch>
                  </pic:blipFill>
                  <pic:spPr>
                    <a:xfrm>
                      <a:off x="0" y="0"/>
                      <a:ext cx="5274310" cy="6529070"/>
                    </a:xfrm>
                    <a:prstGeom prst="rect">
                      <a:avLst/>
                    </a:prstGeom>
                  </pic:spPr>
                </pic:pic>
              </a:graphicData>
            </a:graphic>
          </wp:inline>
        </w:drawing>
      </w:r>
    </w:p>
    <w:p w14:paraId="5A7C6B14" w14:textId="77777777" w:rsidR="00A6376F" w:rsidRPr="00A6376F" w:rsidRDefault="00A6376F" w:rsidP="00A6376F">
      <w:pPr>
        <w:rPr>
          <w:rFonts w:ascii="Times New Roman" w:hAnsi="Times New Roman" w:cs="Times New Roman"/>
          <w:b/>
          <w:bCs/>
          <w:sz w:val="20"/>
          <w:szCs w:val="20"/>
        </w:rPr>
      </w:pPr>
      <w:r w:rsidRPr="00A6376F">
        <w:rPr>
          <w:rFonts w:ascii="Times New Roman" w:hAnsi="Times New Roman" w:cs="Times New Roman"/>
          <w:b/>
          <w:bCs/>
          <w:sz w:val="20"/>
          <w:szCs w:val="20"/>
        </w:rPr>
        <w:t>Supplementary Figure2 Analyzing of AD dataset.</w:t>
      </w:r>
    </w:p>
    <w:p w14:paraId="7224CA03"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A, Scatter plot of spatially variable ligand-receptor (LR) interactions identified in the AD dataset. The y-axis represents the region-specific adjusted p-value (enrichment of LR interactions in specific spatial regions), and the x-axis denotes the co-localization adjusted p-value (similarity in spatial expression trends between ligand and receptor).</w:t>
      </w:r>
    </w:p>
    <w:p w14:paraId="0866B693"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B, Heatmap illustrating the relationship between niches and LR interactions, where each niche is defined by its constituent LR pairs.</w:t>
      </w:r>
    </w:p>
    <w:p w14:paraId="6776E504"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C, Spatial plot showing different niche distributions in the AD dataset.</w:t>
      </w:r>
    </w:p>
    <w:p w14:paraId="573CAC75"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D, Box plots showing the correlation for cell-type proportions at each transcriptomic spot generated by each method.</w:t>
      </w:r>
    </w:p>
    <w:p w14:paraId="4DB0F4D2"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lastRenderedPageBreak/>
        <w:t>E, Box plots showing the absolute error for cell-type proportions at each transcriptomic spot generated by each method.</w:t>
      </w:r>
    </w:p>
    <w:p w14:paraId="18AD00D8"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F, Spatial plot depicting the proportion of niche transformed expected proportions and inferred final proportions for selected cell types.</w:t>
      </w:r>
    </w:p>
    <w:p w14:paraId="40062F2B" w14:textId="77777777" w:rsidR="00A6376F" w:rsidRPr="00A6376F" w:rsidRDefault="00A6376F" w:rsidP="00A6376F">
      <w:pPr>
        <w:rPr>
          <w:rFonts w:ascii="Times New Roman" w:hAnsi="Times New Roman" w:cs="Times New Roman"/>
          <w:iCs/>
          <w:sz w:val="20"/>
          <w:szCs w:val="20"/>
        </w:rPr>
      </w:pPr>
    </w:p>
    <w:p w14:paraId="484C5026"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sz w:val="20"/>
          <w:szCs w:val="20"/>
        </w:rPr>
        <w:br w:type="page"/>
      </w:r>
    </w:p>
    <w:p w14:paraId="32AB9F3E"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noProof/>
          <w:sz w:val="20"/>
          <w:szCs w:val="20"/>
        </w:rPr>
        <w:lastRenderedPageBreak/>
        <w:drawing>
          <wp:inline distT="0" distB="0" distL="0" distR="0" wp14:anchorId="4CBEA0F1" wp14:editId="483123AE">
            <wp:extent cx="5274310" cy="7437755"/>
            <wp:effectExtent l="0" t="0" r="0" b="4445"/>
            <wp:docPr id="34761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1782" name=""/>
                    <pic:cNvPicPr/>
                  </pic:nvPicPr>
                  <pic:blipFill>
                    <a:blip r:embed="rId10"/>
                    <a:stretch>
                      <a:fillRect/>
                    </a:stretch>
                  </pic:blipFill>
                  <pic:spPr>
                    <a:xfrm>
                      <a:off x="0" y="0"/>
                      <a:ext cx="5274310" cy="7437755"/>
                    </a:xfrm>
                    <a:prstGeom prst="rect">
                      <a:avLst/>
                    </a:prstGeom>
                  </pic:spPr>
                </pic:pic>
              </a:graphicData>
            </a:graphic>
          </wp:inline>
        </w:drawing>
      </w:r>
    </w:p>
    <w:p w14:paraId="7D08D467" w14:textId="77777777" w:rsidR="00A6376F" w:rsidRPr="00A6376F" w:rsidRDefault="00A6376F" w:rsidP="00A6376F">
      <w:pPr>
        <w:rPr>
          <w:rFonts w:ascii="Times New Roman" w:hAnsi="Times New Roman" w:cs="Times New Roman"/>
          <w:b/>
          <w:bCs/>
          <w:sz w:val="20"/>
          <w:szCs w:val="20"/>
        </w:rPr>
      </w:pPr>
      <w:r w:rsidRPr="00A6376F">
        <w:rPr>
          <w:rFonts w:ascii="Times New Roman" w:hAnsi="Times New Roman" w:cs="Times New Roman"/>
          <w:b/>
          <w:bCs/>
          <w:sz w:val="20"/>
          <w:szCs w:val="20"/>
        </w:rPr>
        <w:t>Supplementary Figure3 Analyzing of CRC liver metastasis data.</w:t>
      </w:r>
    </w:p>
    <w:p w14:paraId="56C96D2D"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A, Upset plot illustrating the intersections of spatially variable ligand-receptor interactions across six samples.</w:t>
      </w:r>
    </w:p>
    <w:p w14:paraId="086E37A2"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B, Bar plot showing the proportion of different niches across samples.</w:t>
      </w:r>
    </w:p>
    <w:p w14:paraId="075904FE"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C, UMAP visualization of the CRC liver metastasis spatial transcriptomics data, reduced using inferred gene module proportions and colored by niche distributions.</w:t>
      </w:r>
    </w:p>
    <w:p w14:paraId="7D212E28"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lastRenderedPageBreak/>
        <w:t>D, UMAP visualization of the CRC liver metastasis spatial transcriptomics data, reduced using inferred gene module proportions and colored by tumor associated gene modules’ distributions.</w:t>
      </w:r>
    </w:p>
    <w:p w14:paraId="7CF4A2F9"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E, Spatial plot showing hub distributions across six samples.</w:t>
      </w:r>
    </w:p>
    <w:p w14:paraId="501D20C5"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F, Heatmap depicting the correlations between proportion of niche transformed expected proportions and inferred final proportions for selected cell types.</w:t>
      </w:r>
    </w:p>
    <w:p w14:paraId="087EF837"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G, Box plot showing the distribution of selected cell types across different tissue regions inferred from scRNA-seq data. PB: Peripheral blood; LN: Normal liver tissue; LC: Liver metastasis tumor tissue; CC: Colorectal cancer; CN: Normal colorectal tissue.</w:t>
      </w:r>
    </w:p>
    <w:p w14:paraId="0A0516DF"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H, Dot plot visualizing the impact of LR interactions among cell type specific gene modules in Figure 3G for L1 samples.</w:t>
      </w:r>
    </w:p>
    <w:p w14:paraId="004B2808" w14:textId="77777777" w:rsidR="00A6376F" w:rsidRPr="00A6376F" w:rsidRDefault="00A6376F" w:rsidP="00A6376F">
      <w:pPr>
        <w:rPr>
          <w:rFonts w:ascii="Times New Roman" w:hAnsi="Times New Roman" w:cs="Times New Roman"/>
          <w:sz w:val="20"/>
          <w:szCs w:val="20"/>
        </w:rPr>
      </w:pPr>
    </w:p>
    <w:p w14:paraId="5E4B652A"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sz w:val="20"/>
          <w:szCs w:val="20"/>
        </w:rPr>
        <w:br w:type="page"/>
      </w:r>
    </w:p>
    <w:p w14:paraId="0D74E72F"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noProof/>
          <w:sz w:val="20"/>
          <w:szCs w:val="20"/>
        </w:rPr>
        <w:lastRenderedPageBreak/>
        <w:drawing>
          <wp:inline distT="0" distB="0" distL="0" distR="0" wp14:anchorId="203293CB" wp14:editId="4F5C9475">
            <wp:extent cx="5274310" cy="7371080"/>
            <wp:effectExtent l="0" t="0" r="0" b="0"/>
            <wp:docPr id="1413817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17057" name=""/>
                    <pic:cNvPicPr/>
                  </pic:nvPicPr>
                  <pic:blipFill>
                    <a:blip r:embed="rId11"/>
                    <a:stretch>
                      <a:fillRect/>
                    </a:stretch>
                  </pic:blipFill>
                  <pic:spPr>
                    <a:xfrm>
                      <a:off x="0" y="0"/>
                      <a:ext cx="5274310" cy="7371080"/>
                    </a:xfrm>
                    <a:prstGeom prst="rect">
                      <a:avLst/>
                    </a:prstGeom>
                  </pic:spPr>
                </pic:pic>
              </a:graphicData>
            </a:graphic>
          </wp:inline>
        </w:drawing>
      </w:r>
    </w:p>
    <w:p w14:paraId="58D5BFA7"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b/>
          <w:bCs/>
          <w:sz w:val="20"/>
          <w:szCs w:val="20"/>
        </w:rPr>
        <w:t>Supplementary Figure4 Analyzing of BRCA data.</w:t>
      </w:r>
    </w:p>
    <w:p w14:paraId="1B2651BF"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 xml:space="preserve">A, Boxplots of module diversity(RBO), gene topic coherence and topic spasity scores of SIGMOD and the four competing methods obtained over five different runs with different seeds. </w:t>
      </w:r>
    </w:p>
    <w:p w14:paraId="281ACB54"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B, Heatmap showing confusion matrix between module inferred by SIGMOD and original annotation of cells.</w:t>
      </w:r>
    </w:p>
    <w:p w14:paraId="26F71F2C"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C, Heatmap showing cell-type specific markers’ expression on different modules.</w:t>
      </w:r>
    </w:p>
    <w:p w14:paraId="7173A3AA"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lastRenderedPageBreak/>
        <w:t>D, Heatmap showing genes specific to distinct modules.</w:t>
      </w:r>
    </w:p>
    <w:p w14:paraId="7C5A91F0"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E, Heatmap showing module activities’ correlations among all cells.</w:t>
      </w:r>
    </w:p>
    <w:p w14:paraId="399D94A8"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F, Heatmap showing ligand receptor interactions’ effect on different modules.</w:t>
      </w:r>
    </w:p>
    <w:p w14:paraId="6D5CBD3B"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G, Heatmap showing ligand or receptor expressions on different modules.</w:t>
      </w:r>
    </w:p>
    <w:p w14:paraId="19D47639" w14:textId="77777777" w:rsidR="00A6376F" w:rsidRPr="00A6376F" w:rsidRDefault="00A6376F" w:rsidP="00A6376F">
      <w:pPr>
        <w:rPr>
          <w:rFonts w:ascii="Times New Roman" w:hAnsi="Times New Roman" w:cs="Times New Roman"/>
          <w:iCs/>
          <w:sz w:val="20"/>
          <w:szCs w:val="20"/>
        </w:rPr>
      </w:pPr>
    </w:p>
    <w:p w14:paraId="06C830DE"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sz w:val="20"/>
          <w:szCs w:val="20"/>
        </w:rPr>
        <w:br w:type="page"/>
      </w:r>
    </w:p>
    <w:p w14:paraId="4907650D" w14:textId="77777777" w:rsidR="00A6376F" w:rsidRPr="00A6376F" w:rsidRDefault="00A6376F" w:rsidP="00A6376F">
      <w:pPr>
        <w:rPr>
          <w:rFonts w:ascii="Times New Roman" w:hAnsi="Times New Roman" w:cs="Times New Roman"/>
          <w:iCs/>
          <w:sz w:val="20"/>
          <w:szCs w:val="20"/>
        </w:rPr>
      </w:pPr>
      <w:r w:rsidRPr="00A6376F">
        <w:rPr>
          <w:rFonts w:ascii="Times New Roman" w:hAnsi="Times New Roman" w:cs="Times New Roman"/>
          <w:iCs/>
          <w:noProof/>
          <w:sz w:val="20"/>
          <w:szCs w:val="20"/>
        </w:rPr>
        <w:lastRenderedPageBreak/>
        <w:drawing>
          <wp:inline distT="0" distB="0" distL="0" distR="0" wp14:anchorId="2DB831CF" wp14:editId="0E5B9BDB">
            <wp:extent cx="5274310" cy="7413625"/>
            <wp:effectExtent l="0" t="0" r="0" b="3175"/>
            <wp:docPr id="710848430"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48430" name="图片 1" descr="图示&#10;&#10;中度可信度描述已自动生成"/>
                    <pic:cNvPicPr/>
                  </pic:nvPicPr>
                  <pic:blipFill>
                    <a:blip r:embed="rId12"/>
                    <a:stretch>
                      <a:fillRect/>
                    </a:stretch>
                  </pic:blipFill>
                  <pic:spPr>
                    <a:xfrm>
                      <a:off x="0" y="0"/>
                      <a:ext cx="5274310" cy="7413625"/>
                    </a:xfrm>
                    <a:prstGeom prst="rect">
                      <a:avLst/>
                    </a:prstGeom>
                  </pic:spPr>
                </pic:pic>
              </a:graphicData>
            </a:graphic>
          </wp:inline>
        </w:drawing>
      </w:r>
    </w:p>
    <w:p w14:paraId="3BBC8A9A" w14:textId="77777777" w:rsidR="00A6376F" w:rsidRPr="00A6376F" w:rsidRDefault="00A6376F" w:rsidP="00A6376F">
      <w:pPr>
        <w:rPr>
          <w:rFonts w:ascii="Times New Roman" w:hAnsi="Times New Roman" w:cs="Times New Roman"/>
          <w:b/>
          <w:bCs/>
          <w:sz w:val="20"/>
          <w:szCs w:val="20"/>
        </w:rPr>
      </w:pPr>
      <w:r w:rsidRPr="00A6376F">
        <w:rPr>
          <w:rFonts w:ascii="Times New Roman" w:hAnsi="Times New Roman" w:cs="Times New Roman"/>
          <w:b/>
          <w:bCs/>
          <w:sz w:val="20"/>
          <w:szCs w:val="20"/>
        </w:rPr>
        <w:t>Supplementary Figure5 Analyzing of NSCLC dataset.</w:t>
      </w:r>
    </w:p>
    <w:p w14:paraId="4B1DF87B"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A, Spatial plot showing selected cell types associated gene module activity in corresponding cells. Color intensity reflects the strength of module activity.</w:t>
      </w:r>
    </w:p>
    <w:p w14:paraId="57D26BE9"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B, Circle plot highlighting tumor associated gene module interactions.</w:t>
      </w:r>
    </w:p>
    <w:p w14:paraId="3E82B2B2"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lastRenderedPageBreak/>
        <w:t>C-E, Heatmap showing genes specific to different gene modules. Color intensity corresponds to FREX scores (FRequency and EXclusivity), where 1 indicates highest specificity and 0 indicates no specificity.</w:t>
      </w:r>
    </w:p>
    <w:p w14:paraId="370E2377"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F. UMAP plot showing cell type annotations in the scRNA-seq dataset.</w:t>
      </w:r>
    </w:p>
    <w:p w14:paraId="34736D0A"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G. UMAP plot displaying activities of different gene modules identified by SIGMOD in matched cell types.</w:t>
      </w:r>
    </w:p>
    <w:p w14:paraId="4B2AE62F" w14:textId="77777777" w:rsidR="00A6376F" w:rsidRPr="00A6376F" w:rsidRDefault="00A6376F" w:rsidP="00A6376F">
      <w:pPr>
        <w:rPr>
          <w:rFonts w:ascii="Times New Roman" w:hAnsi="Times New Roman" w:cs="Times New Roman"/>
          <w:sz w:val="20"/>
          <w:szCs w:val="20"/>
        </w:rPr>
      </w:pPr>
      <w:r w:rsidRPr="00A6376F">
        <w:rPr>
          <w:rFonts w:ascii="Times New Roman" w:hAnsi="Times New Roman" w:cs="Times New Roman"/>
          <w:sz w:val="20"/>
          <w:szCs w:val="20"/>
        </w:rPr>
        <w:t>H. Heatmap showing Pearson correlations between the mean activities of tumor, neutrophil, and fibroblast gene modules in their corresponding cell types across samples in a single-cell RNA-seq cohort. * indicates p &lt; 0.05, ** indicate p &lt; 0.01, and *** indicate p &lt; 0.001.</w:t>
      </w:r>
    </w:p>
    <w:p w14:paraId="08CF4FF7" w14:textId="1503C3A6" w:rsidR="00F41FAE" w:rsidRPr="00A6376F" w:rsidRDefault="00A6376F">
      <w:pPr>
        <w:rPr>
          <w:rFonts w:ascii="Times New Roman" w:hAnsi="Times New Roman" w:cs="Times New Roman"/>
          <w:sz w:val="20"/>
          <w:szCs w:val="20"/>
        </w:rPr>
      </w:pPr>
      <w:r w:rsidRPr="00A6376F">
        <w:rPr>
          <w:rFonts w:ascii="Times New Roman" w:hAnsi="Times New Roman" w:cs="Times New Roman"/>
          <w:sz w:val="20"/>
          <w:szCs w:val="20"/>
        </w:rPr>
        <w:t>I, Line plot visualizing the impact of signature ligands from fibroblast gene module 3 on tumor cell gene module 2. Line thickness and color intensity represent interaction strength.</w:t>
      </w:r>
    </w:p>
    <w:p w14:paraId="68C3EAFE" w14:textId="3F1AF900" w:rsidR="00F41FAE" w:rsidRDefault="00F41FAE">
      <w:pPr>
        <w:rPr>
          <w:rFonts w:ascii="Times New Roman" w:hAnsi="Times New Roman" w:cs="Times New Roman"/>
          <w:b/>
          <w:bCs/>
          <w:sz w:val="28"/>
          <w:szCs w:val="28"/>
        </w:rPr>
      </w:pPr>
      <w:r>
        <w:rPr>
          <w:rFonts w:ascii="Times New Roman" w:hAnsi="Times New Roman" w:cs="Times New Roman"/>
          <w:b/>
          <w:bCs/>
          <w:sz w:val="28"/>
          <w:szCs w:val="28"/>
        </w:rPr>
        <w:br w:type="page"/>
      </w:r>
    </w:p>
    <w:p w14:paraId="190246AC" w14:textId="3B528BA4" w:rsidR="006E40FD" w:rsidRDefault="006E40FD" w:rsidP="006E40FD">
      <w:pPr>
        <w:rPr>
          <w:rFonts w:ascii="Times New Roman" w:hAnsi="Times New Roman" w:cs="Times New Roman"/>
          <w:b/>
          <w:bCs/>
          <w:sz w:val="28"/>
          <w:szCs w:val="28"/>
        </w:rPr>
      </w:pPr>
      <w:r w:rsidRPr="00746359">
        <w:rPr>
          <w:rFonts w:ascii="Times New Roman" w:hAnsi="Times New Roman" w:cs="Times New Roman"/>
          <w:b/>
          <w:bCs/>
          <w:sz w:val="28"/>
          <w:szCs w:val="28"/>
        </w:rPr>
        <w:lastRenderedPageBreak/>
        <w:t xml:space="preserve">Supplementary </w:t>
      </w:r>
      <w:r>
        <w:rPr>
          <w:rFonts w:ascii="Times New Roman" w:hAnsi="Times New Roman" w:cs="Times New Roman"/>
          <w:b/>
          <w:bCs/>
          <w:sz w:val="28"/>
          <w:szCs w:val="28"/>
        </w:rPr>
        <w:t>Table</w:t>
      </w:r>
    </w:p>
    <w:p w14:paraId="1E5139AF" w14:textId="2F99E6BD" w:rsidR="00A8787C" w:rsidRDefault="00A8787C" w:rsidP="004E192C">
      <w:pPr>
        <w:rPr>
          <w:rFonts w:ascii="Times New Roman" w:hAnsi="Times New Roman" w:cs="Times New Roman"/>
          <w:iCs/>
          <w:sz w:val="21"/>
          <w:szCs w:val="21"/>
        </w:rPr>
      </w:pPr>
    </w:p>
    <w:p w14:paraId="6C1905B9" w14:textId="183905A0" w:rsidR="00F52385" w:rsidRDefault="00F52385">
      <w:pPr>
        <w:rPr>
          <w:rFonts w:ascii="Times New Roman" w:hAnsi="Times New Roman" w:cs="Times New Roman"/>
          <w:iCs/>
          <w:sz w:val="28"/>
          <w:szCs w:val="28"/>
        </w:rPr>
      </w:pPr>
      <w:bookmarkStart w:id="0" w:name="OLE_LINK1"/>
      <w:bookmarkStart w:id="1" w:name="OLE_LINK2"/>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scores </w:t>
      </w:r>
      <w:r>
        <w:rPr>
          <w:rFonts w:ascii="Times New Roman" w:hAnsi="Times New Roman" w:cs="Times New Roman" w:hint="eastAsia"/>
          <w:iCs/>
          <w:sz w:val="28"/>
          <w:szCs w:val="28"/>
        </w:rPr>
        <w:t>in</w:t>
      </w:r>
      <w:r>
        <w:rPr>
          <w:rFonts w:ascii="Times New Roman" w:hAnsi="Times New Roman" w:cs="Times New Roman"/>
          <w:iCs/>
          <w:sz w:val="28"/>
          <w:szCs w:val="28"/>
        </w:rPr>
        <w:t xml:space="preserve"> the PDAC dataset</w:t>
      </w:r>
    </w:p>
    <w:bookmarkEnd w:id="0"/>
    <w:bookmarkEnd w:id="1"/>
    <w:p w14:paraId="0827472E" w14:textId="7C002454" w:rsidR="00F52385" w:rsidRDefault="00F52385" w:rsidP="00F52385">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2: </w:t>
      </w:r>
      <w:r w:rsidR="00581AF6">
        <w:rPr>
          <w:rFonts w:ascii="Times New Roman" w:hAnsi="Times New Roman" w:cs="Times New Roman" w:hint="eastAsia"/>
          <w:iCs/>
          <w:sz w:val="28"/>
          <w:szCs w:val="28"/>
        </w:rPr>
        <w:t>Ligand</w:t>
      </w:r>
      <w:r w:rsidR="00581AF6">
        <w:rPr>
          <w:rFonts w:ascii="Times New Roman" w:hAnsi="Times New Roman" w:cs="Times New Roman"/>
          <w:iCs/>
          <w:sz w:val="28"/>
          <w:szCs w:val="28"/>
        </w:rPr>
        <w:t xml:space="preserve"> </w:t>
      </w:r>
      <w:r w:rsidR="00581AF6">
        <w:rPr>
          <w:rFonts w:ascii="Times New Roman" w:hAnsi="Times New Roman" w:cs="Times New Roman" w:hint="eastAsia"/>
          <w:iCs/>
          <w:sz w:val="28"/>
          <w:szCs w:val="28"/>
        </w:rPr>
        <w:t>Receptor</w:t>
      </w:r>
      <w:r w:rsidR="00581AF6">
        <w:rPr>
          <w:rFonts w:ascii="Times New Roman" w:hAnsi="Times New Roman" w:cs="Times New Roman"/>
          <w:iCs/>
          <w:sz w:val="28"/>
          <w:szCs w:val="28"/>
        </w:rPr>
        <w:t xml:space="preserve"> </w:t>
      </w:r>
      <w:r w:rsidR="00581AF6">
        <w:rPr>
          <w:rFonts w:ascii="Times New Roman" w:hAnsi="Times New Roman" w:cs="Times New Roman" w:hint="eastAsia"/>
          <w:iCs/>
          <w:sz w:val="28"/>
          <w:szCs w:val="28"/>
        </w:rPr>
        <w:t>interaction</w:t>
      </w:r>
      <w:r w:rsidR="00581AF6">
        <w:rPr>
          <w:rFonts w:ascii="Times New Roman" w:hAnsi="Times New Roman" w:cs="Times New Roman"/>
          <w:iCs/>
          <w:sz w:val="28"/>
          <w:szCs w:val="28"/>
        </w:rPr>
        <w:t xml:space="preserve"> activities on the niche in </w:t>
      </w:r>
      <w:r>
        <w:rPr>
          <w:rFonts w:ascii="Times New Roman" w:hAnsi="Times New Roman" w:cs="Times New Roman"/>
          <w:iCs/>
          <w:sz w:val="28"/>
          <w:szCs w:val="28"/>
        </w:rPr>
        <w:t>the PDAC dataset</w:t>
      </w:r>
    </w:p>
    <w:p w14:paraId="165396B3" w14:textId="65F0FE4A" w:rsidR="00581AF6" w:rsidRDefault="00581AF6" w:rsidP="00581AF6">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3: </w:t>
      </w:r>
      <w:r>
        <w:rPr>
          <w:rFonts w:ascii="Times New Roman" w:hAnsi="Times New Roman" w:cs="Times New Roman" w:hint="eastAsia"/>
          <w:iCs/>
          <w:sz w:val="28"/>
          <w:szCs w:val="28"/>
        </w:rPr>
        <w:t>E</w:t>
      </w:r>
      <w:r w:rsidRPr="00581AF6">
        <w:rPr>
          <w:rFonts w:ascii="Times New Roman" w:hAnsi="Times New Roman" w:cs="Times New Roman"/>
          <w:iCs/>
          <w:sz w:val="28"/>
          <w:szCs w:val="28"/>
        </w:rPr>
        <w:t>stimations of cell type</w:t>
      </w:r>
      <w:r>
        <w:rPr>
          <w:rFonts w:ascii="Times New Roman" w:hAnsi="Times New Roman" w:cs="Times New Roman"/>
          <w:iCs/>
          <w:sz w:val="28"/>
          <w:szCs w:val="28"/>
        </w:rPr>
        <w:t xml:space="preserve">-specific gene module </w:t>
      </w:r>
      <w:r w:rsidRPr="00581AF6">
        <w:rPr>
          <w:rFonts w:ascii="Times New Roman" w:hAnsi="Times New Roman" w:cs="Times New Roman"/>
          <w:iCs/>
          <w:sz w:val="28"/>
          <w:szCs w:val="28"/>
        </w:rPr>
        <w:t xml:space="preserve">proportions in </w:t>
      </w:r>
      <w:r>
        <w:rPr>
          <w:rFonts w:ascii="Times New Roman" w:hAnsi="Times New Roman" w:cs="Times New Roman"/>
          <w:iCs/>
          <w:sz w:val="28"/>
          <w:szCs w:val="28"/>
        </w:rPr>
        <w:t>the PDAC</w:t>
      </w:r>
      <w:r w:rsidRPr="00581AF6">
        <w:rPr>
          <w:rFonts w:ascii="Times New Roman" w:hAnsi="Times New Roman" w:cs="Times New Roman"/>
          <w:iCs/>
          <w:sz w:val="28"/>
          <w:szCs w:val="28"/>
        </w:rPr>
        <w:t xml:space="preserve"> </w:t>
      </w:r>
      <w:r>
        <w:rPr>
          <w:rFonts w:ascii="Times New Roman" w:hAnsi="Times New Roman" w:cs="Times New Roman"/>
          <w:iCs/>
          <w:sz w:val="28"/>
          <w:szCs w:val="28"/>
        </w:rPr>
        <w:t>dataset</w:t>
      </w:r>
    </w:p>
    <w:p w14:paraId="039863E4" w14:textId="260B3423" w:rsidR="00581AF6" w:rsidRDefault="00581AF6" w:rsidP="00581AF6">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4: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w:t>
      </w:r>
      <w:r>
        <w:rPr>
          <w:rFonts w:ascii="Times New Roman" w:hAnsi="Times New Roman" w:cs="Times New Roman" w:hint="eastAsia"/>
          <w:iCs/>
          <w:sz w:val="28"/>
          <w:szCs w:val="28"/>
        </w:rPr>
        <w:t>effect</w:t>
      </w:r>
      <w:r>
        <w:rPr>
          <w:rFonts w:ascii="Times New Roman" w:hAnsi="Times New Roman" w:cs="Times New Roman"/>
          <w:iCs/>
          <w:sz w:val="28"/>
          <w:szCs w:val="28"/>
        </w:rPr>
        <w:t xml:space="preserve"> on </w:t>
      </w:r>
      <w:r w:rsidRPr="00581AF6">
        <w:rPr>
          <w:rFonts w:ascii="Times New Roman" w:hAnsi="Times New Roman" w:cs="Times New Roman"/>
          <w:iCs/>
          <w:sz w:val="28"/>
          <w:szCs w:val="28"/>
        </w:rPr>
        <w:t>cell type</w:t>
      </w:r>
      <w:r>
        <w:rPr>
          <w:rFonts w:ascii="Times New Roman" w:hAnsi="Times New Roman" w:cs="Times New Roman"/>
          <w:iCs/>
          <w:sz w:val="28"/>
          <w:szCs w:val="28"/>
        </w:rPr>
        <w:t>-specific gene module in the PDAC dataset</w:t>
      </w:r>
    </w:p>
    <w:p w14:paraId="192744F6" w14:textId="79A96B54" w:rsidR="00581AF6" w:rsidRDefault="00581AF6" w:rsidP="00F52385">
      <w:pPr>
        <w:rPr>
          <w:rFonts w:ascii="Times New Roman" w:hAnsi="Times New Roman" w:cs="Times New Roman"/>
          <w:iCs/>
          <w:sz w:val="28"/>
          <w:szCs w:val="28"/>
        </w:rPr>
      </w:pPr>
      <w:r w:rsidRPr="00581AF6">
        <w:rPr>
          <w:rFonts w:ascii="Times New Roman" w:hAnsi="Times New Roman" w:cs="Times New Roman"/>
          <w:iCs/>
          <w:sz w:val="28"/>
          <w:szCs w:val="28"/>
        </w:rPr>
        <w:t>Supplementary Table S5: Marker gene list of the PDAC dataset</w:t>
      </w:r>
    </w:p>
    <w:p w14:paraId="7CDCD83C" w14:textId="54820D36" w:rsidR="003C62D7" w:rsidRDefault="003C62D7" w:rsidP="003C62D7">
      <w:pPr>
        <w:rPr>
          <w:rFonts w:ascii="Times New Roman" w:hAnsi="Times New Roman" w:cs="Times New Roman"/>
          <w:iCs/>
          <w:sz w:val="28"/>
          <w:szCs w:val="28"/>
        </w:rPr>
      </w:pPr>
      <w:bookmarkStart w:id="2" w:name="OLE_LINK3"/>
      <w:bookmarkStart w:id="3" w:name="OLE_LINK4"/>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6: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scores </w:t>
      </w:r>
      <w:r>
        <w:rPr>
          <w:rFonts w:ascii="Times New Roman" w:hAnsi="Times New Roman" w:cs="Times New Roman" w:hint="eastAsia"/>
          <w:iCs/>
          <w:sz w:val="28"/>
          <w:szCs w:val="28"/>
        </w:rPr>
        <w:t>in</w:t>
      </w:r>
      <w:r>
        <w:rPr>
          <w:rFonts w:ascii="Times New Roman" w:hAnsi="Times New Roman" w:cs="Times New Roman"/>
          <w:iCs/>
          <w:sz w:val="28"/>
          <w:szCs w:val="28"/>
        </w:rPr>
        <w:t xml:space="preserve"> the AD dataset</w:t>
      </w:r>
    </w:p>
    <w:p w14:paraId="178F3536" w14:textId="79560816" w:rsidR="003C62D7" w:rsidRDefault="003C62D7" w:rsidP="003C62D7">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7: </w:t>
      </w:r>
      <w:r>
        <w:rPr>
          <w:rFonts w:ascii="Times New Roman" w:hAnsi="Times New Roman" w:cs="Times New Roman" w:hint="eastAsia"/>
          <w:iCs/>
          <w:sz w:val="28"/>
          <w:szCs w:val="28"/>
        </w:rPr>
        <w:t>Ligand</w:t>
      </w:r>
      <w:r>
        <w:rPr>
          <w:rFonts w:ascii="Times New Roman" w:hAnsi="Times New Roman" w:cs="Times New Roman"/>
          <w:iCs/>
          <w:sz w:val="28"/>
          <w:szCs w:val="28"/>
        </w:rPr>
        <w:t xml:space="preserve"> </w:t>
      </w:r>
      <w:r>
        <w:rPr>
          <w:rFonts w:ascii="Times New Roman" w:hAnsi="Times New Roman" w:cs="Times New Roman" w:hint="eastAsia"/>
          <w:iCs/>
          <w:sz w:val="28"/>
          <w:szCs w:val="28"/>
        </w:rPr>
        <w:t>Receptor</w:t>
      </w:r>
      <w:r>
        <w:rPr>
          <w:rFonts w:ascii="Times New Roman" w:hAnsi="Times New Roman" w:cs="Times New Roman"/>
          <w:iCs/>
          <w:sz w:val="28"/>
          <w:szCs w:val="28"/>
        </w:rPr>
        <w:t xml:space="preserve"> </w:t>
      </w:r>
      <w:r>
        <w:rPr>
          <w:rFonts w:ascii="Times New Roman" w:hAnsi="Times New Roman" w:cs="Times New Roman" w:hint="eastAsia"/>
          <w:iCs/>
          <w:sz w:val="28"/>
          <w:szCs w:val="28"/>
        </w:rPr>
        <w:t>interaction</w:t>
      </w:r>
      <w:r>
        <w:rPr>
          <w:rFonts w:ascii="Times New Roman" w:hAnsi="Times New Roman" w:cs="Times New Roman"/>
          <w:iCs/>
          <w:sz w:val="28"/>
          <w:szCs w:val="28"/>
        </w:rPr>
        <w:t xml:space="preserve"> activities on the niche in the AD dataset</w:t>
      </w:r>
    </w:p>
    <w:p w14:paraId="3B6E29E2" w14:textId="6D066476" w:rsidR="00282126" w:rsidRDefault="00282126" w:rsidP="00282126">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8: </w:t>
      </w:r>
      <w:r>
        <w:rPr>
          <w:rFonts w:ascii="Times New Roman" w:hAnsi="Times New Roman" w:cs="Times New Roman" w:hint="eastAsia"/>
          <w:iCs/>
          <w:sz w:val="28"/>
          <w:szCs w:val="28"/>
        </w:rPr>
        <w:t>E</w:t>
      </w:r>
      <w:r w:rsidRPr="00581AF6">
        <w:rPr>
          <w:rFonts w:ascii="Times New Roman" w:hAnsi="Times New Roman" w:cs="Times New Roman"/>
          <w:iCs/>
          <w:sz w:val="28"/>
          <w:szCs w:val="28"/>
        </w:rPr>
        <w:t>stimations of cell type</w:t>
      </w:r>
      <w:r>
        <w:rPr>
          <w:rFonts w:ascii="Times New Roman" w:hAnsi="Times New Roman" w:cs="Times New Roman"/>
          <w:iCs/>
          <w:sz w:val="28"/>
          <w:szCs w:val="28"/>
        </w:rPr>
        <w:t xml:space="preserve">-specific gene module </w:t>
      </w:r>
      <w:r w:rsidRPr="00581AF6">
        <w:rPr>
          <w:rFonts w:ascii="Times New Roman" w:hAnsi="Times New Roman" w:cs="Times New Roman"/>
          <w:iCs/>
          <w:sz w:val="28"/>
          <w:szCs w:val="28"/>
        </w:rPr>
        <w:t xml:space="preserve">proportions in </w:t>
      </w:r>
      <w:r>
        <w:rPr>
          <w:rFonts w:ascii="Times New Roman" w:hAnsi="Times New Roman" w:cs="Times New Roman"/>
          <w:iCs/>
          <w:sz w:val="28"/>
          <w:szCs w:val="28"/>
        </w:rPr>
        <w:t xml:space="preserve">the </w:t>
      </w:r>
      <w:r>
        <w:rPr>
          <w:rFonts w:ascii="Times New Roman" w:hAnsi="Times New Roman" w:cs="Times New Roman" w:hint="eastAsia"/>
          <w:iCs/>
          <w:sz w:val="28"/>
          <w:szCs w:val="28"/>
        </w:rPr>
        <w:t>AD</w:t>
      </w:r>
      <w:r>
        <w:rPr>
          <w:rFonts w:ascii="Times New Roman" w:hAnsi="Times New Roman" w:cs="Times New Roman"/>
          <w:iCs/>
          <w:sz w:val="28"/>
          <w:szCs w:val="28"/>
        </w:rPr>
        <w:t xml:space="preserve"> dataset</w:t>
      </w:r>
    </w:p>
    <w:p w14:paraId="759E3186" w14:textId="655A2B89" w:rsidR="00282126" w:rsidRDefault="00282126" w:rsidP="00282126">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sidR="0074444B">
        <w:rPr>
          <w:rFonts w:ascii="Times New Roman" w:hAnsi="Times New Roman" w:cs="Times New Roman"/>
          <w:iCs/>
          <w:sz w:val="28"/>
          <w:szCs w:val="28"/>
        </w:rPr>
        <w:t>9</w:t>
      </w:r>
      <w:r>
        <w:rPr>
          <w:rFonts w:ascii="Times New Roman" w:hAnsi="Times New Roman" w:cs="Times New Roman"/>
          <w:iCs/>
          <w:sz w:val="28"/>
          <w:szCs w:val="28"/>
        </w:rPr>
        <w:t xml:space="preserve">: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w:t>
      </w:r>
      <w:r>
        <w:rPr>
          <w:rFonts w:ascii="Times New Roman" w:hAnsi="Times New Roman" w:cs="Times New Roman" w:hint="eastAsia"/>
          <w:iCs/>
          <w:sz w:val="28"/>
          <w:szCs w:val="28"/>
        </w:rPr>
        <w:t>effect</w:t>
      </w:r>
      <w:r>
        <w:rPr>
          <w:rFonts w:ascii="Times New Roman" w:hAnsi="Times New Roman" w:cs="Times New Roman"/>
          <w:iCs/>
          <w:sz w:val="28"/>
          <w:szCs w:val="28"/>
        </w:rPr>
        <w:t xml:space="preserve"> on </w:t>
      </w:r>
      <w:r w:rsidRPr="00581AF6">
        <w:rPr>
          <w:rFonts w:ascii="Times New Roman" w:hAnsi="Times New Roman" w:cs="Times New Roman"/>
          <w:iCs/>
          <w:sz w:val="28"/>
          <w:szCs w:val="28"/>
        </w:rPr>
        <w:t>cell type</w:t>
      </w:r>
      <w:r>
        <w:rPr>
          <w:rFonts w:ascii="Times New Roman" w:hAnsi="Times New Roman" w:cs="Times New Roman"/>
          <w:iCs/>
          <w:sz w:val="28"/>
          <w:szCs w:val="28"/>
        </w:rPr>
        <w:t xml:space="preserve">-specific gene module in the </w:t>
      </w:r>
      <w:r>
        <w:rPr>
          <w:rFonts w:ascii="Times New Roman" w:hAnsi="Times New Roman" w:cs="Times New Roman" w:hint="eastAsia"/>
          <w:iCs/>
          <w:sz w:val="28"/>
          <w:szCs w:val="28"/>
        </w:rPr>
        <w:t>AD</w:t>
      </w:r>
      <w:r>
        <w:rPr>
          <w:rFonts w:ascii="Times New Roman" w:hAnsi="Times New Roman" w:cs="Times New Roman"/>
          <w:iCs/>
          <w:sz w:val="28"/>
          <w:szCs w:val="28"/>
        </w:rPr>
        <w:t xml:space="preserve"> dataset</w:t>
      </w:r>
    </w:p>
    <w:p w14:paraId="77E798FE" w14:textId="269C992F" w:rsidR="0074444B" w:rsidRPr="0074444B" w:rsidRDefault="0074444B" w:rsidP="00282126">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10: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scores </w:t>
      </w:r>
      <w:r>
        <w:rPr>
          <w:rFonts w:ascii="Times New Roman" w:hAnsi="Times New Roman" w:cs="Times New Roman" w:hint="eastAsia"/>
          <w:iCs/>
          <w:sz w:val="28"/>
          <w:szCs w:val="28"/>
        </w:rPr>
        <w:t>in</w:t>
      </w:r>
      <w:r>
        <w:rPr>
          <w:rFonts w:ascii="Times New Roman" w:hAnsi="Times New Roman" w:cs="Times New Roman"/>
          <w:iCs/>
          <w:sz w:val="28"/>
          <w:szCs w:val="28"/>
        </w:rPr>
        <w:t xml:space="preserve"> the CRC liver metastasis dataset</w:t>
      </w:r>
    </w:p>
    <w:p w14:paraId="3DCA842E" w14:textId="7648446C" w:rsidR="0074444B" w:rsidRDefault="0074444B" w:rsidP="0074444B">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11: </w:t>
      </w:r>
      <w:r>
        <w:rPr>
          <w:rFonts w:ascii="Times New Roman" w:hAnsi="Times New Roman" w:cs="Times New Roman" w:hint="eastAsia"/>
          <w:iCs/>
          <w:sz w:val="28"/>
          <w:szCs w:val="28"/>
        </w:rPr>
        <w:t>Ligand</w:t>
      </w:r>
      <w:r>
        <w:rPr>
          <w:rFonts w:ascii="Times New Roman" w:hAnsi="Times New Roman" w:cs="Times New Roman"/>
          <w:iCs/>
          <w:sz w:val="28"/>
          <w:szCs w:val="28"/>
        </w:rPr>
        <w:t xml:space="preserve"> </w:t>
      </w:r>
      <w:r>
        <w:rPr>
          <w:rFonts w:ascii="Times New Roman" w:hAnsi="Times New Roman" w:cs="Times New Roman" w:hint="eastAsia"/>
          <w:iCs/>
          <w:sz w:val="28"/>
          <w:szCs w:val="28"/>
        </w:rPr>
        <w:t>Receptor</w:t>
      </w:r>
      <w:r>
        <w:rPr>
          <w:rFonts w:ascii="Times New Roman" w:hAnsi="Times New Roman" w:cs="Times New Roman"/>
          <w:iCs/>
          <w:sz w:val="28"/>
          <w:szCs w:val="28"/>
        </w:rPr>
        <w:t xml:space="preserve"> </w:t>
      </w:r>
      <w:r>
        <w:rPr>
          <w:rFonts w:ascii="Times New Roman" w:hAnsi="Times New Roman" w:cs="Times New Roman" w:hint="eastAsia"/>
          <w:iCs/>
          <w:sz w:val="28"/>
          <w:szCs w:val="28"/>
        </w:rPr>
        <w:t>interaction</w:t>
      </w:r>
      <w:r>
        <w:rPr>
          <w:rFonts w:ascii="Times New Roman" w:hAnsi="Times New Roman" w:cs="Times New Roman"/>
          <w:iCs/>
          <w:sz w:val="28"/>
          <w:szCs w:val="28"/>
        </w:rPr>
        <w:t xml:space="preserve"> activities on the niche in the CRC liver metastasis dataset</w:t>
      </w:r>
    </w:p>
    <w:p w14:paraId="34924ED0" w14:textId="3F890717" w:rsidR="0074444B" w:rsidRDefault="0074444B" w:rsidP="0074444B">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12: </w:t>
      </w:r>
      <w:r>
        <w:rPr>
          <w:rFonts w:ascii="Times New Roman" w:hAnsi="Times New Roman" w:cs="Times New Roman" w:hint="eastAsia"/>
          <w:iCs/>
          <w:sz w:val="28"/>
          <w:szCs w:val="28"/>
        </w:rPr>
        <w:t>E</w:t>
      </w:r>
      <w:r w:rsidRPr="00581AF6">
        <w:rPr>
          <w:rFonts w:ascii="Times New Roman" w:hAnsi="Times New Roman" w:cs="Times New Roman"/>
          <w:iCs/>
          <w:sz w:val="28"/>
          <w:szCs w:val="28"/>
        </w:rPr>
        <w:t>stimations of cell type</w:t>
      </w:r>
      <w:r>
        <w:rPr>
          <w:rFonts w:ascii="Times New Roman" w:hAnsi="Times New Roman" w:cs="Times New Roman"/>
          <w:iCs/>
          <w:sz w:val="28"/>
          <w:szCs w:val="28"/>
        </w:rPr>
        <w:t xml:space="preserve">-specific gene module </w:t>
      </w:r>
      <w:r w:rsidRPr="00581AF6">
        <w:rPr>
          <w:rFonts w:ascii="Times New Roman" w:hAnsi="Times New Roman" w:cs="Times New Roman"/>
          <w:iCs/>
          <w:sz w:val="28"/>
          <w:szCs w:val="28"/>
        </w:rPr>
        <w:t xml:space="preserve">proportions </w:t>
      </w:r>
      <w:r>
        <w:rPr>
          <w:rFonts w:ascii="Times New Roman" w:hAnsi="Times New Roman" w:cs="Times New Roman"/>
          <w:iCs/>
          <w:sz w:val="28"/>
          <w:szCs w:val="28"/>
        </w:rPr>
        <w:t>in the CRC liver metastasis dataset</w:t>
      </w:r>
    </w:p>
    <w:p w14:paraId="6F5D5778" w14:textId="1E99A6E7" w:rsidR="0074444B" w:rsidRDefault="0074444B" w:rsidP="0074444B">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13: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w:t>
      </w:r>
      <w:r>
        <w:rPr>
          <w:rFonts w:ascii="Times New Roman" w:hAnsi="Times New Roman" w:cs="Times New Roman" w:hint="eastAsia"/>
          <w:iCs/>
          <w:sz w:val="28"/>
          <w:szCs w:val="28"/>
        </w:rPr>
        <w:t>effect</w:t>
      </w:r>
      <w:r>
        <w:rPr>
          <w:rFonts w:ascii="Times New Roman" w:hAnsi="Times New Roman" w:cs="Times New Roman"/>
          <w:iCs/>
          <w:sz w:val="28"/>
          <w:szCs w:val="28"/>
        </w:rPr>
        <w:t xml:space="preserve"> on </w:t>
      </w:r>
      <w:r w:rsidRPr="00581AF6">
        <w:rPr>
          <w:rFonts w:ascii="Times New Roman" w:hAnsi="Times New Roman" w:cs="Times New Roman"/>
          <w:iCs/>
          <w:sz w:val="28"/>
          <w:szCs w:val="28"/>
        </w:rPr>
        <w:t>cell type</w:t>
      </w:r>
      <w:r>
        <w:rPr>
          <w:rFonts w:ascii="Times New Roman" w:hAnsi="Times New Roman" w:cs="Times New Roman"/>
          <w:iCs/>
          <w:sz w:val="28"/>
          <w:szCs w:val="28"/>
        </w:rPr>
        <w:t>-specific gene module in the CRC liver metastasis dataset</w:t>
      </w:r>
    </w:p>
    <w:p w14:paraId="4E1E0CF6" w14:textId="2EE0E774" w:rsidR="00912F98" w:rsidRDefault="00912F98" w:rsidP="00912F98">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14: </w:t>
      </w:r>
      <w:r>
        <w:rPr>
          <w:rFonts w:ascii="Times New Roman" w:hAnsi="Times New Roman" w:cs="Times New Roman" w:hint="eastAsia"/>
          <w:iCs/>
          <w:sz w:val="28"/>
          <w:szCs w:val="28"/>
        </w:rPr>
        <w:t>E</w:t>
      </w:r>
      <w:r w:rsidRPr="00581AF6">
        <w:rPr>
          <w:rFonts w:ascii="Times New Roman" w:hAnsi="Times New Roman" w:cs="Times New Roman"/>
          <w:iCs/>
          <w:sz w:val="28"/>
          <w:szCs w:val="28"/>
        </w:rPr>
        <w:t xml:space="preserve">stimations of </w:t>
      </w:r>
      <w:r>
        <w:rPr>
          <w:rFonts w:ascii="Times New Roman" w:hAnsi="Times New Roman" w:cs="Times New Roman"/>
          <w:iCs/>
          <w:sz w:val="28"/>
          <w:szCs w:val="28"/>
        </w:rPr>
        <w:t xml:space="preserve">gene module </w:t>
      </w:r>
      <w:r>
        <w:rPr>
          <w:rFonts w:ascii="Times New Roman" w:hAnsi="Times New Roman" w:cs="Times New Roman" w:hint="eastAsia"/>
          <w:iCs/>
          <w:sz w:val="28"/>
          <w:szCs w:val="28"/>
        </w:rPr>
        <w:t>activities</w:t>
      </w:r>
      <w:r>
        <w:rPr>
          <w:rFonts w:ascii="Times New Roman" w:hAnsi="Times New Roman" w:cs="Times New Roman"/>
          <w:iCs/>
          <w:sz w:val="28"/>
          <w:szCs w:val="28"/>
        </w:rPr>
        <w:t xml:space="preserve"> </w:t>
      </w:r>
      <w:r w:rsidRPr="00581AF6">
        <w:rPr>
          <w:rFonts w:ascii="Times New Roman" w:hAnsi="Times New Roman" w:cs="Times New Roman"/>
          <w:iCs/>
          <w:sz w:val="28"/>
          <w:szCs w:val="28"/>
        </w:rPr>
        <w:t xml:space="preserve">in </w:t>
      </w:r>
      <w:r>
        <w:rPr>
          <w:rFonts w:ascii="Times New Roman" w:hAnsi="Times New Roman" w:cs="Times New Roman"/>
          <w:iCs/>
          <w:sz w:val="28"/>
          <w:szCs w:val="28"/>
        </w:rPr>
        <w:t>the BRCA dataset</w:t>
      </w:r>
    </w:p>
    <w:p w14:paraId="02621534" w14:textId="784681C3" w:rsidR="00912F98" w:rsidRDefault="00912F98" w:rsidP="00912F98">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15: </w:t>
      </w:r>
      <w:r>
        <w:rPr>
          <w:rFonts w:ascii="Times New Roman" w:hAnsi="Times New Roman" w:cs="Times New Roman" w:hint="eastAsia"/>
          <w:iCs/>
          <w:sz w:val="28"/>
          <w:szCs w:val="28"/>
        </w:rPr>
        <w:t>Niche</w:t>
      </w:r>
      <w:r>
        <w:rPr>
          <w:rFonts w:ascii="Times New Roman" w:hAnsi="Times New Roman" w:cs="Times New Roman"/>
          <w:iCs/>
          <w:sz w:val="28"/>
          <w:szCs w:val="28"/>
        </w:rPr>
        <w:t xml:space="preserve"> </w:t>
      </w:r>
      <w:r>
        <w:rPr>
          <w:rFonts w:ascii="Times New Roman" w:hAnsi="Times New Roman" w:cs="Times New Roman" w:hint="eastAsia"/>
          <w:iCs/>
          <w:sz w:val="28"/>
          <w:szCs w:val="28"/>
        </w:rPr>
        <w:t>effect</w:t>
      </w:r>
      <w:r>
        <w:rPr>
          <w:rFonts w:ascii="Times New Roman" w:hAnsi="Times New Roman" w:cs="Times New Roman"/>
          <w:iCs/>
          <w:sz w:val="28"/>
          <w:szCs w:val="28"/>
        </w:rPr>
        <w:t xml:space="preserve"> on gene module in the </w:t>
      </w:r>
      <w:r>
        <w:rPr>
          <w:rFonts w:ascii="Times New Roman" w:hAnsi="Times New Roman" w:cs="Times New Roman" w:hint="eastAsia"/>
          <w:iCs/>
          <w:sz w:val="28"/>
          <w:szCs w:val="28"/>
        </w:rPr>
        <w:t>BRCA</w:t>
      </w:r>
      <w:r>
        <w:rPr>
          <w:rFonts w:ascii="Times New Roman" w:hAnsi="Times New Roman" w:cs="Times New Roman"/>
          <w:iCs/>
          <w:sz w:val="28"/>
          <w:szCs w:val="28"/>
        </w:rPr>
        <w:t xml:space="preserve"> dataset</w:t>
      </w:r>
    </w:p>
    <w:p w14:paraId="2D4A9EE1" w14:textId="6B010E84" w:rsidR="00912F98" w:rsidRDefault="00912F98" w:rsidP="00912F98">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16: </w:t>
      </w:r>
      <w:r>
        <w:rPr>
          <w:rFonts w:ascii="Times New Roman" w:hAnsi="Times New Roman" w:cs="Times New Roman" w:hint="eastAsia"/>
          <w:iCs/>
          <w:sz w:val="28"/>
          <w:szCs w:val="28"/>
        </w:rPr>
        <w:t>Gene</w:t>
      </w:r>
      <w:r>
        <w:rPr>
          <w:rFonts w:ascii="Times New Roman" w:hAnsi="Times New Roman" w:cs="Times New Roman"/>
          <w:iCs/>
          <w:sz w:val="28"/>
          <w:szCs w:val="28"/>
        </w:rPr>
        <w:t xml:space="preserve"> </w:t>
      </w:r>
      <w:r>
        <w:rPr>
          <w:rFonts w:ascii="Times New Roman" w:hAnsi="Times New Roman" w:cs="Times New Roman" w:hint="eastAsia"/>
          <w:iCs/>
          <w:sz w:val="28"/>
          <w:szCs w:val="28"/>
        </w:rPr>
        <w:t>embeddings</w:t>
      </w:r>
      <w:r>
        <w:rPr>
          <w:rFonts w:ascii="Times New Roman" w:hAnsi="Times New Roman" w:cs="Times New Roman"/>
          <w:iCs/>
          <w:sz w:val="28"/>
          <w:szCs w:val="28"/>
        </w:rPr>
        <w:t xml:space="preserve"> for each gene module in the </w:t>
      </w:r>
      <w:r>
        <w:rPr>
          <w:rFonts w:ascii="Times New Roman" w:hAnsi="Times New Roman" w:cs="Times New Roman" w:hint="eastAsia"/>
          <w:iCs/>
          <w:sz w:val="28"/>
          <w:szCs w:val="28"/>
        </w:rPr>
        <w:t>BRCA</w:t>
      </w:r>
      <w:r>
        <w:rPr>
          <w:rFonts w:ascii="Times New Roman" w:hAnsi="Times New Roman" w:cs="Times New Roman"/>
          <w:iCs/>
          <w:sz w:val="28"/>
          <w:szCs w:val="28"/>
        </w:rPr>
        <w:t xml:space="preserve"> dataset</w:t>
      </w:r>
    </w:p>
    <w:p w14:paraId="12D3A74B" w14:textId="77570C9B" w:rsidR="00BF62ED" w:rsidRDefault="009E153B" w:rsidP="009E153B">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17: </w:t>
      </w:r>
      <w:r>
        <w:rPr>
          <w:rFonts w:ascii="Times New Roman" w:hAnsi="Times New Roman" w:cs="Times New Roman" w:hint="eastAsia"/>
          <w:iCs/>
          <w:sz w:val="28"/>
          <w:szCs w:val="28"/>
        </w:rPr>
        <w:t>E</w:t>
      </w:r>
      <w:r w:rsidRPr="00581AF6">
        <w:rPr>
          <w:rFonts w:ascii="Times New Roman" w:hAnsi="Times New Roman" w:cs="Times New Roman"/>
          <w:iCs/>
          <w:sz w:val="28"/>
          <w:szCs w:val="28"/>
        </w:rPr>
        <w:t xml:space="preserve">stimations of </w:t>
      </w:r>
      <w:r>
        <w:rPr>
          <w:rFonts w:ascii="Times New Roman" w:hAnsi="Times New Roman" w:cs="Times New Roman"/>
          <w:iCs/>
          <w:sz w:val="28"/>
          <w:szCs w:val="28"/>
        </w:rPr>
        <w:t xml:space="preserve">gene module </w:t>
      </w:r>
      <w:r>
        <w:rPr>
          <w:rFonts w:ascii="Times New Roman" w:hAnsi="Times New Roman" w:cs="Times New Roman" w:hint="eastAsia"/>
          <w:iCs/>
          <w:sz w:val="28"/>
          <w:szCs w:val="28"/>
        </w:rPr>
        <w:t>activities</w:t>
      </w:r>
      <w:r>
        <w:rPr>
          <w:rFonts w:ascii="Times New Roman" w:hAnsi="Times New Roman" w:cs="Times New Roman"/>
          <w:iCs/>
          <w:sz w:val="28"/>
          <w:szCs w:val="28"/>
        </w:rPr>
        <w:t xml:space="preserve"> </w:t>
      </w:r>
      <w:r>
        <w:rPr>
          <w:rFonts w:ascii="Times New Roman" w:hAnsi="Times New Roman" w:cs="Times New Roman" w:hint="eastAsia"/>
          <w:iCs/>
          <w:sz w:val="28"/>
          <w:szCs w:val="28"/>
        </w:rPr>
        <w:t>of</w:t>
      </w:r>
      <w:r>
        <w:rPr>
          <w:rFonts w:ascii="Times New Roman" w:hAnsi="Times New Roman" w:cs="Times New Roman"/>
          <w:iCs/>
          <w:sz w:val="28"/>
          <w:szCs w:val="28"/>
        </w:rPr>
        <w:t xml:space="preserve"> tumor cells </w:t>
      </w:r>
      <w:r w:rsidRPr="00581AF6">
        <w:rPr>
          <w:rFonts w:ascii="Times New Roman" w:hAnsi="Times New Roman" w:cs="Times New Roman"/>
          <w:iCs/>
          <w:sz w:val="28"/>
          <w:szCs w:val="28"/>
        </w:rPr>
        <w:t xml:space="preserve">in </w:t>
      </w:r>
      <w:r>
        <w:rPr>
          <w:rFonts w:ascii="Times New Roman" w:hAnsi="Times New Roman" w:cs="Times New Roman"/>
          <w:iCs/>
          <w:sz w:val="28"/>
          <w:szCs w:val="28"/>
        </w:rPr>
        <w:t>the LUAD dataset</w:t>
      </w:r>
    </w:p>
    <w:p w14:paraId="5CC5A10A" w14:textId="30B14565" w:rsidR="00BF62ED" w:rsidRDefault="00BF62ED" w:rsidP="00BF62ED">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18: </w:t>
      </w:r>
      <w:r>
        <w:rPr>
          <w:rFonts w:ascii="Times New Roman" w:hAnsi="Times New Roman" w:cs="Times New Roman" w:hint="eastAsia"/>
          <w:iCs/>
          <w:sz w:val="28"/>
          <w:szCs w:val="28"/>
        </w:rPr>
        <w:t>E</w:t>
      </w:r>
      <w:r w:rsidRPr="00581AF6">
        <w:rPr>
          <w:rFonts w:ascii="Times New Roman" w:hAnsi="Times New Roman" w:cs="Times New Roman"/>
          <w:iCs/>
          <w:sz w:val="28"/>
          <w:szCs w:val="28"/>
        </w:rPr>
        <w:t xml:space="preserve">stimations of </w:t>
      </w:r>
      <w:r>
        <w:rPr>
          <w:rFonts w:ascii="Times New Roman" w:hAnsi="Times New Roman" w:cs="Times New Roman"/>
          <w:iCs/>
          <w:sz w:val="28"/>
          <w:szCs w:val="28"/>
        </w:rPr>
        <w:t xml:space="preserve">gene module </w:t>
      </w:r>
      <w:r>
        <w:rPr>
          <w:rFonts w:ascii="Times New Roman" w:hAnsi="Times New Roman" w:cs="Times New Roman" w:hint="eastAsia"/>
          <w:iCs/>
          <w:sz w:val="28"/>
          <w:szCs w:val="28"/>
        </w:rPr>
        <w:t>activities</w:t>
      </w:r>
      <w:r>
        <w:rPr>
          <w:rFonts w:ascii="Times New Roman" w:hAnsi="Times New Roman" w:cs="Times New Roman"/>
          <w:iCs/>
          <w:sz w:val="28"/>
          <w:szCs w:val="28"/>
        </w:rPr>
        <w:t xml:space="preserve"> </w:t>
      </w:r>
      <w:r>
        <w:rPr>
          <w:rFonts w:ascii="Times New Roman" w:hAnsi="Times New Roman" w:cs="Times New Roman" w:hint="eastAsia"/>
          <w:iCs/>
          <w:sz w:val="28"/>
          <w:szCs w:val="28"/>
        </w:rPr>
        <w:t>of</w:t>
      </w:r>
      <w:r>
        <w:rPr>
          <w:rFonts w:ascii="Times New Roman" w:hAnsi="Times New Roman" w:cs="Times New Roman"/>
          <w:iCs/>
          <w:sz w:val="28"/>
          <w:szCs w:val="28"/>
        </w:rPr>
        <w:t xml:space="preserve"> fibroblasts </w:t>
      </w:r>
      <w:r w:rsidRPr="00581AF6">
        <w:rPr>
          <w:rFonts w:ascii="Times New Roman" w:hAnsi="Times New Roman" w:cs="Times New Roman"/>
          <w:iCs/>
          <w:sz w:val="28"/>
          <w:szCs w:val="28"/>
        </w:rPr>
        <w:t xml:space="preserve">in </w:t>
      </w:r>
      <w:r>
        <w:rPr>
          <w:rFonts w:ascii="Times New Roman" w:hAnsi="Times New Roman" w:cs="Times New Roman"/>
          <w:iCs/>
          <w:sz w:val="28"/>
          <w:szCs w:val="28"/>
        </w:rPr>
        <w:t>the LUAD dataset</w:t>
      </w:r>
    </w:p>
    <w:p w14:paraId="0D25798C" w14:textId="01673ACE" w:rsidR="00BF62ED" w:rsidRPr="00BF62ED" w:rsidRDefault="00BF62ED" w:rsidP="00BF62ED">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19: </w:t>
      </w:r>
      <w:r>
        <w:rPr>
          <w:rFonts w:ascii="Times New Roman" w:hAnsi="Times New Roman" w:cs="Times New Roman" w:hint="eastAsia"/>
          <w:iCs/>
          <w:sz w:val="28"/>
          <w:szCs w:val="28"/>
        </w:rPr>
        <w:t>E</w:t>
      </w:r>
      <w:r w:rsidRPr="00581AF6">
        <w:rPr>
          <w:rFonts w:ascii="Times New Roman" w:hAnsi="Times New Roman" w:cs="Times New Roman"/>
          <w:iCs/>
          <w:sz w:val="28"/>
          <w:szCs w:val="28"/>
        </w:rPr>
        <w:t xml:space="preserve">stimations of </w:t>
      </w:r>
      <w:r>
        <w:rPr>
          <w:rFonts w:ascii="Times New Roman" w:hAnsi="Times New Roman" w:cs="Times New Roman"/>
          <w:iCs/>
          <w:sz w:val="28"/>
          <w:szCs w:val="28"/>
        </w:rPr>
        <w:t xml:space="preserve">gene module </w:t>
      </w:r>
      <w:r>
        <w:rPr>
          <w:rFonts w:ascii="Times New Roman" w:hAnsi="Times New Roman" w:cs="Times New Roman" w:hint="eastAsia"/>
          <w:iCs/>
          <w:sz w:val="28"/>
          <w:szCs w:val="28"/>
        </w:rPr>
        <w:t>activities</w:t>
      </w:r>
      <w:r>
        <w:rPr>
          <w:rFonts w:ascii="Times New Roman" w:hAnsi="Times New Roman" w:cs="Times New Roman"/>
          <w:iCs/>
          <w:sz w:val="28"/>
          <w:szCs w:val="28"/>
        </w:rPr>
        <w:t xml:space="preserve"> </w:t>
      </w:r>
      <w:r>
        <w:rPr>
          <w:rFonts w:ascii="Times New Roman" w:hAnsi="Times New Roman" w:cs="Times New Roman" w:hint="eastAsia"/>
          <w:iCs/>
          <w:sz w:val="28"/>
          <w:szCs w:val="28"/>
        </w:rPr>
        <w:t>of</w:t>
      </w:r>
      <w:r>
        <w:rPr>
          <w:rFonts w:ascii="Times New Roman" w:hAnsi="Times New Roman" w:cs="Times New Roman"/>
          <w:iCs/>
          <w:sz w:val="28"/>
          <w:szCs w:val="28"/>
        </w:rPr>
        <w:t xml:space="preserve"> neutrophil </w:t>
      </w:r>
      <w:r w:rsidRPr="00581AF6">
        <w:rPr>
          <w:rFonts w:ascii="Times New Roman" w:hAnsi="Times New Roman" w:cs="Times New Roman"/>
          <w:iCs/>
          <w:sz w:val="28"/>
          <w:szCs w:val="28"/>
        </w:rPr>
        <w:t xml:space="preserve">in </w:t>
      </w:r>
      <w:r>
        <w:rPr>
          <w:rFonts w:ascii="Times New Roman" w:hAnsi="Times New Roman" w:cs="Times New Roman"/>
          <w:iCs/>
          <w:sz w:val="28"/>
          <w:szCs w:val="28"/>
        </w:rPr>
        <w:t>the LUAD dataset</w:t>
      </w:r>
    </w:p>
    <w:p w14:paraId="132504FD" w14:textId="3E398689" w:rsidR="009E153B" w:rsidRDefault="009E153B" w:rsidP="009E153B">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sidR="00BF62ED">
        <w:rPr>
          <w:rFonts w:ascii="Times New Roman" w:hAnsi="Times New Roman" w:cs="Times New Roman"/>
          <w:iCs/>
          <w:sz w:val="28"/>
          <w:szCs w:val="28"/>
        </w:rPr>
        <w:t>20</w:t>
      </w:r>
      <w:r>
        <w:rPr>
          <w:rFonts w:ascii="Times New Roman" w:hAnsi="Times New Roman" w:cs="Times New Roman"/>
          <w:iCs/>
          <w:sz w:val="28"/>
          <w:szCs w:val="28"/>
        </w:rPr>
        <w:t xml:space="preserve">: </w:t>
      </w:r>
      <w:r>
        <w:rPr>
          <w:rFonts w:ascii="Times New Roman" w:hAnsi="Times New Roman" w:cs="Times New Roman" w:hint="eastAsia"/>
          <w:iCs/>
          <w:sz w:val="28"/>
          <w:szCs w:val="28"/>
        </w:rPr>
        <w:t>Gene</w:t>
      </w:r>
      <w:r>
        <w:rPr>
          <w:rFonts w:ascii="Times New Roman" w:hAnsi="Times New Roman" w:cs="Times New Roman"/>
          <w:iCs/>
          <w:sz w:val="28"/>
          <w:szCs w:val="28"/>
        </w:rPr>
        <w:t xml:space="preserve"> </w:t>
      </w:r>
      <w:r>
        <w:rPr>
          <w:rFonts w:ascii="Times New Roman" w:hAnsi="Times New Roman" w:cs="Times New Roman" w:hint="eastAsia"/>
          <w:iCs/>
          <w:sz w:val="28"/>
          <w:szCs w:val="28"/>
        </w:rPr>
        <w:t>embeddings</w:t>
      </w:r>
      <w:r>
        <w:rPr>
          <w:rFonts w:ascii="Times New Roman" w:hAnsi="Times New Roman" w:cs="Times New Roman"/>
          <w:iCs/>
          <w:sz w:val="28"/>
          <w:szCs w:val="28"/>
        </w:rPr>
        <w:t xml:space="preserve"> for tumor cell, fibroblasts and neutrophil associated gene module in the </w:t>
      </w:r>
      <w:r>
        <w:rPr>
          <w:rFonts w:ascii="Times New Roman" w:hAnsi="Times New Roman" w:cs="Times New Roman" w:hint="eastAsia"/>
          <w:iCs/>
          <w:sz w:val="28"/>
          <w:szCs w:val="28"/>
        </w:rPr>
        <w:t>BRCA</w:t>
      </w:r>
      <w:r>
        <w:rPr>
          <w:rFonts w:ascii="Times New Roman" w:hAnsi="Times New Roman" w:cs="Times New Roman"/>
          <w:iCs/>
          <w:sz w:val="28"/>
          <w:szCs w:val="28"/>
        </w:rPr>
        <w:t xml:space="preserve"> dataset</w:t>
      </w:r>
    </w:p>
    <w:p w14:paraId="1729B61A" w14:textId="16F2F971" w:rsidR="00F52385" w:rsidRDefault="00BF62ED">
      <w:pPr>
        <w:rPr>
          <w:rFonts w:ascii="Times New Roman" w:hAnsi="Times New Roman" w:cs="Times New Roman"/>
          <w:iCs/>
          <w:sz w:val="28"/>
          <w:szCs w:val="28"/>
        </w:rPr>
      </w:pPr>
      <w:r w:rsidRPr="00F52385">
        <w:rPr>
          <w:rFonts w:ascii="Times New Roman" w:hAnsi="Times New Roman" w:cs="Times New Roman"/>
          <w:iCs/>
          <w:sz w:val="28"/>
          <w:szCs w:val="28"/>
        </w:rPr>
        <w:t>Supplementary Table S</w:t>
      </w:r>
      <w:r>
        <w:rPr>
          <w:rFonts w:ascii="Times New Roman" w:hAnsi="Times New Roman" w:cs="Times New Roman"/>
          <w:iCs/>
          <w:sz w:val="28"/>
          <w:szCs w:val="28"/>
        </w:rPr>
        <w:t xml:space="preserve">21: Neighboring cell types’ effects on gene module in the </w:t>
      </w:r>
      <w:r>
        <w:rPr>
          <w:rFonts w:ascii="Times New Roman" w:hAnsi="Times New Roman" w:cs="Times New Roman" w:hint="eastAsia"/>
          <w:iCs/>
          <w:sz w:val="28"/>
          <w:szCs w:val="28"/>
        </w:rPr>
        <w:t>BRCA</w:t>
      </w:r>
      <w:r>
        <w:rPr>
          <w:rFonts w:ascii="Times New Roman" w:hAnsi="Times New Roman" w:cs="Times New Roman"/>
          <w:iCs/>
          <w:sz w:val="28"/>
          <w:szCs w:val="28"/>
        </w:rPr>
        <w:t xml:space="preserve"> dataset</w:t>
      </w:r>
      <w:bookmarkEnd w:id="2"/>
      <w:bookmarkEnd w:id="3"/>
    </w:p>
    <w:p w14:paraId="7577A3C4" w14:textId="39685972" w:rsidR="00A8787C" w:rsidRPr="00A8787C" w:rsidRDefault="00A8787C" w:rsidP="004E192C">
      <w:pPr>
        <w:rPr>
          <w:rFonts w:ascii="Times New Roman" w:hAnsi="Times New Roman" w:cs="Times New Roman"/>
          <w:iCs/>
          <w:sz w:val="28"/>
          <w:szCs w:val="28"/>
        </w:rPr>
      </w:pPr>
    </w:p>
    <w:sectPr w:rsidR="00A8787C" w:rsidRPr="00A8787C" w:rsidSect="008E5812">
      <w:pgSz w:w="11900" w:h="16840"/>
      <w:pgMar w:top="1440" w:right="1800" w:bottom="1440" w:left="1800" w:header="851" w:footer="992" w:gutter="0"/>
      <w:lnNumType w:countBy="1" w:restart="continuous"/>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162"/>
    <w:multiLevelType w:val="hybridMultilevel"/>
    <w:tmpl w:val="9D3464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26BC6"/>
    <w:multiLevelType w:val="hybridMultilevel"/>
    <w:tmpl w:val="978EB6A8"/>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9745E"/>
    <w:multiLevelType w:val="hybridMultilevel"/>
    <w:tmpl w:val="F350EC3A"/>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3" w15:restartNumberingAfterBreak="0">
    <w:nsid w:val="16F565CE"/>
    <w:multiLevelType w:val="hybridMultilevel"/>
    <w:tmpl w:val="BF4421DC"/>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173C6"/>
    <w:multiLevelType w:val="hybridMultilevel"/>
    <w:tmpl w:val="1116D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F1BC2"/>
    <w:multiLevelType w:val="hybridMultilevel"/>
    <w:tmpl w:val="4162BBCC"/>
    <w:lvl w:ilvl="0" w:tplc="DB7CC42A">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C7362"/>
    <w:multiLevelType w:val="hybridMultilevel"/>
    <w:tmpl w:val="EE4A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C7985"/>
    <w:multiLevelType w:val="hybridMultilevel"/>
    <w:tmpl w:val="6C6E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B10EB"/>
    <w:multiLevelType w:val="hybridMultilevel"/>
    <w:tmpl w:val="898A12A4"/>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C58FE"/>
    <w:multiLevelType w:val="hybridMultilevel"/>
    <w:tmpl w:val="41D2767E"/>
    <w:lvl w:ilvl="0" w:tplc="326A7FBE">
      <w:numFmt w:val="bullet"/>
      <w:lvlText w:val=""/>
      <w:lvlJc w:val="left"/>
      <w:pPr>
        <w:ind w:left="855" w:hanging="360"/>
      </w:pPr>
      <w:rPr>
        <w:rFonts w:ascii="Symbol" w:eastAsia="宋体" w:hAnsi="Symbol" w:cs="Aria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 w15:restartNumberingAfterBreak="0">
    <w:nsid w:val="3E546A7F"/>
    <w:multiLevelType w:val="hybridMultilevel"/>
    <w:tmpl w:val="AE48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AA69E8"/>
    <w:multiLevelType w:val="hybridMultilevel"/>
    <w:tmpl w:val="851CF4DA"/>
    <w:lvl w:ilvl="0" w:tplc="0804FAEA">
      <w:start w:val="2"/>
      <w:numFmt w:val="bullet"/>
      <w:lvlText w:val=""/>
      <w:lvlJc w:val="left"/>
      <w:pPr>
        <w:ind w:left="720" w:hanging="360"/>
      </w:pPr>
      <w:rPr>
        <w:rFonts w:ascii="Symbol" w:eastAsia="宋体"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B2EE6"/>
    <w:multiLevelType w:val="hybridMultilevel"/>
    <w:tmpl w:val="D7C09E0C"/>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14" w15:restartNumberingAfterBreak="0">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99761A"/>
    <w:multiLevelType w:val="multilevel"/>
    <w:tmpl w:val="1B12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7A4CE4"/>
    <w:multiLevelType w:val="hybridMultilevel"/>
    <w:tmpl w:val="3D7A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07702"/>
    <w:multiLevelType w:val="hybridMultilevel"/>
    <w:tmpl w:val="4AFE4ECA"/>
    <w:lvl w:ilvl="0" w:tplc="BB72AE90">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320CD7"/>
    <w:multiLevelType w:val="hybridMultilevel"/>
    <w:tmpl w:val="A94AE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1E588A"/>
    <w:multiLevelType w:val="hybridMultilevel"/>
    <w:tmpl w:val="596AA072"/>
    <w:lvl w:ilvl="0" w:tplc="CF68888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60CA011C"/>
    <w:multiLevelType w:val="hybridMultilevel"/>
    <w:tmpl w:val="780C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135B6F"/>
    <w:multiLevelType w:val="hybridMultilevel"/>
    <w:tmpl w:val="13E0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77816"/>
    <w:multiLevelType w:val="hybridMultilevel"/>
    <w:tmpl w:val="10D04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F677A4"/>
    <w:multiLevelType w:val="hybridMultilevel"/>
    <w:tmpl w:val="59104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5283385">
    <w:abstractNumId w:val="15"/>
  </w:num>
  <w:num w:numId="2" w16cid:durableId="1903636375">
    <w:abstractNumId w:val="12"/>
  </w:num>
  <w:num w:numId="3" w16cid:durableId="1876457759">
    <w:abstractNumId w:val="18"/>
  </w:num>
  <w:num w:numId="4" w16cid:durableId="1546717203">
    <w:abstractNumId w:val="3"/>
  </w:num>
  <w:num w:numId="5" w16cid:durableId="1817529202">
    <w:abstractNumId w:val="1"/>
  </w:num>
  <w:num w:numId="6" w16cid:durableId="135608425">
    <w:abstractNumId w:val="14"/>
  </w:num>
  <w:num w:numId="7" w16cid:durableId="1391925880">
    <w:abstractNumId w:val="5"/>
  </w:num>
  <w:num w:numId="8" w16cid:durableId="427045296">
    <w:abstractNumId w:val="9"/>
  </w:num>
  <w:num w:numId="9" w16cid:durableId="1843472512">
    <w:abstractNumId w:val="10"/>
  </w:num>
  <w:num w:numId="10" w16cid:durableId="10224505">
    <w:abstractNumId w:val="11"/>
  </w:num>
  <w:num w:numId="11" w16cid:durableId="1537161251">
    <w:abstractNumId w:val="24"/>
  </w:num>
  <w:num w:numId="12" w16cid:durableId="1361854840">
    <w:abstractNumId w:val="4"/>
  </w:num>
  <w:num w:numId="13" w16cid:durableId="1417508334">
    <w:abstractNumId w:val="23"/>
  </w:num>
  <w:num w:numId="14" w16cid:durableId="134879575">
    <w:abstractNumId w:val="7"/>
  </w:num>
  <w:num w:numId="15" w16cid:durableId="1142579060">
    <w:abstractNumId w:val="8"/>
  </w:num>
  <w:num w:numId="16" w16cid:durableId="1125275579">
    <w:abstractNumId w:val="21"/>
  </w:num>
  <w:num w:numId="17" w16cid:durableId="2081782927">
    <w:abstractNumId w:val="22"/>
  </w:num>
  <w:num w:numId="18" w16cid:durableId="1302468094">
    <w:abstractNumId w:val="2"/>
  </w:num>
  <w:num w:numId="19" w16cid:durableId="1907572768">
    <w:abstractNumId w:val="19"/>
  </w:num>
  <w:num w:numId="20" w16cid:durableId="1168909172">
    <w:abstractNumId w:val="16"/>
  </w:num>
  <w:num w:numId="21" w16cid:durableId="1447774388">
    <w:abstractNumId w:val="13"/>
  </w:num>
  <w:num w:numId="22" w16cid:durableId="1918710013">
    <w:abstractNumId w:val="6"/>
  </w:num>
  <w:num w:numId="23" w16cid:durableId="469399822">
    <w:abstractNumId w:val="0"/>
  </w:num>
  <w:num w:numId="24" w16cid:durableId="1837913638">
    <w:abstractNumId w:val="17"/>
  </w:num>
  <w:num w:numId="25" w16cid:durableId="6595006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3DA"/>
    <w:rsid w:val="0000281B"/>
    <w:rsid w:val="0000331E"/>
    <w:rsid w:val="00004973"/>
    <w:rsid w:val="0000749D"/>
    <w:rsid w:val="0001415A"/>
    <w:rsid w:val="0001511E"/>
    <w:rsid w:val="00017D98"/>
    <w:rsid w:val="000214E6"/>
    <w:rsid w:val="00022987"/>
    <w:rsid w:val="00025075"/>
    <w:rsid w:val="00025134"/>
    <w:rsid w:val="0002519E"/>
    <w:rsid w:val="000270CE"/>
    <w:rsid w:val="00027BE5"/>
    <w:rsid w:val="00030B45"/>
    <w:rsid w:val="00031079"/>
    <w:rsid w:val="0003225A"/>
    <w:rsid w:val="00036023"/>
    <w:rsid w:val="0003794C"/>
    <w:rsid w:val="000432E8"/>
    <w:rsid w:val="00043CE1"/>
    <w:rsid w:val="00045441"/>
    <w:rsid w:val="00045835"/>
    <w:rsid w:val="000460D1"/>
    <w:rsid w:val="00047684"/>
    <w:rsid w:val="00050645"/>
    <w:rsid w:val="00050A77"/>
    <w:rsid w:val="0005170C"/>
    <w:rsid w:val="0005187A"/>
    <w:rsid w:val="00052123"/>
    <w:rsid w:val="000549D2"/>
    <w:rsid w:val="000554FC"/>
    <w:rsid w:val="00060207"/>
    <w:rsid w:val="00061842"/>
    <w:rsid w:val="00061980"/>
    <w:rsid w:val="0006282B"/>
    <w:rsid w:val="000648CE"/>
    <w:rsid w:val="00072028"/>
    <w:rsid w:val="000723A7"/>
    <w:rsid w:val="00073213"/>
    <w:rsid w:val="000736E1"/>
    <w:rsid w:val="00074C61"/>
    <w:rsid w:val="00075787"/>
    <w:rsid w:val="00075817"/>
    <w:rsid w:val="00076A03"/>
    <w:rsid w:val="00080ED9"/>
    <w:rsid w:val="0008149D"/>
    <w:rsid w:val="00081D21"/>
    <w:rsid w:val="0008477D"/>
    <w:rsid w:val="00085F2C"/>
    <w:rsid w:val="00086CC0"/>
    <w:rsid w:val="00092528"/>
    <w:rsid w:val="00092B43"/>
    <w:rsid w:val="000937CF"/>
    <w:rsid w:val="00095E8D"/>
    <w:rsid w:val="000A2B25"/>
    <w:rsid w:val="000A4308"/>
    <w:rsid w:val="000A45F5"/>
    <w:rsid w:val="000A4E43"/>
    <w:rsid w:val="000A73E1"/>
    <w:rsid w:val="000B6A3F"/>
    <w:rsid w:val="000C6C2A"/>
    <w:rsid w:val="000D286B"/>
    <w:rsid w:val="000D37FB"/>
    <w:rsid w:val="000D566B"/>
    <w:rsid w:val="000E127A"/>
    <w:rsid w:val="000E35F0"/>
    <w:rsid w:val="000E6BC6"/>
    <w:rsid w:val="000F2844"/>
    <w:rsid w:val="000F2E56"/>
    <w:rsid w:val="000F36E7"/>
    <w:rsid w:val="000F6475"/>
    <w:rsid w:val="000F6864"/>
    <w:rsid w:val="00100533"/>
    <w:rsid w:val="00102B37"/>
    <w:rsid w:val="00103983"/>
    <w:rsid w:val="00103ECB"/>
    <w:rsid w:val="00105844"/>
    <w:rsid w:val="00105A82"/>
    <w:rsid w:val="00105E1D"/>
    <w:rsid w:val="00106B1E"/>
    <w:rsid w:val="00110408"/>
    <w:rsid w:val="00110B3B"/>
    <w:rsid w:val="0011204D"/>
    <w:rsid w:val="00112E4B"/>
    <w:rsid w:val="00113E0B"/>
    <w:rsid w:val="001205FB"/>
    <w:rsid w:val="0012076E"/>
    <w:rsid w:val="001209A7"/>
    <w:rsid w:val="00121C38"/>
    <w:rsid w:val="001223B8"/>
    <w:rsid w:val="00123225"/>
    <w:rsid w:val="001239AE"/>
    <w:rsid w:val="00125FB7"/>
    <w:rsid w:val="00130863"/>
    <w:rsid w:val="00130DF3"/>
    <w:rsid w:val="00131199"/>
    <w:rsid w:val="00132879"/>
    <w:rsid w:val="00135FFC"/>
    <w:rsid w:val="0013787E"/>
    <w:rsid w:val="00137BD0"/>
    <w:rsid w:val="00141275"/>
    <w:rsid w:val="00142A11"/>
    <w:rsid w:val="0014311F"/>
    <w:rsid w:val="00144BA4"/>
    <w:rsid w:val="0014766C"/>
    <w:rsid w:val="001508A0"/>
    <w:rsid w:val="00152D14"/>
    <w:rsid w:val="00152E98"/>
    <w:rsid w:val="001536F4"/>
    <w:rsid w:val="001537BE"/>
    <w:rsid w:val="001555CE"/>
    <w:rsid w:val="00165986"/>
    <w:rsid w:val="00166506"/>
    <w:rsid w:val="00167331"/>
    <w:rsid w:val="00167BB3"/>
    <w:rsid w:val="0017080B"/>
    <w:rsid w:val="00172691"/>
    <w:rsid w:val="00172748"/>
    <w:rsid w:val="00176CCB"/>
    <w:rsid w:val="00177297"/>
    <w:rsid w:val="00182D62"/>
    <w:rsid w:val="001866BE"/>
    <w:rsid w:val="00186711"/>
    <w:rsid w:val="00186748"/>
    <w:rsid w:val="001918C0"/>
    <w:rsid w:val="001941CF"/>
    <w:rsid w:val="001947AB"/>
    <w:rsid w:val="00195059"/>
    <w:rsid w:val="00195A7E"/>
    <w:rsid w:val="0019718A"/>
    <w:rsid w:val="001A0842"/>
    <w:rsid w:val="001A0E00"/>
    <w:rsid w:val="001A0EF6"/>
    <w:rsid w:val="001A48CB"/>
    <w:rsid w:val="001A5919"/>
    <w:rsid w:val="001A7D31"/>
    <w:rsid w:val="001B07A9"/>
    <w:rsid w:val="001B1314"/>
    <w:rsid w:val="001B1D70"/>
    <w:rsid w:val="001B2BA5"/>
    <w:rsid w:val="001B4A79"/>
    <w:rsid w:val="001B5DCE"/>
    <w:rsid w:val="001B6BAB"/>
    <w:rsid w:val="001C0B7D"/>
    <w:rsid w:val="001C1695"/>
    <w:rsid w:val="001C2305"/>
    <w:rsid w:val="001C3232"/>
    <w:rsid w:val="001C371E"/>
    <w:rsid w:val="001C41B5"/>
    <w:rsid w:val="001C49C3"/>
    <w:rsid w:val="001D43F8"/>
    <w:rsid w:val="001D5178"/>
    <w:rsid w:val="001D5A35"/>
    <w:rsid w:val="001D5A56"/>
    <w:rsid w:val="001D5B65"/>
    <w:rsid w:val="001D5C17"/>
    <w:rsid w:val="001D6F4E"/>
    <w:rsid w:val="001E03D2"/>
    <w:rsid w:val="001F0157"/>
    <w:rsid w:val="001F0761"/>
    <w:rsid w:val="001F2A06"/>
    <w:rsid w:val="001F3FBC"/>
    <w:rsid w:val="001F5C47"/>
    <w:rsid w:val="001F6BE0"/>
    <w:rsid w:val="002023AF"/>
    <w:rsid w:val="0021308B"/>
    <w:rsid w:val="00213DDC"/>
    <w:rsid w:val="00215EF2"/>
    <w:rsid w:val="00220FAE"/>
    <w:rsid w:val="002237B1"/>
    <w:rsid w:val="00233682"/>
    <w:rsid w:val="00233A07"/>
    <w:rsid w:val="00233C64"/>
    <w:rsid w:val="00236285"/>
    <w:rsid w:val="00241ED3"/>
    <w:rsid w:val="00243C4D"/>
    <w:rsid w:val="00247E47"/>
    <w:rsid w:val="0025273D"/>
    <w:rsid w:val="002567C5"/>
    <w:rsid w:val="00261C6C"/>
    <w:rsid w:val="00262F58"/>
    <w:rsid w:val="00271D1B"/>
    <w:rsid w:val="0027273A"/>
    <w:rsid w:val="002742F5"/>
    <w:rsid w:val="00274CA1"/>
    <w:rsid w:val="00276569"/>
    <w:rsid w:val="00277B14"/>
    <w:rsid w:val="00277C0A"/>
    <w:rsid w:val="00277DB9"/>
    <w:rsid w:val="00280521"/>
    <w:rsid w:val="0028111B"/>
    <w:rsid w:val="002814F6"/>
    <w:rsid w:val="00282126"/>
    <w:rsid w:val="00282164"/>
    <w:rsid w:val="002823CE"/>
    <w:rsid w:val="00282BDD"/>
    <w:rsid w:val="0028301E"/>
    <w:rsid w:val="00283560"/>
    <w:rsid w:val="002835AD"/>
    <w:rsid w:val="00283FB0"/>
    <w:rsid w:val="00284DB3"/>
    <w:rsid w:val="00285796"/>
    <w:rsid w:val="0028653B"/>
    <w:rsid w:val="00286DE3"/>
    <w:rsid w:val="00287396"/>
    <w:rsid w:val="00287D84"/>
    <w:rsid w:val="00290A42"/>
    <w:rsid w:val="00291645"/>
    <w:rsid w:val="00292E7E"/>
    <w:rsid w:val="002943EF"/>
    <w:rsid w:val="00294AA5"/>
    <w:rsid w:val="00295484"/>
    <w:rsid w:val="00295F30"/>
    <w:rsid w:val="002A13CC"/>
    <w:rsid w:val="002A15F9"/>
    <w:rsid w:val="002A1A4A"/>
    <w:rsid w:val="002A4C73"/>
    <w:rsid w:val="002A4FB7"/>
    <w:rsid w:val="002A768E"/>
    <w:rsid w:val="002B08AB"/>
    <w:rsid w:val="002B1052"/>
    <w:rsid w:val="002B1CC5"/>
    <w:rsid w:val="002B3EEB"/>
    <w:rsid w:val="002B62AD"/>
    <w:rsid w:val="002B67EA"/>
    <w:rsid w:val="002B69A4"/>
    <w:rsid w:val="002B7668"/>
    <w:rsid w:val="002C221C"/>
    <w:rsid w:val="002C25F1"/>
    <w:rsid w:val="002C320D"/>
    <w:rsid w:val="002C4FBB"/>
    <w:rsid w:val="002C5AE4"/>
    <w:rsid w:val="002D07A5"/>
    <w:rsid w:val="002D1B53"/>
    <w:rsid w:val="002D4BC1"/>
    <w:rsid w:val="002E01AF"/>
    <w:rsid w:val="002E078C"/>
    <w:rsid w:val="002E2347"/>
    <w:rsid w:val="002E4A29"/>
    <w:rsid w:val="002E5EBD"/>
    <w:rsid w:val="002E795C"/>
    <w:rsid w:val="002F0378"/>
    <w:rsid w:val="002F1B47"/>
    <w:rsid w:val="002F2EA0"/>
    <w:rsid w:val="002F4C6C"/>
    <w:rsid w:val="002F4E46"/>
    <w:rsid w:val="002F55AA"/>
    <w:rsid w:val="002F5806"/>
    <w:rsid w:val="002F741A"/>
    <w:rsid w:val="002F7ADE"/>
    <w:rsid w:val="002F7F93"/>
    <w:rsid w:val="00302C1A"/>
    <w:rsid w:val="00303A4F"/>
    <w:rsid w:val="00303F13"/>
    <w:rsid w:val="00306F58"/>
    <w:rsid w:val="003116C9"/>
    <w:rsid w:val="00315986"/>
    <w:rsid w:val="00316107"/>
    <w:rsid w:val="00321573"/>
    <w:rsid w:val="00322388"/>
    <w:rsid w:val="003233C4"/>
    <w:rsid w:val="003241C4"/>
    <w:rsid w:val="00326041"/>
    <w:rsid w:val="00331893"/>
    <w:rsid w:val="0033396E"/>
    <w:rsid w:val="0033523C"/>
    <w:rsid w:val="00335C52"/>
    <w:rsid w:val="00337623"/>
    <w:rsid w:val="0033789D"/>
    <w:rsid w:val="00343C13"/>
    <w:rsid w:val="003461B6"/>
    <w:rsid w:val="00347ED9"/>
    <w:rsid w:val="00351797"/>
    <w:rsid w:val="00352139"/>
    <w:rsid w:val="00352A6F"/>
    <w:rsid w:val="003531C4"/>
    <w:rsid w:val="00353773"/>
    <w:rsid w:val="00355545"/>
    <w:rsid w:val="0036040F"/>
    <w:rsid w:val="00360E1A"/>
    <w:rsid w:val="00361A2B"/>
    <w:rsid w:val="00364822"/>
    <w:rsid w:val="00364C3A"/>
    <w:rsid w:val="003652AA"/>
    <w:rsid w:val="00365426"/>
    <w:rsid w:val="003674FE"/>
    <w:rsid w:val="00371657"/>
    <w:rsid w:val="00371BAA"/>
    <w:rsid w:val="003746D6"/>
    <w:rsid w:val="003759DD"/>
    <w:rsid w:val="00376A78"/>
    <w:rsid w:val="00376AC0"/>
    <w:rsid w:val="0037733A"/>
    <w:rsid w:val="00377880"/>
    <w:rsid w:val="00381D6C"/>
    <w:rsid w:val="00382BF5"/>
    <w:rsid w:val="00387499"/>
    <w:rsid w:val="0038767D"/>
    <w:rsid w:val="00395555"/>
    <w:rsid w:val="00395A63"/>
    <w:rsid w:val="00395C59"/>
    <w:rsid w:val="003A0E25"/>
    <w:rsid w:val="003A1C1F"/>
    <w:rsid w:val="003A64B6"/>
    <w:rsid w:val="003B2FBE"/>
    <w:rsid w:val="003B400D"/>
    <w:rsid w:val="003C1B8B"/>
    <w:rsid w:val="003C3A0F"/>
    <w:rsid w:val="003C5193"/>
    <w:rsid w:val="003C5E75"/>
    <w:rsid w:val="003C62D7"/>
    <w:rsid w:val="003C67B1"/>
    <w:rsid w:val="003D3230"/>
    <w:rsid w:val="003D4658"/>
    <w:rsid w:val="003D732B"/>
    <w:rsid w:val="003E115C"/>
    <w:rsid w:val="003E3B02"/>
    <w:rsid w:val="003E5493"/>
    <w:rsid w:val="003E6481"/>
    <w:rsid w:val="003F1E44"/>
    <w:rsid w:val="003F1ECD"/>
    <w:rsid w:val="003F5BB2"/>
    <w:rsid w:val="003F6B70"/>
    <w:rsid w:val="003F6BD7"/>
    <w:rsid w:val="003F7D3E"/>
    <w:rsid w:val="004004DC"/>
    <w:rsid w:val="00405485"/>
    <w:rsid w:val="00407E4C"/>
    <w:rsid w:val="00410B69"/>
    <w:rsid w:val="00410FD4"/>
    <w:rsid w:val="0041397A"/>
    <w:rsid w:val="00414743"/>
    <w:rsid w:val="004148AF"/>
    <w:rsid w:val="00414C72"/>
    <w:rsid w:val="00423627"/>
    <w:rsid w:val="004243FB"/>
    <w:rsid w:val="00424E54"/>
    <w:rsid w:val="00427167"/>
    <w:rsid w:val="0043413F"/>
    <w:rsid w:val="004348A4"/>
    <w:rsid w:val="00440943"/>
    <w:rsid w:val="00440FC1"/>
    <w:rsid w:val="0044637F"/>
    <w:rsid w:val="004473B1"/>
    <w:rsid w:val="004507EA"/>
    <w:rsid w:val="00452856"/>
    <w:rsid w:val="004575AF"/>
    <w:rsid w:val="00462332"/>
    <w:rsid w:val="004626F2"/>
    <w:rsid w:val="00463191"/>
    <w:rsid w:val="0046567A"/>
    <w:rsid w:val="004656BB"/>
    <w:rsid w:val="00466D10"/>
    <w:rsid w:val="00466D2F"/>
    <w:rsid w:val="0046709D"/>
    <w:rsid w:val="00471E91"/>
    <w:rsid w:val="00474C9D"/>
    <w:rsid w:val="00474D4B"/>
    <w:rsid w:val="00477684"/>
    <w:rsid w:val="004811B0"/>
    <w:rsid w:val="00481E64"/>
    <w:rsid w:val="00482C3A"/>
    <w:rsid w:val="00483346"/>
    <w:rsid w:val="00483523"/>
    <w:rsid w:val="0048436F"/>
    <w:rsid w:val="004853BE"/>
    <w:rsid w:val="00485953"/>
    <w:rsid w:val="00485FBF"/>
    <w:rsid w:val="00486A0B"/>
    <w:rsid w:val="00486DED"/>
    <w:rsid w:val="0048744A"/>
    <w:rsid w:val="004875C6"/>
    <w:rsid w:val="004877EE"/>
    <w:rsid w:val="00492A6A"/>
    <w:rsid w:val="0049314C"/>
    <w:rsid w:val="00493ADA"/>
    <w:rsid w:val="0049413C"/>
    <w:rsid w:val="004A1415"/>
    <w:rsid w:val="004A2E23"/>
    <w:rsid w:val="004A6794"/>
    <w:rsid w:val="004A7453"/>
    <w:rsid w:val="004B3863"/>
    <w:rsid w:val="004C16ED"/>
    <w:rsid w:val="004C3D52"/>
    <w:rsid w:val="004C53C7"/>
    <w:rsid w:val="004C6BC6"/>
    <w:rsid w:val="004D0BC2"/>
    <w:rsid w:val="004D0C07"/>
    <w:rsid w:val="004D203C"/>
    <w:rsid w:val="004D2066"/>
    <w:rsid w:val="004D3632"/>
    <w:rsid w:val="004D6ED6"/>
    <w:rsid w:val="004D7F82"/>
    <w:rsid w:val="004E192C"/>
    <w:rsid w:val="004E40FB"/>
    <w:rsid w:val="004E62E9"/>
    <w:rsid w:val="004F137A"/>
    <w:rsid w:val="004F2680"/>
    <w:rsid w:val="004F27DE"/>
    <w:rsid w:val="004F47AB"/>
    <w:rsid w:val="004F4DDC"/>
    <w:rsid w:val="004F65CA"/>
    <w:rsid w:val="005010E2"/>
    <w:rsid w:val="00503019"/>
    <w:rsid w:val="0050338C"/>
    <w:rsid w:val="0050389C"/>
    <w:rsid w:val="00503F55"/>
    <w:rsid w:val="005053F5"/>
    <w:rsid w:val="00505FD5"/>
    <w:rsid w:val="005077C0"/>
    <w:rsid w:val="005125F8"/>
    <w:rsid w:val="00512E18"/>
    <w:rsid w:val="00514B26"/>
    <w:rsid w:val="00514E35"/>
    <w:rsid w:val="005174E8"/>
    <w:rsid w:val="005237A8"/>
    <w:rsid w:val="0052543A"/>
    <w:rsid w:val="00530634"/>
    <w:rsid w:val="00530C22"/>
    <w:rsid w:val="0053114D"/>
    <w:rsid w:val="00532CAA"/>
    <w:rsid w:val="00534B15"/>
    <w:rsid w:val="00537157"/>
    <w:rsid w:val="00537D6F"/>
    <w:rsid w:val="00540717"/>
    <w:rsid w:val="00540A69"/>
    <w:rsid w:val="0054270F"/>
    <w:rsid w:val="00542A4F"/>
    <w:rsid w:val="00544471"/>
    <w:rsid w:val="00551970"/>
    <w:rsid w:val="00555395"/>
    <w:rsid w:val="00562094"/>
    <w:rsid w:val="00562F74"/>
    <w:rsid w:val="0056421A"/>
    <w:rsid w:val="005653BB"/>
    <w:rsid w:val="005679E5"/>
    <w:rsid w:val="00572E13"/>
    <w:rsid w:val="005747D6"/>
    <w:rsid w:val="00574AAD"/>
    <w:rsid w:val="0057601F"/>
    <w:rsid w:val="00576832"/>
    <w:rsid w:val="00580847"/>
    <w:rsid w:val="00581AF6"/>
    <w:rsid w:val="00586221"/>
    <w:rsid w:val="005903F5"/>
    <w:rsid w:val="00590728"/>
    <w:rsid w:val="005918DB"/>
    <w:rsid w:val="005A0339"/>
    <w:rsid w:val="005A1764"/>
    <w:rsid w:val="005A1E74"/>
    <w:rsid w:val="005A3CEE"/>
    <w:rsid w:val="005A42DC"/>
    <w:rsid w:val="005B046E"/>
    <w:rsid w:val="005B0C1F"/>
    <w:rsid w:val="005B1B3C"/>
    <w:rsid w:val="005B2B89"/>
    <w:rsid w:val="005B439C"/>
    <w:rsid w:val="005B45B1"/>
    <w:rsid w:val="005B542C"/>
    <w:rsid w:val="005B623F"/>
    <w:rsid w:val="005C03C7"/>
    <w:rsid w:val="005C45CF"/>
    <w:rsid w:val="005C4BB1"/>
    <w:rsid w:val="005C4F2D"/>
    <w:rsid w:val="005C52E2"/>
    <w:rsid w:val="005D0370"/>
    <w:rsid w:val="005D2298"/>
    <w:rsid w:val="005D3308"/>
    <w:rsid w:val="005D4229"/>
    <w:rsid w:val="005D449D"/>
    <w:rsid w:val="005D63FB"/>
    <w:rsid w:val="005D7936"/>
    <w:rsid w:val="005E05E8"/>
    <w:rsid w:val="005E3103"/>
    <w:rsid w:val="005E355E"/>
    <w:rsid w:val="005E392F"/>
    <w:rsid w:val="005E7CFA"/>
    <w:rsid w:val="005F0AFE"/>
    <w:rsid w:val="005F151E"/>
    <w:rsid w:val="005F349E"/>
    <w:rsid w:val="005F35DE"/>
    <w:rsid w:val="005F45D1"/>
    <w:rsid w:val="005F4C27"/>
    <w:rsid w:val="005F5F1C"/>
    <w:rsid w:val="00604AA8"/>
    <w:rsid w:val="00606BCD"/>
    <w:rsid w:val="006076EA"/>
    <w:rsid w:val="00607D86"/>
    <w:rsid w:val="00611D62"/>
    <w:rsid w:val="006133AA"/>
    <w:rsid w:val="006146A9"/>
    <w:rsid w:val="00614F24"/>
    <w:rsid w:val="00616A68"/>
    <w:rsid w:val="006173DA"/>
    <w:rsid w:val="00617A6A"/>
    <w:rsid w:val="0062085D"/>
    <w:rsid w:val="00622230"/>
    <w:rsid w:val="0062374C"/>
    <w:rsid w:val="00624769"/>
    <w:rsid w:val="006249ED"/>
    <w:rsid w:val="0062703E"/>
    <w:rsid w:val="0062704C"/>
    <w:rsid w:val="00640BCA"/>
    <w:rsid w:val="0064320E"/>
    <w:rsid w:val="00646AF8"/>
    <w:rsid w:val="00647C15"/>
    <w:rsid w:val="006524B5"/>
    <w:rsid w:val="0065311B"/>
    <w:rsid w:val="00661128"/>
    <w:rsid w:val="0066271E"/>
    <w:rsid w:val="006629F3"/>
    <w:rsid w:val="0066418B"/>
    <w:rsid w:val="00666D9B"/>
    <w:rsid w:val="0066790C"/>
    <w:rsid w:val="00667A40"/>
    <w:rsid w:val="006700CD"/>
    <w:rsid w:val="0067080B"/>
    <w:rsid w:val="0068065E"/>
    <w:rsid w:val="00680EA3"/>
    <w:rsid w:val="0068178A"/>
    <w:rsid w:val="00683A38"/>
    <w:rsid w:val="00684434"/>
    <w:rsid w:val="006847AF"/>
    <w:rsid w:val="00685526"/>
    <w:rsid w:val="0069003A"/>
    <w:rsid w:val="006944CB"/>
    <w:rsid w:val="00694950"/>
    <w:rsid w:val="00697649"/>
    <w:rsid w:val="006A159F"/>
    <w:rsid w:val="006A3FB2"/>
    <w:rsid w:val="006A411F"/>
    <w:rsid w:val="006A5493"/>
    <w:rsid w:val="006A5681"/>
    <w:rsid w:val="006A6F00"/>
    <w:rsid w:val="006A7462"/>
    <w:rsid w:val="006A760F"/>
    <w:rsid w:val="006B0705"/>
    <w:rsid w:val="006B6828"/>
    <w:rsid w:val="006C2DA4"/>
    <w:rsid w:val="006C4412"/>
    <w:rsid w:val="006C4D2B"/>
    <w:rsid w:val="006C5405"/>
    <w:rsid w:val="006D1882"/>
    <w:rsid w:val="006D55FF"/>
    <w:rsid w:val="006E07CC"/>
    <w:rsid w:val="006E40C0"/>
    <w:rsid w:val="006E40FD"/>
    <w:rsid w:val="006E4361"/>
    <w:rsid w:val="006E4383"/>
    <w:rsid w:val="006E4E57"/>
    <w:rsid w:val="006E78F0"/>
    <w:rsid w:val="006F130E"/>
    <w:rsid w:val="006F51B4"/>
    <w:rsid w:val="006F6013"/>
    <w:rsid w:val="00703053"/>
    <w:rsid w:val="00710BC6"/>
    <w:rsid w:val="0071199D"/>
    <w:rsid w:val="0071608A"/>
    <w:rsid w:val="00720004"/>
    <w:rsid w:val="007218DD"/>
    <w:rsid w:val="007229B8"/>
    <w:rsid w:val="007231F6"/>
    <w:rsid w:val="00724E7D"/>
    <w:rsid w:val="00725A92"/>
    <w:rsid w:val="00726C17"/>
    <w:rsid w:val="00732A75"/>
    <w:rsid w:val="00732EFC"/>
    <w:rsid w:val="00733522"/>
    <w:rsid w:val="00734097"/>
    <w:rsid w:val="0073660E"/>
    <w:rsid w:val="0074393A"/>
    <w:rsid w:val="0074444B"/>
    <w:rsid w:val="00746068"/>
    <w:rsid w:val="00746359"/>
    <w:rsid w:val="0074708F"/>
    <w:rsid w:val="007501BE"/>
    <w:rsid w:val="00751F65"/>
    <w:rsid w:val="0075320B"/>
    <w:rsid w:val="00755B75"/>
    <w:rsid w:val="0075713D"/>
    <w:rsid w:val="00760784"/>
    <w:rsid w:val="00760B78"/>
    <w:rsid w:val="00763600"/>
    <w:rsid w:val="007637A3"/>
    <w:rsid w:val="0076469D"/>
    <w:rsid w:val="0077117A"/>
    <w:rsid w:val="00772B22"/>
    <w:rsid w:val="00772F6A"/>
    <w:rsid w:val="007741AE"/>
    <w:rsid w:val="00775654"/>
    <w:rsid w:val="0077696C"/>
    <w:rsid w:val="007774A2"/>
    <w:rsid w:val="00782433"/>
    <w:rsid w:val="007828AB"/>
    <w:rsid w:val="00787987"/>
    <w:rsid w:val="007917A9"/>
    <w:rsid w:val="007925D9"/>
    <w:rsid w:val="00793A58"/>
    <w:rsid w:val="00796694"/>
    <w:rsid w:val="007A0853"/>
    <w:rsid w:val="007A2A20"/>
    <w:rsid w:val="007A7004"/>
    <w:rsid w:val="007B40A7"/>
    <w:rsid w:val="007B5459"/>
    <w:rsid w:val="007B5747"/>
    <w:rsid w:val="007C0BBF"/>
    <w:rsid w:val="007C1318"/>
    <w:rsid w:val="007C1D22"/>
    <w:rsid w:val="007D0B9D"/>
    <w:rsid w:val="007D2C06"/>
    <w:rsid w:val="007D6D6A"/>
    <w:rsid w:val="007E0345"/>
    <w:rsid w:val="007E07E7"/>
    <w:rsid w:val="007E34BD"/>
    <w:rsid w:val="007E5CC2"/>
    <w:rsid w:val="007F1055"/>
    <w:rsid w:val="007F2CC1"/>
    <w:rsid w:val="007F78AB"/>
    <w:rsid w:val="00802EFB"/>
    <w:rsid w:val="00807698"/>
    <w:rsid w:val="008107F6"/>
    <w:rsid w:val="00810A73"/>
    <w:rsid w:val="00811180"/>
    <w:rsid w:val="008157B7"/>
    <w:rsid w:val="0081580D"/>
    <w:rsid w:val="0081768F"/>
    <w:rsid w:val="00820A80"/>
    <w:rsid w:val="00822AFC"/>
    <w:rsid w:val="00822F97"/>
    <w:rsid w:val="00824164"/>
    <w:rsid w:val="00825740"/>
    <w:rsid w:val="00827B22"/>
    <w:rsid w:val="00827C06"/>
    <w:rsid w:val="008308AB"/>
    <w:rsid w:val="0083377C"/>
    <w:rsid w:val="008338DD"/>
    <w:rsid w:val="00835490"/>
    <w:rsid w:val="00841C73"/>
    <w:rsid w:val="008451C4"/>
    <w:rsid w:val="00847CBF"/>
    <w:rsid w:val="00847E92"/>
    <w:rsid w:val="00851E74"/>
    <w:rsid w:val="0085242B"/>
    <w:rsid w:val="00855C1D"/>
    <w:rsid w:val="00861A35"/>
    <w:rsid w:val="00861AE1"/>
    <w:rsid w:val="0086201F"/>
    <w:rsid w:val="00864F7A"/>
    <w:rsid w:val="0087069A"/>
    <w:rsid w:val="008706AA"/>
    <w:rsid w:val="0087133C"/>
    <w:rsid w:val="00872764"/>
    <w:rsid w:val="00873512"/>
    <w:rsid w:val="00873AC3"/>
    <w:rsid w:val="0088277D"/>
    <w:rsid w:val="00883095"/>
    <w:rsid w:val="0088618E"/>
    <w:rsid w:val="008877A4"/>
    <w:rsid w:val="00893B7A"/>
    <w:rsid w:val="008962B9"/>
    <w:rsid w:val="008A06F0"/>
    <w:rsid w:val="008A13C3"/>
    <w:rsid w:val="008A29A2"/>
    <w:rsid w:val="008A30A8"/>
    <w:rsid w:val="008A4580"/>
    <w:rsid w:val="008A4BFF"/>
    <w:rsid w:val="008A52CE"/>
    <w:rsid w:val="008A672D"/>
    <w:rsid w:val="008A6D00"/>
    <w:rsid w:val="008A7A5A"/>
    <w:rsid w:val="008B1451"/>
    <w:rsid w:val="008B1649"/>
    <w:rsid w:val="008B18F2"/>
    <w:rsid w:val="008B28B9"/>
    <w:rsid w:val="008B57FF"/>
    <w:rsid w:val="008C0229"/>
    <w:rsid w:val="008C0EFA"/>
    <w:rsid w:val="008C10B9"/>
    <w:rsid w:val="008C3C1E"/>
    <w:rsid w:val="008C5B9F"/>
    <w:rsid w:val="008C6EC3"/>
    <w:rsid w:val="008D16E6"/>
    <w:rsid w:val="008D1D82"/>
    <w:rsid w:val="008D2A18"/>
    <w:rsid w:val="008D30BC"/>
    <w:rsid w:val="008D33A7"/>
    <w:rsid w:val="008D643D"/>
    <w:rsid w:val="008E16AF"/>
    <w:rsid w:val="008E173F"/>
    <w:rsid w:val="008E2B85"/>
    <w:rsid w:val="008E44B9"/>
    <w:rsid w:val="008E5812"/>
    <w:rsid w:val="008E6E94"/>
    <w:rsid w:val="008F3B2B"/>
    <w:rsid w:val="008F6CA3"/>
    <w:rsid w:val="008F7014"/>
    <w:rsid w:val="008F71A8"/>
    <w:rsid w:val="0090045C"/>
    <w:rsid w:val="00904303"/>
    <w:rsid w:val="00904A26"/>
    <w:rsid w:val="009069F9"/>
    <w:rsid w:val="0091149E"/>
    <w:rsid w:val="00911915"/>
    <w:rsid w:val="00912F59"/>
    <w:rsid w:val="00912F98"/>
    <w:rsid w:val="00915DD0"/>
    <w:rsid w:val="00917322"/>
    <w:rsid w:val="00922651"/>
    <w:rsid w:val="00922C71"/>
    <w:rsid w:val="00923584"/>
    <w:rsid w:val="0092431A"/>
    <w:rsid w:val="00925514"/>
    <w:rsid w:val="00933CD1"/>
    <w:rsid w:val="00937AB7"/>
    <w:rsid w:val="00940731"/>
    <w:rsid w:val="009420B7"/>
    <w:rsid w:val="00945A50"/>
    <w:rsid w:val="009529E6"/>
    <w:rsid w:val="00956314"/>
    <w:rsid w:val="00957295"/>
    <w:rsid w:val="00960A7C"/>
    <w:rsid w:val="00960E6B"/>
    <w:rsid w:val="009624B9"/>
    <w:rsid w:val="00964564"/>
    <w:rsid w:val="00964CD2"/>
    <w:rsid w:val="00964F34"/>
    <w:rsid w:val="009715A9"/>
    <w:rsid w:val="009731E2"/>
    <w:rsid w:val="00973471"/>
    <w:rsid w:val="009756B4"/>
    <w:rsid w:val="0097584D"/>
    <w:rsid w:val="00977C87"/>
    <w:rsid w:val="009847C5"/>
    <w:rsid w:val="009872E8"/>
    <w:rsid w:val="0098730B"/>
    <w:rsid w:val="00987B87"/>
    <w:rsid w:val="00992440"/>
    <w:rsid w:val="009928F8"/>
    <w:rsid w:val="00992D00"/>
    <w:rsid w:val="0099418F"/>
    <w:rsid w:val="00994401"/>
    <w:rsid w:val="009966AD"/>
    <w:rsid w:val="00997E77"/>
    <w:rsid w:val="00997EF3"/>
    <w:rsid w:val="009A0A9E"/>
    <w:rsid w:val="009A36C3"/>
    <w:rsid w:val="009A4873"/>
    <w:rsid w:val="009A6FAE"/>
    <w:rsid w:val="009B0D79"/>
    <w:rsid w:val="009B0FC9"/>
    <w:rsid w:val="009B4031"/>
    <w:rsid w:val="009B6270"/>
    <w:rsid w:val="009B65F1"/>
    <w:rsid w:val="009C00DE"/>
    <w:rsid w:val="009C0F44"/>
    <w:rsid w:val="009C15E4"/>
    <w:rsid w:val="009C3079"/>
    <w:rsid w:val="009C4493"/>
    <w:rsid w:val="009C6B80"/>
    <w:rsid w:val="009C717C"/>
    <w:rsid w:val="009D11E4"/>
    <w:rsid w:val="009D2759"/>
    <w:rsid w:val="009D2A42"/>
    <w:rsid w:val="009D338D"/>
    <w:rsid w:val="009D5E28"/>
    <w:rsid w:val="009D720B"/>
    <w:rsid w:val="009E0EDA"/>
    <w:rsid w:val="009E0F63"/>
    <w:rsid w:val="009E153B"/>
    <w:rsid w:val="009E189C"/>
    <w:rsid w:val="009E19AB"/>
    <w:rsid w:val="009E2BD6"/>
    <w:rsid w:val="009E3720"/>
    <w:rsid w:val="009F0280"/>
    <w:rsid w:val="009F0362"/>
    <w:rsid w:val="009F08E2"/>
    <w:rsid w:val="009F7620"/>
    <w:rsid w:val="00A002E2"/>
    <w:rsid w:val="00A00473"/>
    <w:rsid w:val="00A06AD4"/>
    <w:rsid w:val="00A06DDF"/>
    <w:rsid w:val="00A06FB3"/>
    <w:rsid w:val="00A126E5"/>
    <w:rsid w:val="00A14B71"/>
    <w:rsid w:val="00A14E76"/>
    <w:rsid w:val="00A1583A"/>
    <w:rsid w:val="00A16345"/>
    <w:rsid w:val="00A1681F"/>
    <w:rsid w:val="00A21DBC"/>
    <w:rsid w:val="00A23519"/>
    <w:rsid w:val="00A255C3"/>
    <w:rsid w:val="00A257C2"/>
    <w:rsid w:val="00A334B5"/>
    <w:rsid w:val="00A339BF"/>
    <w:rsid w:val="00A33BBA"/>
    <w:rsid w:val="00A3480A"/>
    <w:rsid w:val="00A37712"/>
    <w:rsid w:val="00A408EE"/>
    <w:rsid w:val="00A41EC6"/>
    <w:rsid w:val="00A43158"/>
    <w:rsid w:val="00A4400B"/>
    <w:rsid w:val="00A46A02"/>
    <w:rsid w:val="00A51281"/>
    <w:rsid w:val="00A5379F"/>
    <w:rsid w:val="00A5465F"/>
    <w:rsid w:val="00A555CC"/>
    <w:rsid w:val="00A55F31"/>
    <w:rsid w:val="00A62C3B"/>
    <w:rsid w:val="00A6376F"/>
    <w:rsid w:val="00A63988"/>
    <w:rsid w:val="00A66070"/>
    <w:rsid w:val="00A660B2"/>
    <w:rsid w:val="00A677AE"/>
    <w:rsid w:val="00A67814"/>
    <w:rsid w:val="00A67B98"/>
    <w:rsid w:val="00A70DE8"/>
    <w:rsid w:val="00A72B4A"/>
    <w:rsid w:val="00A75532"/>
    <w:rsid w:val="00A83C25"/>
    <w:rsid w:val="00A84D85"/>
    <w:rsid w:val="00A8787C"/>
    <w:rsid w:val="00A926A6"/>
    <w:rsid w:val="00A935D6"/>
    <w:rsid w:val="00A93B8B"/>
    <w:rsid w:val="00A969F2"/>
    <w:rsid w:val="00AA3F81"/>
    <w:rsid w:val="00AA57EB"/>
    <w:rsid w:val="00AA5A9C"/>
    <w:rsid w:val="00AB04E6"/>
    <w:rsid w:val="00AB35F8"/>
    <w:rsid w:val="00AB41AD"/>
    <w:rsid w:val="00AB4C64"/>
    <w:rsid w:val="00AB6299"/>
    <w:rsid w:val="00AB6EDF"/>
    <w:rsid w:val="00AC133D"/>
    <w:rsid w:val="00AC1458"/>
    <w:rsid w:val="00AC7ADF"/>
    <w:rsid w:val="00AD136B"/>
    <w:rsid w:val="00AD6D21"/>
    <w:rsid w:val="00AE0849"/>
    <w:rsid w:val="00AE0C61"/>
    <w:rsid w:val="00AE1618"/>
    <w:rsid w:val="00AE1BE9"/>
    <w:rsid w:val="00AE2733"/>
    <w:rsid w:val="00AE2C31"/>
    <w:rsid w:val="00AE2DCB"/>
    <w:rsid w:val="00AE4886"/>
    <w:rsid w:val="00AE726E"/>
    <w:rsid w:val="00AE7F7E"/>
    <w:rsid w:val="00AF18A9"/>
    <w:rsid w:val="00AF2BBE"/>
    <w:rsid w:val="00AF32D2"/>
    <w:rsid w:val="00AF3B77"/>
    <w:rsid w:val="00AF6DE6"/>
    <w:rsid w:val="00B00142"/>
    <w:rsid w:val="00B03B5D"/>
    <w:rsid w:val="00B04240"/>
    <w:rsid w:val="00B052DB"/>
    <w:rsid w:val="00B05885"/>
    <w:rsid w:val="00B06201"/>
    <w:rsid w:val="00B10F56"/>
    <w:rsid w:val="00B1168B"/>
    <w:rsid w:val="00B2035F"/>
    <w:rsid w:val="00B21757"/>
    <w:rsid w:val="00B3084E"/>
    <w:rsid w:val="00B3682C"/>
    <w:rsid w:val="00B37589"/>
    <w:rsid w:val="00B37971"/>
    <w:rsid w:val="00B42F80"/>
    <w:rsid w:val="00B44B95"/>
    <w:rsid w:val="00B452ED"/>
    <w:rsid w:val="00B46DA5"/>
    <w:rsid w:val="00B46EED"/>
    <w:rsid w:val="00B5108D"/>
    <w:rsid w:val="00B52CC6"/>
    <w:rsid w:val="00B5308D"/>
    <w:rsid w:val="00B54739"/>
    <w:rsid w:val="00B55769"/>
    <w:rsid w:val="00B57941"/>
    <w:rsid w:val="00B60766"/>
    <w:rsid w:val="00B60815"/>
    <w:rsid w:val="00B63BB9"/>
    <w:rsid w:val="00B655E4"/>
    <w:rsid w:val="00B6583C"/>
    <w:rsid w:val="00B67B46"/>
    <w:rsid w:val="00B67D94"/>
    <w:rsid w:val="00B7193E"/>
    <w:rsid w:val="00B74F70"/>
    <w:rsid w:val="00B7611F"/>
    <w:rsid w:val="00B775B3"/>
    <w:rsid w:val="00B82999"/>
    <w:rsid w:val="00B83324"/>
    <w:rsid w:val="00B84365"/>
    <w:rsid w:val="00B8477D"/>
    <w:rsid w:val="00B858B0"/>
    <w:rsid w:val="00B85F9B"/>
    <w:rsid w:val="00B91317"/>
    <w:rsid w:val="00B91C7F"/>
    <w:rsid w:val="00B96317"/>
    <w:rsid w:val="00BA071E"/>
    <w:rsid w:val="00BA2D4B"/>
    <w:rsid w:val="00BA540D"/>
    <w:rsid w:val="00BA5B65"/>
    <w:rsid w:val="00BC7888"/>
    <w:rsid w:val="00BD2951"/>
    <w:rsid w:val="00BD662C"/>
    <w:rsid w:val="00BE17CA"/>
    <w:rsid w:val="00BE2EB3"/>
    <w:rsid w:val="00BF3D6B"/>
    <w:rsid w:val="00BF3F4A"/>
    <w:rsid w:val="00BF4D1F"/>
    <w:rsid w:val="00BF62ED"/>
    <w:rsid w:val="00BF63EF"/>
    <w:rsid w:val="00BF763B"/>
    <w:rsid w:val="00C13D6F"/>
    <w:rsid w:val="00C14729"/>
    <w:rsid w:val="00C1642E"/>
    <w:rsid w:val="00C16FBC"/>
    <w:rsid w:val="00C17676"/>
    <w:rsid w:val="00C2038E"/>
    <w:rsid w:val="00C216D1"/>
    <w:rsid w:val="00C249BD"/>
    <w:rsid w:val="00C25041"/>
    <w:rsid w:val="00C254FA"/>
    <w:rsid w:val="00C269E5"/>
    <w:rsid w:val="00C27A41"/>
    <w:rsid w:val="00C31CD8"/>
    <w:rsid w:val="00C37055"/>
    <w:rsid w:val="00C378EA"/>
    <w:rsid w:val="00C41D30"/>
    <w:rsid w:val="00C45C4F"/>
    <w:rsid w:val="00C47297"/>
    <w:rsid w:val="00C51215"/>
    <w:rsid w:val="00C52493"/>
    <w:rsid w:val="00C535EF"/>
    <w:rsid w:val="00C543E1"/>
    <w:rsid w:val="00C54ED5"/>
    <w:rsid w:val="00C5529B"/>
    <w:rsid w:val="00C57610"/>
    <w:rsid w:val="00C57F08"/>
    <w:rsid w:val="00C60EFD"/>
    <w:rsid w:val="00C61174"/>
    <w:rsid w:val="00C6422D"/>
    <w:rsid w:val="00C66193"/>
    <w:rsid w:val="00C6660B"/>
    <w:rsid w:val="00C701C1"/>
    <w:rsid w:val="00C71261"/>
    <w:rsid w:val="00C724C5"/>
    <w:rsid w:val="00C72CA5"/>
    <w:rsid w:val="00C75D9C"/>
    <w:rsid w:val="00C8111F"/>
    <w:rsid w:val="00C81D13"/>
    <w:rsid w:val="00C828AA"/>
    <w:rsid w:val="00C86DB5"/>
    <w:rsid w:val="00C919F5"/>
    <w:rsid w:val="00C924B3"/>
    <w:rsid w:val="00C92B4B"/>
    <w:rsid w:val="00C9588D"/>
    <w:rsid w:val="00C95CEB"/>
    <w:rsid w:val="00C97E6B"/>
    <w:rsid w:val="00CA4B56"/>
    <w:rsid w:val="00CA5012"/>
    <w:rsid w:val="00CA5CF5"/>
    <w:rsid w:val="00CA6DD4"/>
    <w:rsid w:val="00CA755A"/>
    <w:rsid w:val="00CB4FD7"/>
    <w:rsid w:val="00CB5EF4"/>
    <w:rsid w:val="00CC4BEC"/>
    <w:rsid w:val="00CC559B"/>
    <w:rsid w:val="00CD4022"/>
    <w:rsid w:val="00CD4F10"/>
    <w:rsid w:val="00CE00F4"/>
    <w:rsid w:val="00CE1DA0"/>
    <w:rsid w:val="00CE30F1"/>
    <w:rsid w:val="00CE3673"/>
    <w:rsid w:val="00CE55CE"/>
    <w:rsid w:val="00CE6120"/>
    <w:rsid w:val="00CE6271"/>
    <w:rsid w:val="00CF0156"/>
    <w:rsid w:val="00CF30A8"/>
    <w:rsid w:val="00CF36C9"/>
    <w:rsid w:val="00CF401D"/>
    <w:rsid w:val="00CF4057"/>
    <w:rsid w:val="00CF40E3"/>
    <w:rsid w:val="00CF4270"/>
    <w:rsid w:val="00CF44E2"/>
    <w:rsid w:val="00CF74EF"/>
    <w:rsid w:val="00CF7BC8"/>
    <w:rsid w:val="00CF7E25"/>
    <w:rsid w:val="00D00154"/>
    <w:rsid w:val="00D01724"/>
    <w:rsid w:val="00D03468"/>
    <w:rsid w:val="00D03F5E"/>
    <w:rsid w:val="00D04225"/>
    <w:rsid w:val="00D1362C"/>
    <w:rsid w:val="00D14469"/>
    <w:rsid w:val="00D1610E"/>
    <w:rsid w:val="00D165BF"/>
    <w:rsid w:val="00D16C40"/>
    <w:rsid w:val="00D20D27"/>
    <w:rsid w:val="00D20F58"/>
    <w:rsid w:val="00D21ACC"/>
    <w:rsid w:val="00D21FFA"/>
    <w:rsid w:val="00D2206C"/>
    <w:rsid w:val="00D224AF"/>
    <w:rsid w:val="00D24B01"/>
    <w:rsid w:val="00D25D43"/>
    <w:rsid w:val="00D27607"/>
    <w:rsid w:val="00D329C1"/>
    <w:rsid w:val="00D36562"/>
    <w:rsid w:val="00D36EC0"/>
    <w:rsid w:val="00D374C3"/>
    <w:rsid w:val="00D37EB6"/>
    <w:rsid w:val="00D448A3"/>
    <w:rsid w:val="00D46A8C"/>
    <w:rsid w:val="00D47DFA"/>
    <w:rsid w:val="00D516C0"/>
    <w:rsid w:val="00D61A91"/>
    <w:rsid w:val="00D6777A"/>
    <w:rsid w:val="00D70E8E"/>
    <w:rsid w:val="00D71D3B"/>
    <w:rsid w:val="00D74384"/>
    <w:rsid w:val="00D74DA7"/>
    <w:rsid w:val="00D77143"/>
    <w:rsid w:val="00D82D71"/>
    <w:rsid w:val="00D837B2"/>
    <w:rsid w:val="00D851C4"/>
    <w:rsid w:val="00D85B2C"/>
    <w:rsid w:val="00D8737F"/>
    <w:rsid w:val="00DA0E5F"/>
    <w:rsid w:val="00DA4E66"/>
    <w:rsid w:val="00DA61AC"/>
    <w:rsid w:val="00DA70F9"/>
    <w:rsid w:val="00DA7820"/>
    <w:rsid w:val="00DB3A1D"/>
    <w:rsid w:val="00DB4E19"/>
    <w:rsid w:val="00DC44F8"/>
    <w:rsid w:val="00DC4A56"/>
    <w:rsid w:val="00DC5E4D"/>
    <w:rsid w:val="00DC758C"/>
    <w:rsid w:val="00DC7E43"/>
    <w:rsid w:val="00DD2AC6"/>
    <w:rsid w:val="00DD351A"/>
    <w:rsid w:val="00DD3DB7"/>
    <w:rsid w:val="00DD612C"/>
    <w:rsid w:val="00DD6A27"/>
    <w:rsid w:val="00DE0386"/>
    <w:rsid w:val="00DE23A5"/>
    <w:rsid w:val="00DE38CF"/>
    <w:rsid w:val="00DF122F"/>
    <w:rsid w:val="00DF1E6E"/>
    <w:rsid w:val="00DF29F2"/>
    <w:rsid w:val="00DF3B72"/>
    <w:rsid w:val="00DF3E4A"/>
    <w:rsid w:val="00DF7712"/>
    <w:rsid w:val="00E00EE3"/>
    <w:rsid w:val="00E020C0"/>
    <w:rsid w:val="00E05EEC"/>
    <w:rsid w:val="00E077DA"/>
    <w:rsid w:val="00E07F9D"/>
    <w:rsid w:val="00E121AA"/>
    <w:rsid w:val="00E12AEC"/>
    <w:rsid w:val="00E14BA4"/>
    <w:rsid w:val="00E1619F"/>
    <w:rsid w:val="00E174FC"/>
    <w:rsid w:val="00E2153D"/>
    <w:rsid w:val="00E21994"/>
    <w:rsid w:val="00E23885"/>
    <w:rsid w:val="00E23A47"/>
    <w:rsid w:val="00E26633"/>
    <w:rsid w:val="00E2772C"/>
    <w:rsid w:val="00E27ACF"/>
    <w:rsid w:val="00E3161B"/>
    <w:rsid w:val="00E32F7A"/>
    <w:rsid w:val="00E34A33"/>
    <w:rsid w:val="00E34EFA"/>
    <w:rsid w:val="00E43C44"/>
    <w:rsid w:val="00E50383"/>
    <w:rsid w:val="00E50669"/>
    <w:rsid w:val="00E52256"/>
    <w:rsid w:val="00E53039"/>
    <w:rsid w:val="00E561EC"/>
    <w:rsid w:val="00E56B6F"/>
    <w:rsid w:val="00E603DC"/>
    <w:rsid w:val="00E610FC"/>
    <w:rsid w:val="00E6398B"/>
    <w:rsid w:val="00E66A21"/>
    <w:rsid w:val="00E7076C"/>
    <w:rsid w:val="00E70D00"/>
    <w:rsid w:val="00E715D1"/>
    <w:rsid w:val="00E72C84"/>
    <w:rsid w:val="00E739EE"/>
    <w:rsid w:val="00E75D12"/>
    <w:rsid w:val="00E81987"/>
    <w:rsid w:val="00E82D9E"/>
    <w:rsid w:val="00E85FAA"/>
    <w:rsid w:val="00E86314"/>
    <w:rsid w:val="00E86D3D"/>
    <w:rsid w:val="00E86F4E"/>
    <w:rsid w:val="00E9063B"/>
    <w:rsid w:val="00E91978"/>
    <w:rsid w:val="00E95C85"/>
    <w:rsid w:val="00E97547"/>
    <w:rsid w:val="00EA2DAE"/>
    <w:rsid w:val="00EA36DB"/>
    <w:rsid w:val="00EA381F"/>
    <w:rsid w:val="00EA38A6"/>
    <w:rsid w:val="00EA45EF"/>
    <w:rsid w:val="00EA481D"/>
    <w:rsid w:val="00EA6D5B"/>
    <w:rsid w:val="00EB1979"/>
    <w:rsid w:val="00EB27EF"/>
    <w:rsid w:val="00EB3FDB"/>
    <w:rsid w:val="00EB75D9"/>
    <w:rsid w:val="00EC0FC9"/>
    <w:rsid w:val="00EC229C"/>
    <w:rsid w:val="00EC31D9"/>
    <w:rsid w:val="00EC3DA5"/>
    <w:rsid w:val="00EC4ABF"/>
    <w:rsid w:val="00ED30F9"/>
    <w:rsid w:val="00ED3AF2"/>
    <w:rsid w:val="00ED41C7"/>
    <w:rsid w:val="00ED4FA7"/>
    <w:rsid w:val="00ED7307"/>
    <w:rsid w:val="00EE170C"/>
    <w:rsid w:val="00EE2C34"/>
    <w:rsid w:val="00EE3329"/>
    <w:rsid w:val="00EE46B9"/>
    <w:rsid w:val="00EE7895"/>
    <w:rsid w:val="00EF1494"/>
    <w:rsid w:val="00EF15A9"/>
    <w:rsid w:val="00EF3613"/>
    <w:rsid w:val="00EF3651"/>
    <w:rsid w:val="00EF4554"/>
    <w:rsid w:val="00EF4926"/>
    <w:rsid w:val="00EF511A"/>
    <w:rsid w:val="00EF60F3"/>
    <w:rsid w:val="00F00AA2"/>
    <w:rsid w:val="00F0111E"/>
    <w:rsid w:val="00F01134"/>
    <w:rsid w:val="00F02EB6"/>
    <w:rsid w:val="00F047FC"/>
    <w:rsid w:val="00F04C04"/>
    <w:rsid w:val="00F05DFA"/>
    <w:rsid w:val="00F067D4"/>
    <w:rsid w:val="00F0705F"/>
    <w:rsid w:val="00F10B5D"/>
    <w:rsid w:val="00F22CE9"/>
    <w:rsid w:val="00F30B91"/>
    <w:rsid w:val="00F37435"/>
    <w:rsid w:val="00F4094D"/>
    <w:rsid w:val="00F41A62"/>
    <w:rsid w:val="00F41FAE"/>
    <w:rsid w:val="00F434D3"/>
    <w:rsid w:val="00F459E2"/>
    <w:rsid w:val="00F501A7"/>
    <w:rsid w:val="00F52385"/>
    <w:rsid w:val="00F52C0B"/>
    <w:rsid w:val="00F54DEB"/>
    <w:rsid w:val="00F55FDE"/>
    <w:rsid w:val="00F560A9"/>
    <w:rsid w:val="00F60E1E"/>
    <w:rsid w:val="00F615B2"/>
    <w:rsid w:val="00F621B0"/>
    <w:rsid w:val="00F66704"/>
    <w:rsid w:val="00F710F7"/>
    <w:rsid w:val="00F72381"/>
    <w:rsid w:val="00F73484"/>
    <w:rsid w:val="00F74DD1"/>
    <w:rsid w:val="00F75081"/>
    <w:rsid w:val="00F755A8"/>
    <w:rsid w:val="00F7576F"/>
    <w:rsid w:val="00F766A8"/>
    <w:rsid w:val="00F77B33"/>
    <w:rsid w:val="00F77BE1"/>
    <w:rsid w:val="00F83B42"/>
    <w:rsid w:val="00F86983"/>
    <w:rsid w:val="00F92988"/>
    <w:rsid w:val="00F94CBD"/>
    <w:rsid w:val="00F955EE"/>
    <w:rsid w:val="00FA0ABF"/>
    <w:rsid w:val="00FA1C9E"/>
    <w:rsid w:val="00FA3170"/>
    <w:rsid w:val="00FA43A3"/>
    <w:rsid w:val="00FA48B2"/>
    <w:rsid w:val="00FB254E"/>
    <w:rsid w:val="00FB2A32"/>
    <w:rsid w:val="00FB3274"/>
    <w:rsid w:val="00FB71CC"/>
    <w:rsid w:val="00FB7486"/>
    <w:rsid w:val="00FC3993"/>
    <w:rsid w:val="00FC4F47"/>
    <w:rsid w:val="00FC50BC"/>
    <w:rsid w:val="00FC55B7"/>
    <w:rsid w:val="00FC69CF"/>
    <w:rsid w:val="00FC7725"/>
    <w:rsid w:val="00FD1761"/>
    <w:rsid w:val="00FD3A54"/>
    <w:rsid w:val="00FD664E"/>
    <w:rsid w:val="00FD712C"/>
    <w:rsid w:val="00FE0523"/>
    <w:rsid w:val="00FE48C4"/>
    <w:rsid w:val="00FE51AF"/>
    <w:rsid w:val="00FF03DF"/>
    <w:rsid w:val="00FF1DF6"/>
    <w:rsid w:val="00FF46B2"/>
    <w:rsid w:val="00FF49AA"/>
    <w:rsid w:val="00FF6482"/>
    <w:rsid w:val="00FF7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C594C3"/>
  <w15:chartTrackingRefBased/>
  <w15:docId w15:val="{51E26123-0767-3B4B-B7F6-749C6F92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87C"/>
    <w:rPr>
      <w:rFonts w:ascii="宋体" w:eastAsia="宋体" w:hAnsi="宋体" w:cs="宋体"/>
      <w:kern w:val="0"/>
      <w:sz w:val="24"/>
    </w:rPr>
  </w:style>
  <w:style w:type="paragraph" w:styleId="1">
    <w:name w:val="heading 1"/>
    <w:basedOn w:val="a"/>
    <w:next w:val="a"/>
    <w:link w:val="10"/>
    <w:uiPriority w:val="9"/>
    <w:qFormat/>
    <w:rsid w:val="006173DA"/>
    <w:pPr>
      <w:keepNext/>
      <w:keepLines/>
      <w:widowControl w:val="0"/>
      <w:spacing w:before="480" w:after="80"/>
      <w:jc w:val="both"/>
      <w:outlineLvl w:val="0"/>
    </w:pPr>
    <w:rPr>
      <w:rFonts w:asciiTheme="majorHAnsi" w:eastAsiaTheme="majorEastAsia" w:hAnsiTheme="majorHAnsi" w:cstheme="majorBidi"/>
      <w:color w:val="2F5496" w:themeColor="accent1" w:themeShade="BF"/>
      <w:kern w:val="2"/>
      <w:sz w:val="48"/>
      <w:szCs w:val="48"/>
    </w:rPr>
  </w:style>
  <w:style w:type="paragraph" w:styleId="2">
    <w:name w:val="heading 2"/>
    <w:basedOn w:val="a"/>
    <w:next w:val="a"/>
    <w:link w:val="20"/>
    <w:uiPriority w:val="9"/>
    <w:semiHidden/>
    <w:unhideWhenUsed/>
    <w:qFormat/>
    <w:rsid w:val="006173DA"/>
    <w:pPr>
      <w:keepNext/>
      <w:keepLines/>
      <w:widowControl w:val="0"/>
      <w:spacing w:before="160" w:after="80"/>
      <w:jc w:val="both"/>
      <w:outlineLvl w:val="1"/>
    </w:pPr>
    <w:rPr>
      <w:rFonts w:asciiTheme="majorHAnsi" w:eastAsiaTheme="majorEastAsia" w:hAnsiTheme="majorHAnsi" w:cstheme="majorBidi"/>
      <w:color w:val="2F5496" w:themeColor="accent1" w:themeShade="BF"/>
      <w:kern w:val="2"/>
      <w:sz w:val="40"/>
      <w:szCs w:val="40"/>
    </w:rPr>
  </w:style>
  <w:style w:type="paragraph" w:styleId="3">
    <w:name w:val="heading 3"/>
    <w:basedOn w:val="a"/>
    <w:next w:val="a"/>
    <w:link w:val="30"/>
    <w:uiPriority w:val="9"/>
    <w:unhideWhenUsed/>
    <w:qFormat/>
    <w:rsid w:val="006173DA"/>
    <w:pPr>
      <w:keepNext/>
      <w:keepLines/>
      <w:widowControl w:val="0"/>
      <w:spacing w:before="160" w:after="80"/>
      <w:jc w:val="both"/>
      <w:outlineLvl w:val="2"/>
    </w:pPr>
    <w:rPr>
      <w:rFonts w:asciiTheme="majorHAnsi" w:eastAsiaTheme="majorEastAsia" w:hAnsiTheme="majorHAnsi" w:cstheme="majorBidi"/>
      <w:color w:val="2F5496" w:themeColor="accent1" w:themeShade="BF"/>
      <w:kern w:val="2"/>
      <w:sz w:val="32"/>
      <w:szCs w:val="32"/>
    </w:rPr>
  </w:style>
  <w:style w:type="paragraph" w:styleId="4">
    <w:name w:val="heading 4"/>
    <w:basedOn w:val="a"/>
    <w:next w:val="a"/>
    <w:link w:val="40"/>
    <w:uiPriority w:val="9"/>
    <w:semiHidden/>
    <w:unhideWhenUsed/>
    <w:qFormat/>
    <w:rsid w:val="006173DA"/>
    <w:pPr>
      <w:keepNext/>
      <w:keepLines/>
      <w:widowControl w:val="0"/>
      <w:spacing w:before="80" w:after="40"/>
      <w:jc w:val="both"/>
      <w:outlineLvl w:val="3"/>
    </w:pPr>
    <w:rPr>
      <w:rFonts w:asciiTheme="minorHAnsi" w:eastAsiaTheme="minorEastAsia" w:hAnsiTheme="minorHAnsi" w:cstheme="majorBidi"/>
      <w:color w:val="2F5496" w:themeColor="accent1" w:themeShade="BF"/>
      <w:kern w:val="2"/>
      <w:sz w:val="28"/>
      <w:szCs w:val="28"/>
    </w:rPr>
  </w:style>
  <w:style w:type="paragraph" w:styleId="5">
    <w:name w:val="heading 5"/>
    <w:basedOn w:val="a"/>
    <w:next w:val="a"/>
    <w:link w:val="50"/>
    <w:uiPriority w:val="9"/>
    <w:semiHidden/>
    <w:unhideWhenUsed/>
    <w:qFormat/>
    <w:rsid w:val="006173DA"/>
    <w:pPr>
      <w:keepNext/>
      <w:keepLines/>
      <w:widowControl w:val="0"/>
      <w:spacing w:before="80" w:after="40"/>
      <w:jc w:val="both"/>
      <w:outlineLvl w:val="4"/>
    </w:pPr>
    <w:rPr>
      <w:rFonts w:asciiTheme="minorHAnsi" w:eastAsiaTheme="minorEastAsia" w:hAnsiTheme="minorHAnsi" w:cstheme="majorBidi"/>
      <w:color w:val="2F5496" w:themeColor="accent1" w:themeShade="BF"/>
      <w:kern w:val="2"/>
    </w:rPr>
  </w:style>
  <w:style w:type="paragraph" w:styleId="6">
    <w:name w:val="heading 6"/>
    <w:basedOn w:val="a"/>
    <w:next w:val="a"/>
    <w:link w:val="60"/>
    <w:uiPriority w:val="9"/>
    <w:semiHidden/>
    <w:unhideWhenUsed/>
    <w:qFormat/>
    <w:rsid w:val="006173DA"/>
    <w:pPr>
      <w:keepNext/>
      <w:keepLines/>
      <w:widowControl w:val="0"/>
      <w:spacing w:before="40"/>
      <w:jc w:val="both"/>
      <w:outlineLvl w:val="5"/>
    </w:pPr>
    <w:rPr>
      <w:rFonts w:asciiTheme="minorHAnsi" w:eastAsiaTheme="minorEastAsia" w:hAnsiTheme="minorHAnsi" w:cstheme="majorBidi"/>
      <w:b/>
      <w:bCs/>
      <w:color w:val="2F5496" w:themeColor="accent1" w:themeShade="BF"/>
      <w:kern w:val="2"/>
      <w:sz w:val="21"/>
      <w:szCs w:val="22"/>
    </w:rPr>
  </w:style>
  <w:style w:type="paragraph" w:styleId="7">
    <w:name w:val="heading 7"/>
    <w:basedOn w:val="a"/>
    <w:next w:val="a"/>
    <w:link w:val="70"/>
    <w:uiPriority w:val="9"/>
    <w:semiHidden/>
    <w:unhideWhenUsed/>
    <w:qFormat/>
    <w:rsid w:val="006173DA"/>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szCs w:val="22"/>
    </w:rPr>
  </w:style>
  <w:style w:type="paragraph" w:styleId="8">
    <w:name w:val="heading 8"/>
    <w:basedOn w:val="a"/>
    <w:next w:val="a"/>
    <w:link w:val="80"/>
    <w:uiPriority w:val="9"/>
    <w:semiHidden/>
    <w:unhideWhenUsed/>
    <w:qFormat/>
    <w:rsid w:val="006173DA"/>
    <w:pPr>
      <w:keepNext/>
      <w:keepLines/>
      <w:widowControl w:val="0"/>
      <w:jc w:val="both"/>
      <w:outlineLvl w:val="7"/>
    </w:pPr>
    <w:rPr>
      <w:rFonts w:asciiTheme="minorHAnsi" w:eastAsiaTheme="minorEastAsia" w:hAnsiTheme="minorHAnsi" w:cstheme="majorBidi"/>
      <w:color w:val="595959" w:themeColor="text1" w:themeTint="A6"/>
      <w:kern w:val="2"/>
      <w:sz w:val="21"/>
      <w:szCs w:val="22"/>
    </w:rPr>
  </w:style>
  <w:style w:type="paragraph" w:styleId="9">
    <w:name w:val="heading 9"/>
    <w:basedOn w:val="a"/>
    <w:next w:val="a"/>
    <w:link w:val="90"/>
    <w:uiPriority w:val="9"/>
    <w:semiHidden/>
    <w:unhideWhenUsed/>
    <w:qFormat/>
    <w:rsid w:val="006173DA"/>
    <w:pPr>
      <w:keepNext/>
      <w:keepLines/>
      <w:widowControl w:val="0"/>
      <w:jc w:val="both"/>
      <w:outlineLvl w:val="8"/>
    </w:pPr>
    <w:rPr>
      <w:rFonts w:asciiTheme="minorHAnsi" w:eastAsiaTheme="majorEastAsia" w:hAnsiTheme="minorHAnsi" w:cstheme="majorBidi"/>
      <w:color w:val="595959" w:themeColor="text1" w:themeTint="A6"/>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173DA"/>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173DA"/>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6173DA"/>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173DA"/>
    <w:rPr>
      <w:rFonts w:cstheme="majorBidi"/>
      <w:color w:val="2F5496" w:themeColor="accent1" w:themeShade="BF"/>
      <w:sz w:val="28"/>
      <w:szCs w:val="28"/>
    </w:rPr>
  </w:style>
  <w:style w:type="character" w:customStyle="1" w:styleId="50">
    <w:name w:val="标题 5 字符"/>
    <w:basedOn w:val="a0"/>
    <w:link w:val="5"/>
    <w:uiPriority w:val="9"/>
    <w:semiHidden/>
    <w:rsid w:val="006173DA"/>
    <w:rPr>
      <w:rFonts w:cstheme="majorBidi"/>
      <w:color w:val="2F5496" w:themeColor="accent1" w:themeShade="BF"/>
      <w:sz w:val="24"/>
    </w:rPr>
  </w:style>
  <w:style w:type="character" w:customStyle="1" w:styleId="60">
    <w:name w:val="标题 6 字符"/>
    <w:basedOn w:val="a0"/>
    <w:link w:val="6"/>
    <w:uiPriority w:val="9"/>
    <w:semiHidden/>
    <w:rsid w:val="006173DA"/>
    <w:rPr>
      <w:rFonts w:cstheme="majorBidi"/>
      <w:b/>
      <w:bCs/>
      <w:color w:val="2F5496" w:themeColor="accent1" w:themeShade="BF"/>
      <w:szCs w:val="22"/>
    </w:rPr>
  </w:style>
  <w:style w:type="character" w:customStyle="1" w:styleId="70">
    <w:name w:val="标题 7 字符"/>
    <w:basedOn w:val="a0"/>
    <w:link w:val="7"/>
    <w:uiPriority w:val="9"/>
    <w:semiHidden/>
    <w:rsid w:val="006173DA"/>
    <w:rPr>
      <w:rFonts w:cstheme="majorBidi"/>
      <w:b/>
      <w:bCs/>
      <w:color w:val="595959" w:themeColor="text1" w:themeTint="A6"/>
      <w:szCs w:val="22"/>
    </w:rPr>
  </w:style>
  <w:style w:type="character" w:customStyle="1" w:styleId="80">
    <w:name w:val="标题 8 字符"/>
    <w:basedOn w:val="a0"/>
    <w:link w:val="8"/>
    <w:uiPriority w:val="9"/>
    <w:semiHidden/>
    <w:rsid w:val="006173DA"/>
    <w:rPr>
      <w:rFonts w:cstheme="majorBidi"/>
      <w:color w:val="595959" w:themeColor="text1" w:themeTint="A6"/>
      <w:szCs w:val="22"/>
    </w:rPr>
  </w:style>
  <w:style w:type="character" w:customStyle="1" w:styleId="90">
    <w:name w:val="标题 9 字符"/>
    <w:basedOn w:val="a0"/>
    <w:link w:val="9"/>
    <w:uiPriority w:val="9"/>
    <w:semiHidden/>
    <w:rsid w:val="006173DA"/>
    <w:rPr>
      <w:rFonts w:eastAsiaTheme="majorEastAsia" w:cstheme="majorBidi"/>
      <w:color w:val="595959" w:themeColor="text1" w:themeTint="A6"/>
      <w:szCs w:val="22"/>
    </w:rPr>
  </w:style>
  <w:style w:type="paragraph" w:styleId="a3">
    <w:name w:val="Title"/>
    <w:basedOn w:val="a"/>
    <w:next w:val="a"/>
    <w:link w:val="a4"/>
    <w:uiPriority w:val="10"/>
    <w:qFormat/>
    <w:rsid w:val="006173DA"/>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173D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73DA"/>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标题 字符"/>
    <w:basedOn w:val="a0"/>
    <w:link w:val="a5"/>
    <w:uiPriority w:val="11"/>
    <w:rsid w:val="006173D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173DA"/>
    <w:pPr>
      <w:widowControl w:val="0"/>
      <w:spacing w:before="160" w:after="160"/>
      <w:jc w:val="center"/>
    </w:pPr>
    <w:rPr>
      <w:rFonts w:asciiTheme="minorHAnsi" w:eastAsiaTheme="minorEastAsia" w:hAnsiTheme="minorHAnsi" w:cstheme="minorBidi"/>
      <w:i/>
      <w:iCs/>
      <w:color w:val="404040" w:themeColor="text1" w:themeTint="BF"/>
      <w:kern w:val="2"/>
      <w:sz w:val="21"/>
      <w:szCs w:val="22"/>
    </w:rPr>
  </w:style>
  <w:style w:type="character" w:customStyle="1" w:styleId="a8">
    <w:name w:val="引用 字符"/>
    <w:basedOn w:val="a0"/>
    <w:link w:val="a7"/>
    <w:uiPriority w:val="29"/>
    <w:rsid w:val="006173DA"/>
    <w:rPr>
      <w:i/>
      <w:iCs/>
      <w:color w:val="404040" w:themeColor="text1" w:themeTint="BF"/>
      <w:szCs w:val="22"/>
    </w:rPr>
  </w:style>
  <w:style w:type="paragraph" w:styleId="a9">
    <w:name w:val="List Paragraph"/>
    <w:basedOn w:val="a"/>
    <w:uiPriority w:val="34"/>
    <w:qFormat/>
    <w:rsid w:val="006173DA"/>
    <w:pPr>
      <w:widowControl w:val="0"/>
      <w:ind w:left="720"/>
      <w:contextualSpacing/>
      <w:jc w:val="both"/>
    </w:pPr>
    <w:rPr>
      <w:rFonts w:asciiTheme="minorHAnsi" w:eastAsiaTheme="minorEastAsia" w:hAnsiTheme="minorHAnsi" w:cstheme="minorBidi"/>
      <w:kern w:val="2"/>
      <w:sz w:val="21"/>
      <w:szCs w:val="22"/>
    </w:rPr>
  </w:style>
  <w:style w:type="character" w:styleId="aa">
    <w:name w:val="Intense Emphasis"/>
    <w:basedOn w:val="a0"/>
    <w:uiPriority w:val="21"/>
    <w:qFormat/>
    <w:rsid w:val="006173DA"/>
    <w:rPr>
      <w:i/>
      <w:iCs/>
      <w:color w:val="2F5496" w:themeColor="accent1" w:themeShade="BF"/>
    </w:rPr>
  </w:style>
  <w:style w:type="paragraph" w:styleId="ab">
    <w:name w:val="Intense Quote"/>
    <w:basedOn w:val="a"/>
    <w:next w:val="a"/>
    <w:link w:val="ac"/>
    <w:uiPriority w:val="30"/>
    <w:qFormat/>
    <w:rsid w:val="006173DA"/>
    <w:pPr>
      <w:widowControl w:val="0"/>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EastAsia" w:hAnsiTheme="minorHAnsi" w:cstheme="minorBidi"/>
      <w:i/>
      <w:iCs/>
      <w:color w:val="2F5496" w:themeColor="accent1" w:themeShade="BF"/>
      <w:kern w:val="2"/>
      <w:sz w:val="21"/>
      <w:szCs w:val="22"/>
    </w:rPr>
  </w:style>
  <w:style w:type="character" w:customStyle="1" w:styleId="ac">
    <w:name w:val="明显引用 字符"/>
    <w:basedOn w:val="a0"/>
    <w:link w:val="ab"/>
    <w:uiPriority w:val="30"/>
    <w:rsid w:val="006173DA"/>
    <w:rPr>
      <w:i/>
      <w:iCs/>
      <w:color w:val="2F5496" w:themeColor="accent1" w:themeShade="BF"/>
      <w:szCs w:val="22"/>
    </w:rPr>
  </w:style>
  <w:style w:type="character" w:styleId="ad">
    <w:name w:val="Intense Reference"/>
    <w:basedOn w:val="a0"/>
    <w:uiPriority w:val="32"/>
    <w:qFormat/>
    <w:rsid w:val="006173DA"/>
    <w:rPr>
      <w:b/>
      <w:bCs/>
      <w:smallCaps/>
      <w:color w:val="2F5496" w:themeColor="accent1" w:themeShade="BF"/>
      <w:spacing w:val="5"/>
    </w:rPr>
  </w:style>
  <w:style w:type="character" w:styleId="ae">
    <w:name w:val="line number"/>
    <w:basedOn w:val="a0"/>
    <w:uiPriority w:val="99"/>
    <w:semiHidden/>
    <w:unhideWhenUsed/>
    <w:rsid w:val="006173DA"/>
  </w:style>
  <w:style w:type="character" w:styleId="af">
    <w:name w:val="Hyperlink"/>
    <w:basedOn w:val="a0"/>
    <w:uiPriority w:val="99"/>
    <w:unhideWhenUsed/>
    <w:rsid w:val="006173DA"/>
    <w:rPr>
      <w:color w:val="0563C1" w:themeColor="hyperlink"/>
      <w:u w:val="single"/>
    </w:rPr>
  </w:style>
  <w:style w:type="character" w:styleId="af0">
    <w:name w:val="Unresolved Mention"/>
    <w:basedOn w:val="a0"/>
    <w:uiPriority w:val="99"/>
    <w:semiHidden/>
    <w:unhideWhenUsed/>
    <w:rsid w:val="006173DA"/>
    <w:rPr>
      <w:color w:val="605E5C"/>
      <w:shd w:val="clear" w:color="auto" w:fill="E1DFDD"/>
    </w:rPr>
  </w:style>
  <w:style w:type="character" w:styleId="af1">
    <w:name w:val="Placeholder Text"/>
    <w:basedOn w:val="a0"/>
    <w:uiPriority w:val="99"/>
    <w:semiHidden/>
    <w:rsid w:val="006173DA"/>
    <w:rPr>
      <w:color w:val="808080"/>
    </w:rPr>
  </w:style>
  <w:style w:type="character" w:styleId="af2">
    <w:name w:val="Strong"/>
    <w:basedOn w:val="a0"/>
    <w:uiPriority w:val="22"/>
    <w:qFormat/>
    <w:rsid w:val="006173DA"/>
    <w:rPr>
      <w:b/>
      <w:bCs/>
    </w:rPr>
  </w:style>
  <w:style w:type="paragraph" w:styleId="af3">
    <w:name w:val="header"/>
    <w:basedOn w:val="a"/>
    <w:link w:val="af4"/>
    <w:uiPriority w:val="99"/>
    <w:unhideWhenUsed/>
    <w:rsid w:val="006173DA"/>
    <w:pPr>
      <w:widowControl w:val="0"/>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f4">
    <w:name w:val="页眉 字符"/>
    <w:basedOn w:val="a0"/>
    <w:link w:val="af3"/>
    <w:uiPriority w:val="99"/>
    <w:rsid w:val="006173DA"/>
    <w:rPr>
      <w:sz w:val="18"/>
      <w:szCs w:val="18"/>
    </w:rPr>
  </w:style>
  <w:style w:type="paragraph" w:styleId="af5">
    <w:name w:val="footer"/>
    <w:basedOn w:val="a"/>
    <w:link w:val="af6"/>
    <w:uiPriority w:val="99"/>
    <w:unhideWhenUsed/>
    <w:rsid w:val="006173DA"/>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f6">
    <w:name w:val="页脚 字符"/>
    <w:basedOn w:val="a0"/>
    <w:link w:val="af5"/>
    <w:uiPriority w:val="99"/>
    <w:rsid w:val="006173DA"/>
    <w:rPr>
      <w:sz w:val="18"/>
      <w:szCs w:val="18"/>
    </w:rPr>
  </w:style>
  <w:style w:type="paragraph" w:styleId="af7">
    <w:name w:val="Revision"/>
    <w:hidden/>
    <w:uiPriority w:val="99"/>
    <w:semiHidden/>
    <w:rsid w:val="006173DA"/>
    <w:rPr>
      <w:szCs w:val="22"/>
    </w:rPr>
  </w:style>
  <w:style w:type="character" w:styleId="af8">
    <w:name w:val="annotation reference"/>
    <w:basedOn w:val="a0"/>
    <w:uiPriority w:val="99"/>
    <w:semiHidden/>
    <w:unhideWhenUsed/>
    <w:rsid w:val="006173DA"/>
    <w:rPr>
      <w:sz w:val="16"/>
      <w:szCs w:val="16"/>
    </w:rPr>
  </w:style>
  <w:style w:type="paragraph" w:styleId="af9">
    <w:name w:val="annotation text"/>
    <w:basedOn w:val="a"/>
    <w:link w:val="afa"/>
    <w:uiPriority w:val="99"/>
    <w:semiHidden/>
    <w:unhideWhenUsed/>
    <w:rsid w:val="006173DA"/>
    <w:pPr>
      <w:widowControl w:val="0"/>
      <w:jc w:val="both"/>
    </w:pPr>
    <w:rPr>
      <w:rFonts w:asciiTheme="minorHAnsi" w:eastAsiaTheme="minorEastAsia" w:hAnsiTheme="minorHAnsi" w:cstheme="minorBidi"/>
      <w:kern w:val="2"/>
      <w:sz w:val="20"/>
      <w:szCs w:val="20"/>
    </w:rPr>
  </w:style>
  <w:style w:type="character" w:customStyle="1" w:styleId="afa">
    <w:name w:val="批注文字 字符"/>
    <w:basedOn w:val="a0"/>
    <w:link w:val="af9"/>
    <w:uiPriority w:val="99"/>
    <w:semiHidden/>
    <w:rsid w:val="006173DA"/>
    <w:rPr>
      <w:sz w:val="20"/>
      <w:szCs w:val="20"/>
    </w:rPr>
  </w:style>
  <w:style w:type="paragraph" w:styleId="afb">
    <w:name w:val="annotation subject"/>
    <w:basedOn w:val="af9"/>
    <w:next w:val="af9"/>
    <w:link w:val="afc"/>
    <w:uiPriority w:val="99"/>
    <w:semiHidden/>
    <w:unhideWhenUsed/>
    <w:rsid w:val="006173DA"/>
    <w:rPr>
      <w:b/>
      <w:bCs/>
    </w:rPr>
  </w:style>
  <w:style w:type="character" w:customStyle="1" w:styleId="afc">
    <w:name w:val="批注主题 字符"/>
    <w:basedOn w:val="afa"/>
    <w:link w:val="afb"/>
    <w:uiPriority w:val="99"/>
    <w:semiHidden/>
    <w:rsid w:val="006173DA"/>
    <w:rPr>
      <w:b/>
      <w:bCs/>
      <w:sz w:val="20"/>
      <w:szCs w:val="20"/>
    </w:rPr>
  </w:style>
  <w:style w:type="table" w:styleId="afd">
    <w:name w:val="Table Grid"/>
    <w:basedOn w:val="a1"/>
    <w:uiPriority w:val="39"/>
    <w:rsid w:val="00A87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CB5EF4"/>
    <w:rPr>
      <w:rFonts w:ascii="Tahoma" w:hAnsi="Tahoma" w:cs="Tahoma"/>
      <w:sz w:val="16"/>
      <w:szCs w:val="16"/>
      <w:lang w:val="en-GB"/>
    </w:rPr>
  </w:style>
  <w:style w:type="character" w:customStyle="1" w:styleId="aff">
    <w:name w:val="批注框文本 字符"/>
    <w:basedOn w:val="a0"/>
    <w:link w:val="afe"/>
    <w:uiPriority w:val="99"/>
    <w:semiHidden/>
    <w:rsid w:val="00CB5EF4"/>
    <w:rPr>
      <w:rFonts w:ascii="Tahoma" w:eastAsia="宋体" w:hAnsi="Tahoma" w:cs="Tahoma"/>
      <w:kern w:val="0"/>
      <w:sz w:val="16"/>
      <w:szCs w:val="16"/>
      <w:lang w:val="en-GB"/>
    </w:rPr>
  </w:style>
  <w:style w:type="paragraph" w:styleId="aff0">
    <w:name w:val="Normal (Web)"/>
    <w:basedOn w:val="a"/>
    <w:uiPriority w:val="99"/>
    <w:semiHidden/>
    <w:unhideWhenUsed/>
    <w:rsid w:val="00CB5EF4"/>
    <w:pPr>
      <w:spacing w:before="100" w:beforeAutospacing="1" w:after="100" w:afterAutospacing="1"/>
    </w:pPr>
  </w:style>
  <w:style w:type="paragraph" w:customStyle="1" w:styleId="11">
    <w:name w:val="书目1"/>
    <w:basedOn w:val="a"/>
    <w:link w:val="Bibliography"/>
    <w:rsid w:val="00CB5EF4"/>
    <w:pPr>
      <w:widowControl w:val="0"/>
      <w:tabs>
        <w:tab w:val="left" w:pos="380"/>
      </w:tabs>
      <w:spacing w:line="480" w:lineRule="auto"/>
      <w:ind w:left="384" w:hanging="384"/>
      <w:jc w:val="both"/>
    </w:pPr>
    <w:rPr>
      <w:rFonts w:ascii="Times New Roman" w:eastAsiaTheme="minorEastAsia" w:hAnsi="Times New Roman" w:cs="Times New Roman"/>
      <w:kern w:val="2"/>
      <w:sz w:val="28"/>
      <w:szCs w:val="28"/>
    </w:rPr>
  </w:style>
  <w:style w:type="character" w:customStyle="1" w:styleId="Bibliography">
    <w:name w:val="Bibliography 字符"/>
    <w:basedOn w:val="a0"/>
    <w:link w:val="11"/>
    <w:rsid w:val="00CB5EF4"/>
    <w:rPr>
      <w:rFonts w:ascii="Times New Roman" w:hAnsi="Times New Roman" w:cs="Times New Roman"/>
      <w:sz w:val="28"/>
      <w:szCs w:val="28"/>
    </w:rPr>
  </w:style>
  <w:style w:type="paragraph" w:customStyle="1" w:styleId="Default">
    <w:name w:val="Default"/>
    <w:rsid w:val="00CB5EF4"/>
    <w:pPr>
      <w:autoSpaceDE w:val="0"/>
      <w:autoSpaceDN w:val="0"/>
      <w:adjustRightInd w:val="0"/>
    </w:pPr>
    <w:rPr>
      <w:rFonts w:ascii="Arial" w:hAnsi="Arial" w:cs="Arial"/>
      <w:color w:val="000000"/>
      <w:kern w:val="0"/>
      <w:sz w:val="24"/>
      <w:lang w:eastAsia="en-US"/>
    </w:rPr>
  </w:style>
  <w:style w:type="character" w:styleId="aff1">
    <w:name w:val="FollowedHyperlink"/>
    <w:basedOn w:val="a0"/>
    <w:uiPriority w:val="99"/>
    <w:semiHidden/>
    <w:unhideWhenUsed/>
    <w:rsid w:val="00CB5EF4"/>
    <w:rPr>
      <w:color w:val="954F72" w:themeColor="followedHyperlink"/>
      <w:u w:val="single"/>
    </w:rPr>
  </w:style>
  <w:style w:type="paragraph" w:customStyle="1" w:styleId="21">
    <w:name w:val="书目2"/>
    <w:basedOn w:val="a"/>
    <w:link w:val="Bibliography1"/>
    <w:rsid w:val="00CB5EF4"/>
    <w:pPr>
      <w:tabs>
        <w:tab w:val="left" w:pos="380"/>
      </w:tabs>
      <w:autoSpaceDE w:val="0"/>
      <w:autoSpaceDN w:val="0"/>
      <w:adjustRightInd w:val="0"/>
      <w:spacing w:after="240"/>
      <w:ind w:left="720" w:hanging="720"/>
    </w:pPr>
    <w:rPr>
      <w:rFonts w:ascii="Arial" w:hAnsi="Arial" w:cs="Arial"/>
      <w:sz w:val="20"/>
      <w:szCs w:val="20"/>
      <w:lang w:val="en-GB"/>
    </w:rPr>
  </w:style>
  <w:style w:type="character" w:customStyle="1" w:styleId="Bibliography1">
    <w:name w:val="Bibliography 字符1"/>
    <w:basedOn w:val="a0"/>
    <w:link w:val="21"/>
    <w:rsid w:val="00CB5EF4"/>
    <w:rPr>
      <w:rFonts w:ascii="Arial" w:eastAsia="宋体" w:hAnsi="Arial" w:cs="Arial"/>
      <w:kern w:val="0"/>
      <w:sz w:val="20"/>
      <w:szCs w:val="20"/>
      <w:lang w:val="en-GB"/>
    </w:rPr>
  </w:style>
  <w:style w:type="paragraph" w:customStyle="1" w:styleId="31">
    <w:name w:val="书目3"/>
    <w:basedOn w:val="a"/>
    <w:link w:val="Bibliography2"/>
    <w:rsid w:val="00F41FAE"/>
    <w:pPr>
      <w:tabs>
        <w:tab w:val="left" w:pos="260"/>
      </w:tabs>
      <w:spacing w:line="480" w:lineRule="auto"/>
      <w:ind w:left="264" w:hanging="264"/>
    </w:pPr>
    <w:rPr>
      <w:rFonts w:ascii="Times New Roman" w:hAnsi="Times New Roman" w:cs="Times New Roman"/>
      <w:b/>
      <w:bCs/>
      <w:sz w:val="28"/>
      <w:szCs w:val="28"/>
    </w:rPr>
  </w:style>
  <w:style w:type="character" w:customStyle="1" w:styleId="Bibliography2">
    <w:name w:val="Bibliography 字符2"/>
    <w:basedOn w:val="a0"/>
    <w:link w:val="31"/>
    <w:rsid w:val="00F41FAE"/>
    <w:rPr>
      <w:rFonts w:ascii="Times New Roman" w:eastAsia="宋体" w:hAnsi="Times New Roman" w:cs="Times New Roman"/>
      <w:b/>
      <w:bCs/>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98396">
      <w:bodyDiv w:val="1"/>
      <w:marLeft w:val="0"/>
      <w:marRight w:val="0"/>
      <w:marTop w:val="0"/>
      <w:marBottom w:val="0"/>
      <w:divBdr>
        <w:top w:val="none" w:sz="0" w:space="0" w:color="auto"/>
        <w:left w:val="none" w:sz="0" w:space="0" w:color="auto"/>
        <w:bottom w:val="none" w:sz="0" w:space="0" w:color="auto"/>
        <w:right w:val="none" w:sz="0" w:space="0" w:color="auto"/>
      </w:divBdr>
    </w:div>
    <w:div w:id="259416610">
      <w:bodyDiv w:val="1"/>
      <w:marLeft w:val="0"/>
      <w:marRight w:val="0"/>
      <w:marTop w:val="0"/>
      <w:marBottom w:val="0"/>
      <w:divBdr>
        <w:top w:val="none" w:sz="0" w:space="0" w:color="auto"/>
        <w:left w:val="none" w:sz="0" w:space="0" w:color="auto"/>
        <w:bottom w:val="none" w:sz="0" w:space="0" w:color="auto"/>
        <w:right w:val="none" w:sz="0" w:space="0" w:color="auto"/>
      </w:divBdr>
    </w:div>
    <w:div w:id="524487707">
      <w:bodyDiv w:val="1"/>
      <w:marLeft w:val="0"/>
      <w:marRight w:val="0"/>
      <w:marTop w:val="0"/>
      <w:marBottom w:val="0"/>
      <w:divBdr>
        <w:top w:val="none" w:sz="0" w:space="0" w:color="auto"/>
        <w:left w:val="none" w:sz="0" w:space="0" w:color="auto"/>
        <w:bottom w:val="none" w:sz="0" w:space="0" w:color="auto"/>
        <w:right w:val="none" w:sz="0" w:space="0" w:color="auto"/>
      </w:divBdr>
    </w:div>
    <w:div w:id="529683412">
      <w:bodyDiv w:val="1"/>
      <w:marLeft w:val="0"/>
      <w:marRight w:val="0"/>
      <w:marTop w:val="0"/>
      <w:marBottom w:val="0"/>
      <w:divBdr>
        <w:top w:val="none" w:sz="0" w:space="0" w:color="auto"/>
        <w:left w:val="none" w:sz="0" w:space="0" w:color="auto"/>
        <w:bottom w:val="none" w:sz="0" w:space="0" w:color="auto"/>
        <w:right w:val="none" w:sz="0" w:space="0" w:color="auto"/>
      </w:divBdr>
    </w:div>
    <w:div w:id="730661579">
      <w:bodyDiv w:val="1"/>
      <w:marLeft w:val="0"/>
      <w:marRight w:val="0"/>
      <w:marTop w:val="0"/>
      <w:marBottom w:val="0"/>
      <w:divBdr>
        <w:top w:val="none" w:sz="0" w:space="0" w:color="auto"/>
        <w:left w:val="none" w:sz="0" w:space="0" w:color="auto"/>
        <w:bottom w:val="none" w:sz="0" w:space="0" w:color="auto"/>
        <w:right w:val="none" w:sz="0" w:space="0" w:color="auto"/>
      </w:divBdr>
    </w:div>
    <w:div w:id="777335764">
      <w:bodyDiv w:val="1"/>
      <w:marLeft w:val="0"/>
      <w:marRight w:val="0"/>
      <w:marTop w:val="0"/>
      <w:marBottom w:val="0"/>
      <w:divBdr>
        <w:top w:val="none" w:sz="0" w:space="0" w:color="auto"/>
        <w:left w:val="none" w:sz="0" w:space="0" w:color="auto"/>
        <w:bottom w:val="none" w:sz="0" w:space="0" w:color="auto"/>
        <w:right w:val="none" w:sz="0" w:space="0" w:color="auto"/>
      </w:divBdr>
      <w:divsChild>
        <w:div w:id="414400954">
          <w:marLeft w:val="0"/>
          <w:marRight w:val="0"/>
          <w:marTop w:val="0"/>
          <w:marBottom w:val="0"/>
          <w:divBdr>
            <w:top w:val="none" w:sz="0" w:space="0" w:color="auto"/>
            <w:left w:val="none" w:sz="0" w:space="0" w:color="auto"/>
            <w:bottom w:val="none" w:sz="0" w:space="0" w:color="auto"/>
            <w:right w:val="none" w:sz="0" w:space="0" w:color="auto"/>
          </w:divBdr>
          <w:divsChild>
            <w:div w:id="1639721177">
              <w:marLeft w:val="0"/>
              <w:marRight w:val="0"/>
              <w:marTop w:val="75"/>
              <w:marBottom w:val="0"/>
              <w:divBdr>
                <w:top w:val="none" w:sz="0" w:space="0" w:color="auto"/>
                <w:left w:val="none" w:sz="0" w:space="0" w:color="auto"/>
                <w:bottom w:val="none" w:sz="0" w:space="0" w:color="auto"/>
                <w:right w:val="none" w:sz="0" w:space="0" w:color="auto"/>
              </w:divBdr>
              <w:divsChild>
                <w:div w:id="2047754077">
                  <w:marLeft w:val="0"/>
                  <w:marRight w:val="0"/>
                  <w:marTop w:val="0"/>
                  <w:marBottom w:val="0"/>
                  <w:divBdr>
                    <w:top w:val="none" w:sz="0" w:space="0" w:color="auto"/>
                    <w:left w:val="none" w:sz="0" w:space="0" w:color="auto"/>
                    <w:bottom w:val="none" w:sz="0" w:space="0" w:color="auto"/>
                    <w:right w:val="none" w:sz="0" w:space="0" w:color="auto"/>
                  </w:divBdr>
                  <w:divsChild>
                    <w:div w:id="10164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6660">
          <w:marLeft w:val="0"/>
          <w:marRight w:val="0"/>
          <w:marTop w:val="0"/>
          <w:marBottom w:val="0"/>
          <w:divBdr>
            <w:top w:val="none" w:sz="0" w:space="0" w:color="auto"/>
            <w:left w:val="none" w:sz="0" w:space="0" w:color="auto"/>
            <w:bottom w:val="none" w:sz="0" w:space="0" w:color="auto"/>
            <w:right w:val="none" w:sz="0" w:space="0" w:color="auto"/>
          </w:divBdr>
          <w:divsChild>
            <w:div w:id="92550611">
              <w:marLeft w:val="0"/>
              <w:marRight w:val="0"/>
              <w:marTop w:val="0"/>
              <w:marBottom w:val="0"/>
              <w:divBdr>
                <w:top w:val="none" w:sz="0" w:space="0" w:color="auto"/>
                <w:left w:val="none" w:sz="0" w:space="0" w:color="auto"/>
                <w:bottom w:val="none" w:sz="0" w:space="0" w:color="auto"/>
                <w:right w:val="none" w:sz="0" w:space="0" w:color="auto"/>
              </w:divBdr>
              <w:divsChild>
                <w:div w:id="1149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349230">
      <w:bodyDiv w:val="1"/>
      <w:marLeft w:val="0"/>
      <w:marRight w:val="0"/>
      <w:marTop w:val="0"/>
      <w:marBottom w:val="0"/>
      <w:divBdr>
        <w:top w:val="none" w:sz="0" w:space="0" w:color="auto"/>
        <w:left w:val="none" w:sz="0" w:space="0" w:color="auto"/>
        <w:bottom w:val="none" w:sz="0" w:space="0" w:color="auto"/>
        <w:right w:val="none" w:sz="0" w:space="0" w:color="auto"/>
      </w:divBdr>
    </w:div>
    <w:div w:id="1521092418">
      <w:bodyDiv w:val="1"/>
      <w:marLeft w:val="0"/>
      <w:marRight w:val="0"/>
      <w:marTop w:val="0"/>
      <w:marBottom w:val="0"/>
      <w:divBdr>
        <w:top w:val="none" w:sz="0" w:space="0" w:color="auto"/>
        <w:left w:val="none" w:sz="0" w:space="0" w:color="auto"/>
        <w:bottom w:val="none" w:sz="0" w:space="0" w:color="auto"/>
        <w:right w:val="none" w:sz="0" w:space="0" w:color="auto"/>
      </w:divBdr>
    </w:div>
    <w:div w:id="1713847396">
      <w:bodyDiv w:val="1"/>
      <w:marLeft w:val="0"/>
      <w:marRight w:val="0"/>
      <w:marTop w:val="0"/>
      <w:marBottom w:val="0"/>
      <w:divBdr>
        <w:top w:val="none" w:sz="0" w:space="0" w:color="auto"/>
        <w:left w:val="none" w:sz="0" w:space="0" w:color="auto"/>
        <w:bottom w:val="none" w:sz="0" w:space="0" w:color="auto"/>
        <w:right w:val="none" w:sz="0" w:space="0" w:color="auto"/>
      </w:divBdr>
    </w:div>
    <w:div w:id="1743021941">
      <w:bodyDiv w:val="1"/>
      <w:marLeft w:val="0"/>
      <w:marRight w:val="0"/>
      <w:marTop w:val="0"/>
      <w:marBottom w:val="0"/>
      <w:divBdr>
        <w:top w:val="none" w:sz="0" w:space="0" w:color="auto"/>
        <w:left w:val="none" w:sz="0" w:space="0" w:color="auto"/>
        <w:bottom w:val="none" w:sz="0" w:space="0" w:color="auto"/>
        <w:right w:val="none" w:sz="0" w:space="0" w:color="auto"/>
      </w:divBdr>
    </w:div>
    <w:div w:id="1826779759">
      <w:bodyDiv w:val="1"/>
      <w:marLeft w:val="0"/>
      <w:marRight w:val="0"/>
      <w:marTop w:val="0"/>
      <w:marBottom w:val="0"/>
      <w:divBdr>
        <w:top w:val="none" w:sz="0" w:space="0" w:color="auto"/>
        <w:left w:val="none" w:sz="0" w:space="0" w:color="auto"/>
        <w:bottom w:val="none" w:sz="0" w:space="0" w:color="auto"/>
        <w:right w:val="none" w:sz="0" w:space="0" w:color="auto"/>
      </w:divBdr>
    </w:div>
    <w:div w:id="1996184514">
      <w:bodyDiv w:val="1"/>
      <w:marLeft w:val="0"/>
      <w:marRight w:val="0"/>
      <w:marTop w:val="0"/>
      <w:marBottom w:val="0"/>
      <w:divBdr>
        <w:top w:val="none" w:sz="0" w:space="0" w:color="auto"/>
        <w:left w:val="none" w:sz="0" w:space="0" w:color="auto"/>
        <w:bottom w:val="none" w:sz="0" w:space="0" w:color="auto"/>
        <w:right w:val="none" w:sz="0" w:space="0" w:color="auto"/>
      </w:divBdr>
    </w:div>
    <w:div w:id="2107799768">
      <w:bodyDiv w:val="1"/>
      <w:marLeft w:val="0"/>
      <w:marRight w:val="0"/>
      <w:marTop w:val="0"/>
      <w:marBottom w:val="0"/>
      <w:divBdr>
        <w:top w:val="none" w:sz="0" w:space="0" w:color="auto"/>
        <w:left w:val="none" w:sz="0" w:space="0" w:color="auto"/>
        <w:bottom w:val="none" w:sz="0" w:space="0" w:color="auto"/>
        <w:right w:val="none" w:sz="0" w:space="0" w:color="auto"/>
      </w:divBdr>
    </w:div>
    <w:div w:id="213471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thub.com/JinmiaoChenLab/scT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ithub.com/jyyulab/Spotiphy" TargetMode="External"/><Relationship Id="rId11" Type="http://schemas.openxmlformats.org/officeDocument/2006/relationships/image" Target="media/image4.png"/><Relationship Id="rId5" Type="http://schemas.openxmlformats.org/officeDocument/2006/relationships/hyperlink" Target="https://github.com/BayraktarLab/cell2location"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25</Pages>
  <Words>8151</Words>
  <Characters>46464</Characters>
  <Application>Microsoft Office Word</Application>
  <DocSecurity>0</DocSecurity>
  <Lines>387</Lines>
  <Paragraphs>109</Paragraphs>
  <ScaleCrop>false</ScaleCrop>
  <Company/>
  <LinksUpToDate>false</LinksUpToDate>
  <CharactersWithSpaces>54506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畅 刘</dc:creator>
  <cp:keywords/>
  <dc:description/>
  <cp:lastModifiedBy>畅 刘</cp:lastModifiedBy>
  <cp:revision>123</cp:revision>
  <dcterms:created xsi:type="dcterms:W3CDTF">2025-06-03T10:52:00Z</dcterms:created>
  <dcterms:modified xsi:type="dcterms:W3CDTF">2025-07-28T10:55:00Z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id="YxvNWAs6"/&gt;&lt;style id="http://www.zotero.org/styles/nature" hasBibliography="1" bibliographyStyleHasBeenSet="1"/&gt;&lt;prefs&gt;&lt;pref name="fieldType" value="Field"/&gt;&lt;/prefs&gt;&lt;/data&gt;</vt:lpwstr>
  </property>
</Properties>
</file>