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526DF">
      <w:pPr>
        <w:keepNext w:val="0"/>
        <w:keepLines w:val="0"/>
        <w:widowControl/>
        <w:suppressLineNumbers w:val="0"/>
        <w:jc w:val="left"/>
      </w:pPr>
      <w:r>
        <w:rPr>
          <w:rFonts w:hint="default" w:ascii="Times New Roman" w:hAnsi="Times New Roman" w:eastAsia="宋体" w:cs="Times New Roman"/>
          <w:b/>
          <w:bCs/>
          <w:color w:val="212121"/>
          <w:kern w:val="0"/>
          <w:sz w:val="31"/>
          <w:szCs w:val="31"/>
          <w:lang w:val="en-US" w:eastAsia="zh-CN" w:bidi="ar"/>
        </w:rPr>
        <w:t>SUPPLEMENTAL MATERIAL</w:t>
      </w:r>
    </w:p>
    <w:p w14:paraId="41F97CC7">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077737D6">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77E53105">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0C4074B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4"/>
          <w:szCs w:val="24"/>
          <w:lang w:val="en-US" w:eastAsia="zh-CN" w:bidi="ar"/>
        </w:rPr>
      </w:pPr>
    </w:p>
    <w:p w14:paraId="24DA25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pPr>
      <w:r>
        <w:rPr>
          <w:rFonts w:hint="default" w:ascii="Times New Roman" w:hAnsi="Times New Roman" w:eastAsia="宋体" w:cs="Times New Roman"/>
          <w:b/>
          <w:bCs/>
          <w:color w:val="000000"/>
          <w:kern w:val="0"/>
          <w:sz w:val="24"/>
          <w:szCs w:val="24"/>
          <w:lang w:val="en-US" w:eastAsia="zh-CN" w:bidi="ar"/>
        </w:rPr>
        <w:t xml:space="preserve">Title: Pathophysiological Mechanisms of Chronic Subdural Hematoma: Insights from Histopathological, Immunological, and Imaging Analyses </w:t>
      </w:r>
    </w:p>
    <w:p w14:paraId="54CC1F37">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2B54E75E">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14:paraId="05613F7D">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Authors</w:t>
      </w:r>
      <w:r>
        <w:rPr>
          <w:rFonts w:hint="default" w:ascii="Times New Roman" w:hAnsi="Times New Roman" w:eastAsia="宋体" w:cs="Times New Roman"/>
          <w:color w:val="000000"/>
          <w:kern w:val="0"/>
          <w:sz w:val="24"/>
          <w:szCs w:val="24"/>
          <w:lang w:val="en-US" w:eastAsia="zh-CN" w:bidi="ar"/>
        </w:rPr>
        <w:t xml:space="preserve">: </w:t>
      </w:r>
      <w:r>
        <w:rPr>
          <w:rFonts w:hint="eastAsia" w:ascii="Times New Roman" w:hAnsi="Times New Roman" w:eastAsia="宋体" w:cs="Times New Roman"/>
          <w:color w:val="000000"/>
          <w:kern w:val="0"/>
          <w:sz w:val="24"/>
          <w:szCs w:val="24"/>
          <w:lang w:val="en-US" w:eastAsia="zh-CN" w:bidi="ar"/>
        </w:rPr>
        <w:t>Renkun Zhang</w:t>
      </w:r>
      <w:r>
        <w:rPr>
          <w:rFonts w:hint="eastAsia" w:ascii="Times New Roman" w:hAnsi="Times New Roman" w:eastAsia="宋体" w:cs="Times New Roman"/>
          <w:color w:val="000000"/>
          <w:kern w:val="0"/>
          <w:sz w:val="24"/>
          <w:szCs w:val="24"/>
          <w:vertAlign w:val="superscript"/>
          <w:lang w:val="en-US" w:eastAsia="zh-CN" w:bidi="ar"/>
        </w:rPr>
        <w:t>&amp;</w:t>
      </w:r>
      <w:r>
        <w:rPr>
          <w:rFonts w:hint="eastAsia" w:ascii="Times New Roman" w:hAnsi="Times New Roman" w:eastAsia="宋体" w:cs="Times New Roman"/>
          <w:color w:val="000000"/>
          <w:kern w:val="0"/>
          <w:sz w:val="24"/>
          <w:szCs w:val="24"/>
          <w:lang w:val="en-US" w:eastAsia="zh-CN" w:bidi="ar"/>
        </w:rPr>
        <w:t>, MD, Qiuyu Lu</w:t>
      </w:r>
      <w:r>
        <w:rPr>
          <w:rFonts w:hint="eastAsia" w:ascii="Times New Roman" w:hAnsi="Times New Roman" w:eastAsia="宋体" w:cs="Times New Roman"/>
          <w:color w:val="000000"/>
          <w:kern w:val="0"/>
          <w:sz w:val="24"/>
          <w:szCs w:val="24"/>
          <w:vertAlign w:val="superscript"/>
          <w:lang w:val="en-US" w:eastAsia="zh-CN" w:bidi="ar"/>
        </w:rPr>
        <w:t>&amp;</w:t>
      </w:r>
      <w:r>
        <w:rPr>
          <w:rFonts w:hint="eastAsia" w:ascii="Times New Roman" w:hAnsi="Times New Roman" w:eastAsia="宋体" w:cs="Times New Roman"/>
          <w:color w:val="000000"/>
          <w:kern w:val="0"/>
          <w:sz w:val="24"/>
          <w:szCs w:val="24"/>
          <w:lang w:val="en-US" w:eastAsia="zh-CN" w:bidi="ar"/>
        </w:rPr>
        <w:t>, MD, Yuhao Tan</w:t>
      </w:r>
      <w:r>
        <w:rPr>
          <w:rFonts w:hint="eastAsia" w:ascii="Times New Roman" w:hAnsi="Times New Roman" w:eastAsia="宋体" w:cs="Times New Roman"/>
          <w:color w:val="000000"/>
          <w:kern w:val="0"/>
          <w:sz w:val="24"/>
          <w:szCs w:val="24"/>
          <w:vertAlign w:val="superscript"/>
          <w:lang w:val="en-US" w:eastAsia="zh-CN" w:bidi="ar"/>
        </w:rPr>
        <w:t>&amp;</w:t>
      </w:r>
      <w:r>
        <w:rPr>
          <w:rFonts w:hint="eastAsia" w:ascii="Times New Roman" w:hAnsi="Times New Roman" w:eastAsia="宋体" w:cs="Times New Roman"/>
          <w:color w:val="000000"/>
          <w:kern w:val="0"/>
          <w:sz w:val="24"/>
          <w:szCs w:val="24"/>
          <w:lang w:val="en-US" w:eastAsia="zh-CN" w:bidi="ar"/>
        </w:rPr>
        <w:t>, MS, Yu Zhou, MD, Zifu Li, MD, Lei Zhang, MD, Qinghai Huang, MD, Yi Xu, MD, Yongwei Zhang, MD, Rui Zhao, MD, Qiang Li, MD,  Pengfei Yang, MD, Qiao Zuo, MD, Jianmin Liu, MD</w:t>
      </w:r>
    </w:p>
    <w:p w14:paraId="6AD4A319">
      <w:pPr>
        <w:keepNext w:val="0"/>
        <w:keepLines w:val="0"/>
        <w:widowControl/>
        <w:suppressLineNumbers w:val="0"/>
        <w:jc w:val="left"/>
        <w:rPr>
          <w:rFonts w:hint="default"/>
          <w:lang w:val="en-US"/>
        </w:rPr>
      </w:pPr>
      <w:r>
        <w:rPr>
          <w:rFonts w:hint="eastAsia" w:ascii="Times New Roman" w:hAnsi="Times New Roman" w:eastAsia="宋体" w:cs="Times New Roman"/>
          <w:color w:val="000000"/>
          <w:kern w:val="0"/>
          <w:sz w:val="24"/>
          <w:szCs w:val="24"/>
          <w:lang w:val="en-US" w:eastAsia="zh-CN" w:bidi="ar"/>
        </w:rPr>
        <w:t>&amp; These authors contributed equall</w:t>
      </w:r>
      <w:bookmarkStart w:id="0" w:name="_GoBack"/>
      <w:bookmarkEnd w:id="0"/>
      <w:r>
        <w:rPr>
          <w:rFonts w:hint="eastAsia" w:ascii="Times New Roman" w:hAnsi="Times New Roman" w:eastAsia="宋体" w:cs="Times New Roman"/>
          <w:color w:val="000000"/>
          <w:kern w:val="0"/>
          <w:sz w:val="24"/>
          <w:szCs w:val="24"/>
          <w:lang w:val="en-US" w:eastAsia="zh-CN" w:bidi="ar"/>
        </w:rPr>
        <w:t>y to this work and should be considered co-first authors.</w:t>
      </w:r>
    </w:p>
    <w:p w14:paraId="17B7B4B2">
      <w:pPr>
        <w:rPr>
          <w:rFonts w:hint="eastAsia" w:ascii="Arial" w:hAnsi="Arial" w:cs="Arial"/>
          <w:sz w:val="24"/>
          <w:szCs w:val="24"/>
          <w:lang w:val="en-US" w:eastAsia="zh-CN"/>
        </w:rPr>
        <w:sectPr>
          <w:pgSz w:w="11906" w:h="16838"/>
          <w:pgMar w:top="1440" w:right="1440" w:bottom="1440" w:left="1440" w:header="851" w:footer="992" w:gutter="0"/>
          <w:cols w:space="425" w:num="1"/>
          <w:docGrid w:type="lines" w:linePitch="312" w:charSpace="0"/>
        </w:sectPr>
      </w:pPr>
    </w:p>
    <w:p w14:paraId="2435D3C3">
      <w:pPr>
        <w:pStyle w:val="2"/>
        <w:numPr>
          <w:ilvl w:val="0"/>
          <w:numId w:val="0"/>
        </w:numPr>
        <w:spacing w:before="200" w:after="0" w:line="480" w:lineRule="auto"/>
        <w:rPr>
          <w:rFonts w:hint="default" w:ascii="Arial" w:hAnsi="Arial" w:eastAsia="宋体" w:cs="Arial"/>
          <w:szCs w:val="28"/>
          <w:lang w:val="en-US" w:eastAsia="zh-CN"/>
        </w:rPr>
      </w:pPr>
      <w:r>
        <w:rPr>
          <w:rFonts w:hint="default" w:ascii="Times New Roman" w:hAnsi="Times New Roman" w:cs="Times New Roman"/>
          <w:szCs w:val="28"/>
        </w:rPr>
        <w:t>S</w:t>
      </w:r>
      <w:r>
        <w:rPr>
          <w:rFonts w:hint="default" w:ascii="Times New Roman" w:hAnsi="Times New Roman" w:eastAsia="宋体" w:cs="Times New Roman"/>
          <w:szCs w:val="28"/>
          <w:lang w:val="en-US" w:eastAsia="zh-CN"/>
        </w:rPr>
        <w:t>upplementary Methods</w:t>
      </w:r>
      <w:r>
        <w:rPr>
          <w:rFonts w:hint="eastAsia" w:ascii="Arial" w:hAnsi="Arial" w:eastAsia="宋体" w:cs="Arial"/>
          <w:szCs w:val="28"/>
          <w:lang w:val="en-US" w:eastAsia="zh-CN"/>
        </w:rPr>
        <w:t xml:space="preserve"> </w:t>
      </w:r>
    </w:p>
    <w:p w14:paraId="78138CEC">
      <w:pPr>
        <w:rPr>
          <w:rFonts w:hint="eastAsia" w:ascii="Times New Roman" w:hAnsi="Times New Roman" w:eastAsia="宋体" w:cs="Times New Roman"/>
          <w:b/>
          <w:bCs/>
          <w:kern w:val="44"/>
          <w:sz w:val="28"/>
          <w:szCs w:val="28"/>
          <w:lang w:val="en-US" w:eastAsia="zh-CN" w:bidi="ar-SA"/>
        </w:rPr>
      </w:pPr>
      <w:r>
        <w:rPr>
          <w:rFonts w:hint="eastAsia" w:ascii="Times New Roman" w:hAnsi="Times New Roman" w:eastAsia="宋体" w:cs="Times New Roman"/>
          <w:b/>
          <w:bCs/>
          <w:kern w:val="44"/>
          <w:sz w:val="28"/>
          <w:szCs w:val="28"/>
          <w:lang w:val="en-US" w:eastAsia="zh-CN" w:bidi="ar-SA"/>
        </w:rPr>
        <w:t>Randomization and surgical method</w:t>
      </w:r>
    </w:p>
    <w:p w14:paraId="69B4BCAA">
      <w:pPr>
        <w:spacing w:line="480"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 xml:space="preserve">Patients were first randomly assigned, in a 1:1 ratio, to undergo middle meningeal artery embolization (MMAE) + </w:t>
      </w:r>
      <w:r>
        <w:rPr>
          <w:rFonts w:hint="eastAsia" w:ascii="Times New Roman" w:hAnsi="Times New Roman"/>
          <w:sz w:val="24"/>
          <w:szCs w:val="24"/>
        </w:rPr>
        <w:t>burr hole drainage craniectomy (BHD)</w:t>
      </w:r>
      <w:r>
        <w:rPr>
          <w:rFonts w:hint="eastAsia" w:ascii="Times New Roman" w:hAnsi="Times New Roman"/>
          <w:sz w:val="24"/>
          <w:szCs w:val="24"/>
          <w:lang w:val="en-US" w:eastAsia="zh-CN"/>
        </w:rPr>
        <w:t xml:space="preserve"> or to undergo only BHD. </w:t>
      </w:r>
    </w:p>
    <w:p w14:paraId="0FB98903">
      <w:pPr>
        <w:spacing w:line="480"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Patients enrolled in the embolization group received cerebral angiography combined with ipsilateral MMAE for CSDH management under general anesthesia or monitored local anesthesia. The procedural protocol involved arterial access via femoral or radial approach, followed by digital subtraction angiography utilizing a standardized 5-French diagnostic catheter system. A microcatheter was advanced under roadmap guidance into the main trunk of the middle meningeal artery, and superselective angiography was performed to identify any potentially unsafe collateral vessels, such as the ophthalmic and petrous branches, before embolization. The middle meningeal artery was embolized with Onyx</w:t>
      </w:r>
      <w:r>
        <w:rPr>
          <w:rFonts w:hint="default" w:ascii="Times New Roman" w:hAnsi="Times New Roman"/>
          <w:sz w:val="24"/>
          <w:szCs w:val="24"/>
          <w:lang w:val="en-US"/>
        </w:rPr>
        <w:t xml:space="preserve"> (Medtronic, America)</w:t>
      </w:r>
      <w:r>
        <w:rPr>
          <w:rFonts w:hint="eastAsia" w:ascii="Times New Roman" w:hAnsi="Times New Roman"/>
          <w:sz w:val="24"/>
          <w:szCs w:val="24"/>
          <w:lang w:val="en-US" w:eastAsia="zh-CN"/>
        </w:rPr>
        <w:t>. Successful embolization was defined as selective embolization of both the frontal and parietal branches or embolization of the main middle meningeal artery trunk. MMAE was performed before BHD.</w:t>
      </w:r>
    </w:p>
    <w:p w14:paraId="1C54AEDE">
      <w:pPr>
        <w:spacing w:line="480" w:lineRule="auto"/>
        <w:ind w:firstLine="480" w:firstLineChars="200"/>
        <w:rPr>
          <w:rFonts w:hint="default" w:ascii="Times New Roman" w:hAnsi="Times New Roman"/>
          <w:sz w:val="24"/>
          <w:szCs w:val="24"/>
          <w:lang w:val="en-US" w:eastAsia="zh-CN"/>
        </w:rPr>
      </w:pPr>
      <w:r>
        <w:rPr>
          <w:rFonts w:hint="default" w:ascii="Times New Roman" w:hAnsi="Times New Roman"/>
          <w:sz w:val="24"/>
          <w:szCs w:val="24"/>
          <w:lang w:val="en-US" w:eastAsia="zh-CN"/>
        </w:rPr>
        <w:t xml:space="preserve">Patients who were assigned to the </w:t>
      </w:r>
      <w:r>
        <w:rPr>
          <w:rFonts w:hint="eastAsia" w:ascii="Times New Roman" w:hAnsi="Times New Roman"/>
          <w:sz w:val="24"/>
          <w:szCs w:val="24"/>
          <w:lang w:val="en-US" w:eastAsia="zh-CN"/>
        </w:rPr>
        <w:t>BHD</w:t>
      </w:r>
      <w:r>
        <w:rPr>
          <w:rFonts w:hint="default" w:ascii="Times New Roman" w:hAnsi="Times New Roman"/>
          <w:sz w:val="24"/>
          <w:szCs w:val="24"/>
          <w:lang w:val="en-US" w:eastAsia="zh-CN"/>
        </w:rPr>
        <w:t xml:space="preserve"> group were treated </w:t>
      </w:r>
      <w:r>
        <w:rPr>
          <w:rFonts w:hint="eastAsia" w:ascii="Times New Roman" w:hAnsi="Times New Roman"/>
          <w:sz w:val="24"/>
          <w:szCs w:val="24"/>
          <w:lang w:val="en-US" w:eastAsia="zh-CN"/>
        </w:rPr>
        <w:t>with BHD and</w:t>
      </w:r>
      <w:r>
        <w:rPr>
          <w:rFonts w:hint="default" w:ascii="Times New Roman" w:hAnsi="Times New Roman"/>
          <w:sz w:val="24"/>
          <w:szCs w:val="24"/>
          <w:lang w:val="en-US" w:eastAsia="zh-CN"/>
        </w:rPr>
        <w:t xml:space="preserve"> best medical management. Standard burr-hole drainage was performed while the patient was under general anesthesia or monitored local anesthesia, and use of either a single bur hole or multiple burr holes was acceptable. After the hematoma was evacuated with ample irrigation, a subdural drain was placed into the subdural space and subsequently removed within several days on the basis of imaging and clinical indications. Usual care involved the use of atorvastatin, dexamethasone, and other drugs as needed in patients without a contraindication.</w:t>
      </w:r>
    </w:p>
    <w:p w14:paraId="638679F3">
      <w:pPr>
        <w:spacing w:line="480" w:lineRule="auto"/>
        <w:rPr>
          <w:rFonts w:hint="eastAsia" w:ascii="Times New Roman" w:hAnsi="Times New Roman" w:eastAsia="宋体" w:cs="Times New Roman"/>
          <w:b/>
          <w:bCs/>
          <w:kern w:val="44"/>
          <w:sz w:val="28"/>
          <w:szCs w:val="28"/>
          <w:lang w:val="en-US" w:eastAsia="zh-CN" w:bidi="ar-SA"/>
        </w:rPr>
      </w:pPr>
      <w:r>
        <w:rPr>
          <w:rFonts w:hint="eastAsia" w:ascii="Times New Roman" w:hAnsi="Times New Roman" w:eastAsia="宋体" w:cs="Times New Roman"/>
          <w:b/>
          <w:bCs/>
          <w:kern w:val="44"/>
          <w:sz w:val="28"/>
          <w:szCs w:val="28"/>
          <w:lang w:val="en-US" w:eastAsia="zh-CN" w:bidi="ar-SA"/>
        </w:rPr>
        <w:t>Specimen management</w:t>
      </w:r>
    </w:p>
    <w:p w14:paraId="6F90935E">
      <w:pPr>
        <w:spacing w:line="480" w:lineRule="auto"/>
        <w:rPr>
          <w:rFonts w:hint="eastAsia" w:ascii="Times New Roman" w:hAnsi="Times New Roman"/>
          <w:sz w:val="24"/>
          <w:szCs w:val="24"/>
          <w:lang w:val="en-US" w:eastAsia="zh-CN"/>
        </w:rPr>
      </w:pPr>
      <w:r>
        <w:rPr>
          <w:rFonts w:hint="eastAsia" w:ascii="Times New Roman" w:hAnsi="Times New Roman" w:eastAsia="宋体" w:cs="Times New Roman"/>
          <w:b/>
          <w:bCs/>
          <w:kern w:val="44"/>
          <w:sz w:val="28"/>
          <w:szCs w:val="28"/>
          <w:lang w:val="en-US" w:eastAsia="zh-CN" w:bidi="ar-SA"/>
        </w:rPr>
        <w:t xml:space="preserve">  </w:t>
      </w:r>
      <w:r>
        <w:rPr>
          <w:rFonts w:hint="eastAsia" w:ascii="Times New Roman" w:hAnsi="Times New Roman"/>
          <w:sz w:val="24"/>
          <w:szCs w:val="24"/>
          <w:lang w:val="en-US" w:eastAsia="zh-CN"/>
        </w:rPr>
        <w:t>The dura and the outer membrane of the hematoma (OMH) obtained during BHD surgery were immediately immersed in 4% paraformaldehyde fixative solution to ensure effective preservation of tissue structure and cellular morphology. After 24 hours of fixation, the tissues were removed from the fixative solution. In a fume hood, the target tissue areas were meticulously trimmed to achieve a smooth and even surface using a surgical scalpel and then placed into embedding cassettes. The cassettes were transferred to a tissue processor for dehydration using a graded alcohol series. The specific steps were as follows: immersion in 75% alcohol for 4 hours, followed by 85% alcohol for 2 hours, then 90% alcohol for another 2 hours, and finally 95% alcohol for 1 hour. Subsequently, the tissues were immersed in absolute ethanol I and absolute ethanol II for 30 minutes each, followed by xylene I and xylene II for 5 minutes each. Finally, the tissues were immersed in molten paraffin wax at 65℃ in three separate steps, each lasting 1 hour, to ensure thorough infiltration of the wax. The molten wax was poured into embedding molds, and before the wax fully solidified, the tissues were transferred from the cassettes into the molds. The molds were then placed on a -20℃ freezing stage to cool. Once the wax had completely solidified, the wax blocks were carefully removed from the molds and trimmed to ensure proper shape and structural integrity. The trimmed wax blocks were sectioned using a microtome at a thickness of 5μm. The sections were floated on warm water at 40℃ in a flotation bath to flatten the tissue. The flattened tissue sections were then lifted onto glass slides and placed in a 60℃ oven for baking. After the water evaporated and the wax melted, the slides were removed and stored at room temperature for subsequent experiments and observations.</w:t>
      </w:r>
    </w:p>
    <w:p w14:paraId="516FF8CC">
      <w:pPr>
        <w:spacing w:line="480" w:lineRule="auto"/>
        <w:rPr>
          <w:rFonts w:hint="default" w:ascii="Times New Roman" w:hAnsi="Times New Roman"/>
          <w:sz w:val="24"/>
          <w:szCs w:val="24"/>
          <w:lang w:val="en-US" w:eastAsia="zh-CN"/>
        </w:rPr>
      </w:pPr>
      <w:r>
        <w:rPr>
          <w:rFonts w:hint="eastAsia" w:ascii="Times New Roman" w:hAnsi="Times New Roman" w:eastAsia="宋体" w:cs="Times New Roman"/>
          <w:b/>
          <w:bCs/>
          <w:kern w:val="44"/>
          <w:sz w:val="28"/>
          <w:szCs w:val="28"/>
          <w:lang w:val="en-US" w:eastAsia="zh-CN" w:bidi="ar-SA"/>
        </w:rPr>
        <w:t>HE staining</w:t>
      </w:r>
    </w:p>
    <w:p w14:paraId="5FAE084F">
      <w:pPr>
        <w:spacing w:line="480" w:lineRule="auto"/>
        <w:rPr>
          <w:rFonts w:hint="default" w:ascii="Times New Roman" w:hAnsi="Times New Roman"/>
          <w:sz w:val="24"/>
          <w:szCs w:val="24"/>
          <w:lang w:val="en-US" w:eastAsia="zh-CN"/>
        </w:rPr>
      </w:pPr>
      <w:r>
        <w:rPr>
          <w:rFonts w:hint="default" w:ascii="Times New Roman" w:hAnsi="Times New Roman"/>
          <w:sz w:val="24"/>
          <w:szCs w:val="24"/>
          <w:lang w:val="en-US" w:eastAsia="zh-CN"/>
        </w:rPr>
        <w:t>The sections were immersed in environmentally friendly dewaxing solution I for 20 minutes, then transferred to environmentally friendly dewaxing solution II for an additional 20 minutes. Subsequently, the sections were sequentially treated with absolute ethanol I and absolute ethanol II, each for 5 minutes, followed by immersion in 75% alcohol for 5 minutes, and finally rinsed thoroughly with tap water. The sections were then placed in a high-definition constant staining pretreatment solution for 1 minute to ensure optimal subsequent staining. Next, the sections were immersed in hematoxylin staining solution for 3 minutes, rinsed with tap water, treated with a differentiation solution, rinsed again with tap water, and then treated with a bluing solution. Afterward, the sections were rinsed under running water. The sections were dehydrated in 95% alcohol for 1 minute and then stained with eosin for 15 seconds. Following this, the sections were sequentially placed in absolute ethanol I, absolute ethanol II, and absolute ethanol III, each for 2 minutes, then transferred to n-butanol I and n-butanol II, each for 2 minutes, and finally immersed in xylene I and xylene II, each for 2 minutes. The sections were then mounted with neutral balsam.</w:t>
      </w:r>
    </w:p>
    <w:p w14:paraId="3EB965AB">
      <w:pPr>
        <w:spacing w:line="480" w:lineRule="auto"/>
        <w:rPr>
          <w:rFonts w:hint="eastAsia" w:ascii="Times New Roman" w:hAnsi="Times New Roman" w:eastAsia="宋体" w:cs="Times New Roman"/>
          <w:b/>
          <w:bCs/>
          <w:kern w:val="44"/>
          <w:sz w:val="28"/>
          <w:szCs w:val="28"/>
          <w:lang w:val="en-US" w:eastAsia="zh-CN" w:bidi="ar-SA"/>
        </w:rPr>
      </w:pPr>
    </w:p>
    <w:p w14:paraId="344516C7">
      <w:pPr>
        <w:spacing w:line="480" w:lineRule="auto"/>
        <w:rPr>
          <w:rFonts w:hint="default" w:ascii="Times New Roman" w:hAnsi="Times New Roman"/>
          <w:sz w:val="24"/>
          <w:szCs w:val="24"/>
          <w:lang w:val="en-US" w:eastAsia="zh-CN"/>
        </w:rPr>
      </w:pPr>
      <w:r>
        <w:rPr>
          <w:rFonts w:hint="eastAsia" w:ascii="Times New Roman" w:hAnsi="Times New Roman" w:eastAsia="宋体" w:cs="Times New Roman"/>
          <w:b/>
          <w:bCs/>
          <w:kern w:val="44"/>
          <w:sz w:val="28"/>
          <w:szCs w:val="28"/>
          <w:lang w:val="en-US" w:eastAsia="zh-CN" w:bidi="ar-SA"/>
        </w:rPr>
        <w:t>Masson staining</w:t>
      </w:r>
    </w:p>
    <w:p w14:paraId="485C8B65">
      <w:pPr>
        <w:spacing w:line="480" w:lineRule="auto"/>
        <w:rPr>
          <w:rFonts w:hint="default" w:ascii="Times New Roman" w:hAnsi="Times New Roman"/>
          <w:sz w:val="24"/>
          <w:szCs w:val="24"/>
          <w:lang w:val="en-US" w:eastAsia="zh-CN"/>
        </w:rPr>
      </w:pPr>
      <w:r>
        <w:rPr>
          <w:rFonts w:hint="default" w:ascii="Times New Roman" w:hAnsi="Times New Roman"/>
          <w:sz w:val="24"/>
          <w:szCs w:val="24"/>
          <w:lang w:val="en-US" w:eastAsia="zh-CN"/>
        </w:rPr>
        <w:t>The sections were sequentially placed in environmentally friendly dewaxing solution I for 20 minutes, environmentally friendly dewaxing solution II for 20 minutes, absolute ethanol I for 5 minutes, absolute ethanol II for 5 minutes, and 75% alcohol for 5 minutes, followed by rinsing with tap water. The sections were then immersed in Masson A solution overnight and rinsed with running tap water. Next, the sections were stained in a mixed solution of Masson B and Masson C (in equal proportions) for 1 minute, rinsed with tap water, differentiated in a differentiation solution for a few seconds, and rinsed again with tap water. The sections were then immersed in Masson D solution for 6 minutes and rinsed with tap water. Subsequently, the sections were stained in Masson E solution for 1 minute, slightly drained, and directly immersed in Masson F solution for 15 seconds. The sections were rinsed and differentiated in 1% acetic acid, followed by dehydration in two changes of absolute ethanol. Finally, the sections were placed in a third change of absolute ethanol for 5 minutes, cleared in xylene for 5 minutes, and mounted with neutral balsam.</w:t>
      </w:r>
    </w:p>
    <w:p w14:paraId="1F51BDED">
      <w:pPr>
        <w:spacing w:line="480" w:lineRule="auto"/>
        <w:rPr>
          <w:rFonts w:hint="default" w:ascii="Times New Roman" w:hAnsi="Times New Roman"/>
          <w:sz w:val="24"/>
          <w:szCs w:val="24"/>
          <w:lang w:val="en-US" w:eastAsia="zh-CN"/>
        </w:rPr>
      </w:pPr>
    </w:p>
    <w:p w14:paraId="196E1DC3">
      <w:pPr>
        <w:spacing w:line="480" w:lineRule="auto"/>
        <w:rPr>
          <w:rFonts w:hint="default" w:ascii="Times New Roman" w:hAnsi="Times New Roman" w:eastAsia="宋体" w:cs="Times New Roman"/>
          <w:b/>
          <w:bCs/>
          <w:kern w:val="44"/>
          <w:sz w:val="28"/>
          <w:szCs w:val="28"/>
          <w:lang w:val="en-US" w:eastAsia="zh-CN" w:bidi="ar-SA"/>
        </w:rPr>
      </w:pPr>
      <w:r>
        <w:rPr>
          <w:rFonts w:hint="eastAsia" w:ascii="Times New Roman" w:hAnsi="Times New Roman" w:eastAsia="宋体" w:cs="Times New Roman"/>
          <w:b/>
          <w:bCs/>
          <w:kern w:val="44"/>
          <w:sz w:val="28"/>
          <w:szCs w:val="28"/>
          <w:lang w:val="en-US" w:eastAsia="zh-CN" w:bidi="ar-SA"/>
        </w:rPr>
        <w:t>I</w:t>
      </w:r>
      <w:r>
        <w:rPr>
          <w:rFonts w:hint="default" w:ascii="Times New Roman" w:hAnsi="Times New Roman" w:eastAsia="宋体" w:cs="Times New Roman"/>
          <w:b/>
          <w:bCs/>
          <w:kern w:val="44"/>
          <w:sz w:val="28"/>
          <w:szCs w:val="28"/>
          <w:lang w:val="en-US" w:eastAsia="zh-CN" w:bidi="ar-SA"/>
        </w:rPr>
        <w:t>mm</w:t>
      </w:r>
      <w:r>
        <w:rPr>
          <w:rFonts w:hint="eastAsia" w:ascii="Times New Roman" w:hAnsi="Times New Roman" w:eastAsia="宋体" w:cs="Times New Roman"/>
          <w:b/>
          <w:bCs/>
          <w:kern w:val="44"/>
          <w:sz w:val="28"/>
          <w:szCs w:val="28"/>
          <w:lang w:val="en-US" w:eastAsia="zh-CN" w:bidi="ar-SA"/>
        </w:rPr>
        <w:t>uno</w:t>
      </w:r>
      <w:r>
        <w:rPr>
          <w:rFonts w:hint="default" w:ascii="Times New Roman" w:hAnsi="Times New Roman" w:eastAsia="宋体" w:cs="Times New Roman"/>
          <w:b/>
          <w:bCs/>
          <w:kern w:val="44"/>
          <w:sz w:val="28"/>
          <w:szCs w:val="28"/>
          <w:lang w:val="en-US" w:eastAsia="zh-CN" w:bidi="ar-SA"/>
        </w:rPr>
        <w:t>histochemistry staining</w:t>
      </w:r>
    </w:p>
    <w:p w14:paraId="7AC0C57A">
      <w:pPr>
        <w:spacing w:line="480" w:lineRule="auto"/>
        <w:rPr>
          <w:rFonts w:hint="default" w:ascii="Times New Roman" w:hAnsi="Times New Roman"/>
          <w:sz w:val="24"/>
          <w:szCs w:val="24"/>
          <w:lang w:val="en-US" w:eastAsia="zh-CN"/>
        </w:rPr>
      </w:pPr>
      <w:r>
        <w:rPr>
          <w:rFonts w:hint="default" w:ascii="Times New Roman" w:hAnsi="Times New Roman"/>
          <w:sz w:val="24"/>
          <w:szCs w:val="24"/>
          <w:lang w:val="en-US" w:eastAsia="zh-CN"/>
        </w:rPr>
        <w:t>The sections were sequentially placed in environmentally friendly dewaxing solution I for 10 minutes, environmentally friendly dewaxing solution II for 10 minutes, environmentally friendly dewaxing solution III for 10 minutes, absolute ethanol I for 5 minutes, absolute ethanol II for 5 minutes, absolute ethanol III for 5 minutes, and then rinsed with distilled water. The sections were then immersed in 3% hydrogen peroxide solution and incubated at room temperature in the dark for 25 minutes. Afterward, the slides were washed three times in PBS (pH 7.4) on a decolorizing shaker, 5 minutes each time. Within the immunohistochemical circle, 3% BSA was added to evenly cover the tissue, and the sections were blocked at room temperature for 30 minutes. The blocking solution was gently shaken off, and a primary antibody diluted in PBS at a specific ratio was added dropwise onto the sections. The sections were placed flat in a humidified chamber and incubated overnight at 4°C. The slides were then washed three times in PBS (pH 7.4) on a decolorizing shaker, 5 minutes each time. After slightly drying the sections, a secondary antibody (HRP-labeled) corresponding to the species of the primary antibody was added dropwise to cover the tissue and incubated at room temperature for 50 minutes. The slides were washed three times in PBS (pH 7.4) on a decolorizing shaker, 5 minutes each time. After slightly drying the sections, freshly prepared DAB chromogen solution was added dropwise, and the staining time was controlled under a microscope until positive signals appeared as brown-yellow. The reaction was stopped by rinsing the sections with tap water. The sections were then counterstained with hematoxylin for approximately 3 minutes, rinsed with tap water, differentiated in hematoxylin differentiation solution for a few seconds, rinsed again with tap water, and treated with hematoxylin bluing solution to restore the blue color, followed by a final rinse under running water. The sections were sequentially dehydrated and cleared in 75% alcohol for 5 minutes, 85% alcohol for 5 minutes, absolute ethanol I for 5 minutes, absolute ethanol II for 5 minutes, n-butanol for 5 minutes, and xylene I for 5 minutes. The sections were removed from xylene, slightly air-dried, and mounted with mounting medium.</w:t>
      </w:r>
    </w:p>
    <w:p w14:paraId="4AE5CC6C">
      <w:pPr>
        <w:spacing w:line="480" w:lineRule="auto"/>
        <w:rPr>
          <w:rFonts w:hint="default" w:ascii="Times New Roman" w:hAnsi="Times New Roman"/>
          <w:sz w:val="24"/>
          <w:szCs w:val="24"/>
          <w:lang w:val="en-US" w:eastAsia="zh-CN"/>
        </w:rPr>
      </w:pPr>
    </w:p>
    <w:p w14:paraId="68B462EB">
      <w:pPr>
        <w:spacing w:line="480" w:lineRule="auto"/>
        <w:rPr>
          <w:rFonts w:hint="eastAsia" w:ascii="Times New Roman" w:hAnsi="Times New Roman" w:eastAsia="宋体" w:cs="Times New Roman"/>
          <w:b/>
          <w:bCs/>
          <w:kern w:val="44"/>
          <w:sz w:val="28"/>
          <w:szCs w:val="28"/>
          <w:lang w:val="en-US" w:eastAsia="zh-CN" w:bidi="ar-SA"/>
        </w:rPr>
      </w:pPr>
      <w:r>
        <w:rPr>
          <w:rFonts w:hint="eastAsia" w:ascii="Times New Roman" w:hAnsi="Times New Roman" w:eastAsia="宋体" w:cs="Times New Roman"/>
          <w:b/>
          <w:bCs/>
          <w:kern w:val="44"/>
          <w:sz w:val="28"/>
          <w:szCs w:val="28"/>
          <w:lang w:val="en-US" w:eastAsia="zh-CN" w:bidi="ar-SA"/>
        </w:rPr>
        <w:t>Immunofluorescence staining</w:t>
      </w:r>
    </w:p>
    <w:p w14:paraId="1E42402D">
      <w:pPr>
        <w:spacing w:line="480" w:lineRule="auto"/>
        <w:rPr>
          <w:rFonts w:hint="eastAsia" w:ascii="Times New Roman" w:hAnsi="Times New Roman"/>
          <w:sz w:val="24"/>
          <w:szCs w:val="24"/>
        </w:rPr>
      </w:pPr>
      <w:r>
        <w:rPr>
          <w:rFonts w:hint="eastAsia" w:ascii="Times New Roman" w:hAnsi="Times New Roman"/>
          <w:sz w:val="24"/>
          <w:szCs w:val="24"/>
        </w:rPr>
        <w:t>The sections were sequentially placed in environmentally friendly dewaxing solution I for 10 minutes, environmentally friendly dewaxing solution II for 10 minutes, and environmentally friendly dewaxing solution III for 10 minutes, followed by absolute ethanol I for 5 minutes, absolute ethanol II for 5 minutes, and absolute ethanol III for 5 minutes, and then rinsed with distilled water. After slightly drying the sections, a hydrophobic barrier pen was used to circle the tissue, and BSA was added dropwise for blocking for 30 minutes. The primary antibody, prepared at the appropriate dilution, was added dropwise, and the sections were placed flat in a humidified chamber and incubated overnight at 4°C. The slides were then washed three times in PBS (pH 7.4) on a decolorizing shaker, 5 minutes each time. The corresponding secondary antibody was added, and the sections were incubated at room temperature in the dark for 50 minutes. For DAPI nuclear staining, the slides were washed three times in PBS (pH 7.4) on a decolorizing shaker, 5 minutes each time. DAPI staining solution was added, and the sections were incubated at room temperature in the dark for 10 minutes. The slides were washed three times in PBS (pH 7.4) on a decolorizing shaker, 5 minutes each time. Autofluorescence quenching solution B was added for 5 minutes, followed by rinsing under running water for 10 minutes. The sections were mounted with an anti-fade mounting medium. The excitation and emission wavelengths for the fluorophores were as follows: DAPI (excitation 330-380 nm, emission 420 nm); 488 (excitation 465-495 nm, emission 515-555 nm); CY3 (excitation 510-560 nm, emission 590 nm); CY5 (excitation 608-648 nm, emission 672-712 nm).</w:t>
      </w:r>
    </w:p>
    <w:p w14:paraId="0C5AD4D9">
      <w:pPr>
        <w:spacing w:line="480" w:lineRule="auto"/>
        <w:rPr>
          <w:rFonts w:hint="default" w:ascii="Times New Roman" w:hAnsi="Times New Roman"/>
          <w:sz w:val="24"/>
          <w:szCs w:val="24"/>
          <w:lang w:val="en-US" w:eastAsia="zh-CN"/>
        </w:rPr>
      </w:pPr>
    </w:p>
    <w:p w14:paraId="0FE2EBD1">
      <w:pPr>
        <w:spacing w:line="480" w:lineRule="auto"/>
        <w:rPr>
          <w:rFonts w:hint="default" w:ascii="Times New Roman" w:hAnsi="Times New Roman"/>
          <w:sz w:val="24"/>
          <w:szCs w:val="24"/>
          <w:lang w:val="en-US" w:eastAsia="zh-CN"/>
        </w:rPr>
      </w:pP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B85004"/>
    <w:multiLevelType w:val="multilevel"/>
    <w:tmpl w:val="46B85004"/>
    <w:lvl w:ilvl="0" w:tentative="0">
      <w:start w:val="1"/>
      <w:numFmt w:val="decimal"/>
      <w:pStyle w:val="2"/>
      <w:suff w:val="space"/>
      <w:lvlText w:val="%1"/>
      <w:lvlJc w:val="left"/>
      <w:pPr>
        <w:ind w:left="630" w:firstLine="0"/>
      </w:pPr>
      <w:rPr>
        <w:rFonts w:hint="default" w:ascii="Times New Roman" w:hAnsi="Times New Roman"/>
        <w:b/>
        <w:i w:val="0"/>
        <w:sz w:val="28"/>
      </w:rPr>
    </w:lvl>
    <w:lvl w:ilvl="1" w:tentative="0">
      <w:start w:val="1"/>
      <w:numFmt w:val="decimal"/>
      <w:suff w:val="space"/>
      <w:lvlText w:val="%1.%2"/>
      <w:lvlJc w:val="left"/>
      <w:pPr>
        <w:ind w:left="630" w:firstLine="0"/>
      </w:pPr>
      <w:rPr>
        <w:rFonts w:hint="eastAsia"/>
      </w:rPr>
    </w:lvl>
    <w:lvl w:ilvl="2" w:tentative="0">
      <w:start w:val="1"/>
      <w:numFmt w:val="decimal"/>
      <w:suff w:val="space"/>
      <w:lvlText w:val="%1.%2.%3"/>
      <w:lvlJc w:val="left"/>
      <w:pPr>
        <w:ind w:left="630" w:firstLine="0"/>
      </w:pPr>
      <w:rPr>
        <w:rFonts w:hint="eastAsia"/>
      </w:rPr>
    </w:lvl>
    <w:lvl w:ilvl="3" w:tentative="0">
      <w:start w:val="1"/>
      <w:numFmt w:val="decimal"/>
      <w:suff w:val="space"/>
      <w:lvlText w:val="%1.%2.%3.%4"/>
      <w:lvlJc w:val="left"/>
      <w:pPr>
        <w:ind w:left="630" w:firstLine="0"/>
      </w:pPr>
      <w:rPr>
        <w:rFonts w:hint="eastAsia"/>
      </w:rPr>
    </w:lvl>
    <w:lvl w:ilvl="4" w:tentative="0">
      <w:start w:val="1"/>
      <w:numFmt w:val="decimal"/>
      <w:lvlText w:val="%1.%2.%3.%4.%5"/>
      <w:lvlJc w:val="left"/>
      <w:pPr>
        <w:ind w:left="630" w:firstLine="0"/>
      </w:pPr>
      <w:rPr>
        <w:rFonts w:hint="eastAsia"/>
      </w:rPr>
    </w:lvl>
    <w:lvl w:ilvl="5" w:tentative="0">
      <w:start w:val="1"/>
      <w:numFmt w:val="decimal"/>
      <w:lvlText w:val="%1.%2.%3.%4.%5.%6"/>
      <w:lvlJc w:val="left"/>
      <w:pPr>
        <w:ind w:left="630" w:firstLine="0"/>
      </w:pPr>
      <w:rPr>
        <w:rFonts w:hint="eastAsia"/>
      </w:rPr>
    </w:lvl>
    <w:lvl w:ilvl="6" w:tentative="0">
      <w:start w:val="1"/>
      <w:numFmt w:val="decimal"/>
      <w:lvlText w:val="%1.%2.%3.%4.%5.%6.%7"/>
      <w:lvlJc w:val="left"/>
      <w:pPr>
        <w:ind w:left="630" w:firstLine="0"/>
      </w:pPr>
      <w:rPr>
        <w:rFonts w:hint="eastAsia"/>
      </w:rPr>
    </w:lvl>
    <w:lvl w:ilvl="7" w:tentative="0">
      <w:start w:val="1"/>
      <w:numFmt w:val="decimal"/>
      <w:lvlText w:val="%1.%2.%3.%4.%5.%6.%7.%8"/>
      <w:lvlJc w:val="left"/>
      <w:pPr>
        <w:ind w:left="630" w:firstLine="0"/>
      </w:pPr>
      <w:rPr>
        <w:rFonts w:hint="eastAsia"/>
      </w:rPr>
    </w:lvl>
    <w:lvl w:ilvl="8" w:tentative="0">
      <w:start w:val="1"/>
      <w:numFmt w:val="decimal"/>
      <w:lvlText w:val="%1.%2.%3.%4.%5.%6.%7.%8.%9"/>
      <w:lvlJc w:val="left"/>
      <w:pPr>
        <w:ind w:left="63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61F59"/>
    <w:rsid w:val="1A0B1192"/>
    <w:rsid w:val="39D14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60" w:after="100" w:line="400" w:lineRule="exact"/>
      <w:jc w:val="left"/>
      <w:outlineLvl w:val="0"/>
    </w:pPr>
    <w:rPr>
      <w:rFonts w:eastAsia="Times New Roman"/>
      <w:b/>
      <w:bCs/>
      <w:kern w:val="44"/>
      <w:sz w:val="28"/>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1610</Words>
  <Characters>8744</Characters>
  <Lines>0</Lines>
  <Paragraphs>0</Paragraphs>
  <TotalTime>0</TotalTime>
  <ScaleCrop>false</ScaleCrop>
  <LinksUpToDate>false</LinksUpToDate>
  <CharactersWithSpaces>10335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2024-12-10T07:40:00Z</dcterms:created>
  <dc:creator>louis</dc:creator>
  <cp:lastModifiedBy>loui陆秋语</cp:lastModifiedBy>
  <dcterms:modified xsi:type="dcterms:W3CDTF">2025-03-13T04:48:43Z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3E695539FA8C4775B654BB3EB617C043_12</vt:lpwstr>
  </property>
  <property fmtid="{D5CDD505-2E9C-101B-9397-08002B2CF9AE}" pid="4" name="KSOTemplateDocerSaveRecord">
    <vt:lpwstr>eyJoZGlkIjoiODViY2JkMjU3NGYzZTEwMzZmMGFkZWViYmNkYWU3NDIiLCJ1c2VySWQiOiI2NTc1NjkyMzQifQ==</vt:lpwstr>
  </property>
</Properties>
</file>