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02466" w14:textId="4D91CCF6" w:rsidR="00C72D86" w:rsidRPr="00AE35D8" w:rsidRDefault="00C72D86" w:rsidP="00C72D86">
      <w:pPr>
        <w:spacing w:line="360" w:lineRule="auto"/>
        <w:jc w:val="both"/>
        <w:rPr>
          <w:b/>
          <w:bCs/>
          <w:color w:val="000000" w:themeColor="text1"/>
          <w:sz w:val="22"/>
          <w:szCs w:val="22"/>
          <w:lang w:eastAsia="it-IT"/>
        </w:rPr>
      </w:pPr>
      <w:r w:rsidRPr="00AE35D8">
        <w:rPr>
          <w:b/>
          <w:bCs/>
          <w:color w:val="000000" w:themeColor="text1"/>
          <w:sz w:val="22"/>
          <w:szCs w:val="22"/>
          <w:lang w:eastAsia="it-IT"/>
        </w:rPr>
        <w:t xml:space="preserve">Supplementary Table 1. </w:t>
      </w:r>
      <w:r w:rsidRPr="00AE35D8">
        <w:rPr>
          <w:b/>
          <w:bCs/>
          <w:i/>
          <w:iCs/>
          <w:color w:val="000000" w:themeColor="text1"/>
          <w:sz w:val="22"/>
          <w:szCs w:val="22"/>
          <w:lang w:eastAsia="it-IT"/>
        </w:rPr>
        <w:t>Clinical features of enrolled patient</w:t>
      </w:r>
      <w:r w:rsidR="0034551B" w:rsidRPr="00AE35D8">
        <w:rPr>
          <w:b/>
          <w:bCs/>
          <w:i/>
          <w:iCs/>
          <w:color w:val="000000" w:themeColor="text1"/>
          <w:sz w:val="22"/>
          <w:szCs w:val="22"/>
          <w:lang w:eastAsia="it-IT"/>
        </w:rPr>
        <w:t>s</w:t>
      </w:r>
      <w:r w:rsidRPr="00AE35D8">
        <w:rPr>
          <w:b/>
          <w:bCs/>
          <w:i/>
          <w:iCs/>
          <w:color w:val="000000" w:themeColor="text1"/>
          <w:sz w:val="22"/>
          <w:szCs w:val="22"/>
          <w:lang w:eastAsia="it-IT"/>
        </w:rPr>
        <w:t>.</w:t>
      </w:r>
    </w:p>
    <w:p w14:paraId="0D714881" w14:textId="05E72010" w:rsidR="00C72D86" w:rsidRPr="00AE35D8" w:rsidRDefault="00C72D86" w:rsidP="00C72D86">
      <w:pPr>
        <w:spacing w:line="360" w:lineRule="auto"/>
        <w:jc w:val="both"/>
        <w:rPr>
          <w:color w:val="000000" w:themeColor="text1"/>
          <w:sz w:val="22"/>
          <w:szCs w:val="22"/>
          <w:lang w:eastAsia="it-IT"/>
        </w:rPr>
      </w:pPr>
      <w:r w:rsidRPr="00AE35D8">
        <w:rPr>
          <w:color w:val="000000" w:themeColor="text1"/>
          <w:sz w:val="22"/>
          <w:szCs w:val="22"/>
          <w:lang w:eastAsia="it-IT"/>
        </w:rPr>
        <w:t>Grade (</w:t>
      </w:r>
      <w:r w:rsidRPr="00AE35D8">
        <w:rPr>
          <w:i/>
          <w:iCs/>
          <w:color w:val="000000" w:themeColor="text1"/>
          <w:sz w:val="22"/>
          <w:szCs w:val="22"/>
          <w:lang w:eastAsia="it-IT"/>
        </w:rPr>
        <w:t>1= grade 1; 2= grade 2; 3= grade 3</w:t>
      </w:r>
      <w:r w:rsidRPr="00AE35D8">
        <w:rPr>
          <w:color w:val="000000" w:themeColor="text1"/>
          <w:sz w:val="22"/>
          <w:szCs w:val="22"/>
          <w:lang w:eastAsia="it-IT"/>
        </w:rPr>
        <w:t>); myometrial infiltration (</w:t>
      </w:r>
      <w:r w:rsidRPr="00AE35D8">
        <w:rPr>
          <w:i/>
          <w:iCs/>
          <w:color w:val="000000" w:themeColor="text1"/>
          <w:sz w:val="22"/>
          <w:szCs w:val="22"/>
          <w:lang w:eastAsia="it-IT"/>
        </w:rPr>
        <w:t>1&lt; 50%; 2&gt;50%</w:t>
      </w:r>
      <w:r w:rsidRPr="00AE35D8">
        <w:rPr>
          <w:color w:val="000000" w:themeColor="text1"/>
          <w:sz w:val="22"/>
          <w:szCs w:val="22"/>
          <w:lang w:eastAsia="it-IT"/>
        </w:rPr>
        <w:t>); cervical stromal invasion (</w:t>
      </w:r>
      <w:r w:rsidRPr="00AE35D8">
        <w:rPr>
          <w:i/>
          <w:iCs/>
          <w:color w:val="000000" w:themeColor="text1"/>
          <w:sz w:val="22"/>
          <w:szCs w:val="22"/>
          <w:lang w:eastAsia="it-IT"/>
        </w:rPr>
        <w:t>0= no; 1= yes; 9= unknown</w:t>
      </w:r>
      <w:r w:rsidRPr="00AE35D8">
        <w:rPr>
          <w:color w:val="000000" w:themeColor="text1"/>
          <w:sz w:val="22"/>
          <w:szCs w:val="22"/>
          <w:lang w:eastAsia="it-IT"/>
        </w:rPr>
        <w:t>); histology (</w:t>
      </w:r>
      <w:r w:rsidRPr="00AE35D8">
        <w:rPr>
          <w:i/>
          <w:iCs/>
          <w:color w:val="000000" w:themeColor="text1"/>
          <w:sz w:val="22"/>
          <w:szCs w:val="22"/>
          <w:lang w:eastAsia="it-IT"/>
        </w:rPr>
        <w:t>1= endometroid;</w:t>
      </w:r>
      <w:r w:rsidR="0034551B" w:rsidRPr="00AE35D8">
        <w:rPr>
          <w:i/>
          <w:iCs/>
          <w:color w:val="000000" w:themeColor="text1"/>
          <w:sz w:val="22"/>
          <w:szCs w:val="22"/>
          <w:lang w:eastAsia="it-IT"/>
        </w:rPr>
        <w:t>2</w:t>
      </w:r>
      <w:r w:rsidRPr="00AE35D8">
        <w:rPr>
          <w:i/>
          <w:iCs/>
          <w:color w:val="000000" w:themeColor="text1"/>
          <w:sz w:val="22"/>
          <w:szCs w:val="22"/>
          <w:lang w:eastAsia="it-IT"/>
        </w:rPr>
        <w:t xml:space="preserve">= undifferentiated; </w:t>
      </w:r>
      <w:r w:rsidR="0034551B" w:rsidRPr="00AE35D8">
        <w:rPr>
          <w:i/>
          <w:iCs/>
          <w:color w:val="000000" w:themeColor="text1"/>
          <w:sz w:val="22"/>
          <w:szCs w:val="22"/>
          <w:lang w:eastAsia="it-IT"/>
        </w:rPr>
        <w:t>3</w:t>
      </w:r>
      <w:r w:rsidRPr="00AE35D8">
        <w:rPr>
          <w:i/>
          <w:iCs/>
          <w:color w:val="000000" w:themeColor="text1"/>
          <w:sz w:val="22"/>
          <w:szCs w:val="22"/>
          <w:lang w:eastAsia="it-IT"/>
        </w:rPr>
        <w:t xml:space="preserve">= carcinosarcoma; </w:t>
      </w:r>
      <w:r w:rsidR="0034551B" w:rsidRPr="00AE35D8">
        <w:rPr>
          <w:i/>
          <w:iCs/>
          <w:color w:val="000000" w:themeColor="text1"/>
          <w:sz w:val="22"/>
          <w:szCs w:val="22"/>
          <w:lang w:eastAsia="it-IT"/>
        </w:rPr>
        <w:t>4</w:t>
      </w:r>
      <w:r w:rsidRPr="00AE35D8">
        <w:rPr>
          <w:i/>
          <w:iCs/>
          <w:color w:val="000000" w:themeColor="text1"/>
          <w:sz w:val="22"/>
          <w:szCs w:val="22"/>
          <w:lang w:eastAsia="it-IT"/>
        </w:rPr>
        <w:t>= mixed (endometroid/serous)</w:t>
      </w:r>
      <w:r w:rsidRPr="00AE35D8">
        <w:rPr>
          <w:color w:val="000000" w:themeColor="text1"/>
          <w:sz w:val="22"/>
          <w:szCs w:val="22"/>
          <w:lang w:eastAsia="it-IT"/>
        </w:rPr>
        <w:t>); surgical approach (</w:t>
      </w:r>
      <w:r w:rsidRPr="00AE35D8">
        <w:rPr>
          <w:i/>
          <w:iCs/>
          <w:color w:val="000000" w:themeColor="text1"/>
          <w:sz w:val="22"/>
          <w:szCs w:val="22"/>
          <w:lang w:eastAsia="it-IT"/>
        </w:rPr>
        <w:t>1= minimally invasive (MIS); 2= MIS robotic; 3= open</w:t>
      </w:r>
      <w:r w:rsidRPr="00AE35D8">
        <w:rPr>
          <w:color w:val="000000" w:themeColor="text1"/>
          <w:sz w:val="22"/>
          <w:szCs w:val="22"/>
          <w:lang w:eastAsia="it-IT"/>
        </w:rPr>
        <w:t>); TP53 (</w:t>
      </w:r>
      <w:r w:rsidRPr="00AE35D8">
        <w:rPr>
          <w:i/>
          <w:iCs/>
          <w:color w:val="000000" w:themeColor="text1"/>
          <w:sz w:val="22"/>
          <w:szCs w:val="22"/>
          <w:lang w:eastAsia="it-IT"/>
        </w:rPr>
        <w:t>0&lt; 50%</w:t>
      </w:r>
      <w:r w:rsidRPr="00AE35D8">
        <w:rPr>
          <w:color w:val="000000" w:themeColor="text1"/>
          <w:sz w:val="22"/>
          <w:szCs w:val="22"/>
          <w:lang w:eastAsia="it-IT"/>
        </w:rPr>
        <w:t>); MLH1, MSH2, MSH6, MSH6</w:t>
      </w:r>
      <w:r w:rsidR="0034551B" w:rsidRPr="00AE35D8">
        <w:rPr>
          <w:color w:val="000000" w:themeColor="text1"/>
          <w:sz w:val="22"/>
          <w:szCs w:val="22"/>
          <w:lang w:eastAsia="it-IT"/>
        </w:rPr>
        <w:t xml:space="preserve"> </w:t>
      </w:r>
      <w:r w:rsidRPr="00AE35D8">
        <w:rPr>
          <w:color w:val="000000" w:themeColor="text1"/>
          <w:sz w:val="22"/>
          <w:szCs w:val="22"/>
          <w:lang w:eastAsia="it-IT"/>
        </w:rPr>
        <w:t>+ PMS2 (</w:t>
      </w:r>
      <w:r w:rsidRPr="00AE35D8">
        <w:rPr>
          <w:i/>
          <w:iCs/>
          <w:color w:val="000000" w:themeColor="text1"/>
          <w:sz w:val="22"/>
          <w:szCs w:val="22"/>
          <w:lang w:eastAsia="it-IT"/>
        </w:rPr>
        <w:t>0= stable; 1= high instability; 2= low instability</w:t>
      </w:r>
      <w:r w:rsidRPr="00AE35D8">
        <w:rPr>
          <w:color w:val="000000" w:themeColor="text1"/>
          <w:sz w:val="22"/>
          <w:szCs w:val="22"/>
          <w:lang w:eastAsia="it-IT"/>
        </w:rPr>
        <w:t>); POLE mut (</w:t>
      </w:r>
      <w:r w:rsidRPr="00AE35D8">
        <w:rPr>
          <w:i/>
          <w:iCs/>
          <w:color w:val="000000" w:themeColor="text1"/>
          <w:sz w:val="22"/>
          <w:szCs w:val="22"/>
          <w:lang w:eastAsia="it-IT"/>
        </w:rPr>
        <w:t>0= no; 1= yes; 2= VUS</w:t>
      </w:r>
      <w:r w:rsidRPr="00AE35D8">
        <w:rPr>
          <w:color w:val="000000" w:themeColor="text1"/>
          <w:sz w:val="22"/>
          <w:szCs w:val="22"/>
          <w:lang w:eastAsia="it-IT"/>
        </w:rPr>
        <w:t>)</w:t>
      </w:r>
      <w:r w:rsidR="0034551B" w:rsidRPr="00AE35D8">
        <w:rPr>
          <w:color w:val="000000" w:themeColor="text1"/>
          <w:sz w:val="22"/>
          <w:szCs w:val="22"/>
          <w:lang w:eastAsia="it-IT"/>
        </w:rPr>
        <w:t>.</w:t>
      </w:r>
    </w:p>
    <w:p w14:paraId="1B6C0F88" w14:textId="497350CD" w:rsidR="00A904A9" w:rsidRPr="00AE35D8" w:rsidRDefault="00A904A9" w:rsidP="00C72D86">
      <w:pPr>
        <w:spacing w:line="360" w:lineRule="auto"/>
        <w:jc w:val="both"/>
        <w:rPr>
          <w:color w:val="000000" w:themeColor="text1"/>
          <w:sz w:val="22"/>
          <w:szCs w:val="22"/>
          <w:lang w:eastAsia="it-IT"/>
        </w:rPr>
      </w:pPr>
    </w:p>
    <w:p w14:paraId="42EC3E07" w14:textId="0516B51A" w:rsidR="00C151D7" w:rsidRPr="00AE35D8" w:rsidRDefault="0034551B" w:rsidP="0034551B">
      <w:pPr>
        <w:spacing w:line="360" w:lineRule="auto"/>
        <w:jc w:val="both"/>
        <w:rPr>
          <w:b/>
          <w:bCs/>
          <w:color w:val="000000" w:themeColor="text1"/>
          <w:sz w:val="22"/>
          <w:szCs w:val="22"/>
          <w:lang w:eastAsia="it-IT"/>
        </w:rPr>
      </w:pPr>
      <w:r w:rsidRPr="00AE35D8">
        <w:rPr>
          <w:b/>
          <w:bCs/>
          <w:color w:val="000000" w:themeColor="text1"/>
          <w:sz w:val="22"/>
          <w:szCs w:val="22"/>
          <w:lang w:eastAsia="it-IT"/>
        </w:rPr>
        <w:t xml:space="preserve">Supplementary Table 2. </w:t>
      </w:r>
      <w:r w:rsidRPr="00AE35D8">
        <w:rPr>
          <w:b/>
          <w:bCs/>
          <w:i/>
          <w:iCs/>
          <w:color w:val="000000" w:themeColor="text1"/>
          <w:sz w:val="22"/>
          <w:szCs w:val="22"/>
          <w:lang w:eastAsia="it-IT"/>
        </w:rPr>
        <w:t>PDOs biobank feature</w:t>
      </w:r>
      <w:r w:rsidR="00FC73F3" w:rsidRPr="00AE35D8">
        <w:rPr>
          <w:b/>
          <w:bCs/>
          <w:i/>
          <w:iCs/>
          <w:color w:val="000000" w:themeColor="text1"/>
          <w:sz w:val="22"/>
          <w:szCs w:val="22"/>
          <w:lang w:eastAsia="it-IT"/>
        </w:rPr>
        <w:t>s</w:t>
      </w:r>
      <w:r w:rsidRPr="00AE35D8">
        <w:rPr>
          <w:b/>
          <w:bCs/>
          <w:i/>
          <w:iCs/>
          <w:color w:val="000000" w:themeColor="text1"/>
          <w:sz w:val="22"/>
          <w:szCs w:val="22"/>
          <w:lang w:eastAsia="it-IT"/>
        </w:rPr>
        <w:t>.</w:t>
      </w:r>
    </w:p>
    <w:p w14:paraId="478C7BA5" w14:textId="2B789D8E" w:rsidR="0034551B" w:rsidRDefault="00C151D7" w:rsidP="0034551B">
      <w:pPr>
        <w:spacing w:line="360" w:lineRule="auto"/>
        <w:jc w:val="both"/>
        <w:rPr>
          <w:color w:val="000000" w:themeColor="text1"/>
          <w:sz w:val="22"/>
          <w:szCs w:val="22"/>
          <w:lang w:eastAsia="it-IT"/>
        </w:rPr>
      </w:pPr>
      <w:r w:rsidRPr="00AE35D8">
        <w:rPr>
          <w:color w:val="000000" w:themeColor="text1"/>
          <w:sz w:val="22"/>
          <w:szCs w:val="22"/>
          <w:lang w:eastAsia="it-IT"/>
        </w:rPr>
        <w:t xml:space="preserve">The table reports the main analyses performed on each PDO, including histological assessment, molecular profiling and standard treatment testing. For each </w:t>
      </w:r>
      <w:r w:rsidR="0056053C" w:rsidRPr="00AE35D8">
        <w:rPr>
          <w:color w:val="000000" w:themeColor="text1"/>
          <w:sz w:val="22"/>
          <w:szCs w:val="22"/>
          <w:lang w:eastAsia="it-IT"/>
        </w:rPr>
        <w:t xml:space="preserve">PDOs </w:t>
      </w:r>
      <w:r w:rsidRPr="00AE35D8">
        <w:rPr>
          <w:color w:val="000000" w:themeColor="text1"/>
          <w:sz w:val="22"/>
          <w:szCs w:val="22"/>
          <w:lang w:eastAsia="it-IT"/>
        </w:rPr>
        <w:t xml:space="preserve">line, the table also shows the total culture time (in months) and number of passages achieved. </w:t>
      </w:r>
      <w:r w:rsidR="0034551B" w:rsidRPr="00AE35D8">
        <w:rPr>
          <w:color w:val="000000" w:themeColor="text1"/>
          <w:sz w:val="22"/>
          <w:szCs w:val="22"/>
          <w:lang w:eastAsia="it-IT"/>
        </w:rPr>
        <w:t>PDOs passages</w:t>
      </w:r>
      <w:r w:rsidR="00FC73F3" w:rsidRPr="00AE35D8">
        <w:rPr>
          <w:color w:val="000000" w:themeColor="text1"/>
          <w:sz w:val="22"/>
          <w:szCs w:val="22"/>
          <w:lang w:eastAsia="it-IT"/>
        </w:rPr>
        <w:t xml:space="preserve"> (Px)</w:t>
      </w:r>
      <w:r w:rsidR="0034551B" w:rsidRPr="00AE35D8">
        <w:rPr>
          <w:color w:val="000000" w:themeColor="text1"/>
          <w:sz w:val="22"/>
          <w:szCs w:val="22"/>
          <w:lang w:eastAsia="it-IT"/>
        </w:rPr>
        <w:t xml:space="preserve">, </w:t>
      </w:r>
      <w:r w:rsidR="00FC73F3" w:rsidRPr="00AE35D8">
        <w:rPr>
          <w:color w:val="000000" w:themeColor="text1"/>
          <w:sz w:val="22"/>
          <w:szCs w:val="22"/>
          <w:lang w:eastAsia="it-IT"/>
        </w:rPr>
        <w:t xml:space="preserve">Whole </w:t>
      </w:r>
      <w:r w:rsidRPr="00AE35D8">
        <w:rPr>
          <w:color w:val="000000" w:themeColor="text1"/>
          <w:sz w:val="22"/>
          <w:szCs w:val="22"/>
          <w:lang w:eastAsia="it-IT"/>
        </w:rPr>
        <w:t>E</w:t>
      </w:r>
      <w:r w:rsidR="00FC73F3" w:rsidRPr="00AE35D8">
        <w:rPr>
          <w:color w:val="000000" w:themeColor="text1"/>
          <w:sz w:val="22"/>
          <w:szCs w:val="22"/>
          <w:lang w:eastAsia="it-IT"/>
        </w:rPr>
        <w:t xml:space="preserve">xome </w:t>
      </w:r>
      <w:r w:rsidRPr="00AE35D8">
        <w:rPr>
          <w:color w:val="000000" w:themeColor="text1"/>
          <w:sz w:val="22"/>
          <w:szCs w:val="22"/>
          <w:lang w:eastAsia="it-IT"/>
        </w:rPr>
        <w:t>S</w:t>
      </w:r>
      <w:r w:rsidR="00FC73F3" w:rsidRPr="00AE35D8">
        <w:rPr>
          <w:color w:val="000000" w:themeColor="text1"/>
          <w:sz w:val="22"/>
          <w:szCs w:val="22"/>
          <w:lang w:eastAsia="it-IT"/>
        </w:rPr>
        <w:t>equencing (</w:t>
      </w:r>
      <w:r w:rsidR="0034551B" w:rsidRPr="00AE35D8">
        <w:rPr>
          <w:color w:val="000000" w:themeColor="text1"/>
          <w:sz w:val="22"/>
          <w:szCs w:val="22"/>
          <w:lang w:eastAsia="it-IT"/>
        </w:rPr>
        <w:t>WES</w:t>
      </w:r>
      <w:r w:rsidR="00FC73F3" w:rsidRPr="00AE35D8">
        <w:rPr>
          <w:color w:val="000000" w:themeColor="text1"/>
          <w:sz w:val="22"/>
          <w:szCs w:val="22"/>
          <w:lang w:eastAsia="it-IT"/>
        </w:rPr>
        <w:t>), RNA sequencing (</w:t>
      </w:r>
      <w:r w:rsidR="0034551B" w:rsidRPr="00AE35D8">
        <w:rPr>
          <w:color w:val="000000" w:themeColor="text1"/>
          <w:sz w:val="22"/>
          <w:szCs w:val="22"/>
          <w:lang w:eastAsia="it-IT"/>
        </w:rPr>
        <w:t>RNA</w:t>
      </w:r>
      <w:r w:rsidR="00FC73F3" w:rsidRPr="00AE35D8">
        <w:rPr>
          <w:color w:val="000000" w:themeColor="text1"/>
          <w:sz w:val="22"/>
          <w:szCs w:val="22"/>
          <w:lang w:eastAsia="it-IT"/>
        </w:rPr>
        <w:t>-</w:t>
      </w:r>
      <w:r w:rsidR="0034551B" w:rsidRPr="00AE35D8">
        <w:rPr>
          <w:color w:val="000000" w:themeColor="text1"/>
          <w:sz w:val="22"/>
          <w:szCs w:val="22"/>
          <w:lang w:eastAsia="it-IT"/>
        </w:rPr>
        <w:t>seq</w:t>
      </w:r>
      <w:r w:rsidR="00FC73F3" w:rsidRPr="00AE35D8">
        <w:rPr>
          <w:color w:val="000000" w:themeColor="text1"/>
          <w:sz w:val="22"/>
          <w:szCs w:val="22"/>
          <w:lang w:eastAsia="it-IT"/>
        </w:rPr>
        <w:t>), Immuno</w:t>
      </w:r>
      <w:r w:rsidRPr="00AE35D8">
        <w:rPr>
          <w:color w:val="000000" w:themeColor="text1"/>
          <w:sz w:val="22"/>
          <w:szCs w:val="22"/>
          <w:lang w:eastAsia="it-IT"/>
        </w:rPr>
        <w:t>h</w:t>
      </w:r>
      <w:r w:rsidR="00FC73F3" w:rsidRPr="00AE35D8">
        <w:rPr>
          <w:color w:val="000000" w:themeColor="text1"/>
          <w:sz w:val="22"/>
          <w:szCs w:val="22"/>
          <w:lang w:eastAsia="it-IT"/>
        </w:rPr>
        <w:t>istochemistry (</w:t>
      </w:r>
      <w:r w:rsidR="0034551B" w:rsidRPr="00AE35D8">
        <w:rPr>
          <w:color w:val="000000" w:themeColor="text1"/>
          <w:sz w:val="22"/>
          <w:szCs w:val="22"/>
          <w:lang w:eastAsia="it-IT"/>
        </w:rPr>
        <w:t>IHC</w:t>
      </w:r>
      <w:r w:rsidR="00FC73F3" w:rsidRPr="00AE35D8">
        <w:rPr>
          <w:color w:val="000000" w:themeColor="text1"/>
          <w:sz w:val="22"/>
          <w:szCs w:val="22"/>
          <w:lang w:eastAsia="it-IT"/>
        </w:rPr>
        <w:t xml:space="preserve">), </w:t>
      </w:r>
      <w:r w:rsidR="0034551B" w:rsidRPr="00AE35D8">
        <w:rPr>
          <w:color w:val="000000" w:themeColor="text1"/>
          <w:sz w:val="22"/>
          <w:szCs w:val="22"/>
          <w:lang w:eastAsia="it-IT"/>
        </w:rPr>
        <w:t>not available</w:t>
      </w:r>
      <w:r w:rsidR="00FC73F3" w:rsidRPr="00AE35D8">
        <w:rPr>
          <w:color w:val="000000" w:themeColor="text1"/>
          <w:sz w:val="22"/>
          <w:szCs w:val="22"/>
          <w:lang w:eastAsia="it-IT"/>
        </w:rPr>
        <w:t xml:space="preserve"> (</w:t>
      </w:r>
      <w:proofErr w:type="spellStart"/>
      <w:r w:rsidR="00FC73F3" w:rsidRPr="00AE35D8">
        <w:rPr>
          <w:color w:val="000000" w:themeColor="text1"/>
          <w:sz w:val="22"/>
          <w:szCs w:val="22"/>
          <w:lang w:eastAsia="it-IT"/>
        </w:rPr>
        <w:t>n.a.</w:t>
      </w:r>
      <w:proofErr w:type="spellEnd"/>
      <w:r w:rsidR="00FC73F3" w:rsidRPr="00AE35D8">
        <w:rPr>
          <w:color w:val="000000" w:themeColor="text1"/>
          <w:sz w:val="22"/>
          <w:szCs w:val="22"/>
          <w:lang w:eastAsia="it-IT"/>
        </w:rPr>
        <w:t>)</w:t>
      </w:r>
      <w:r w:rsidR="0034551B" w:rsidRPr="00AE35D8">
        <w:rPr>
          <w:color w:val="000000" w:themeColor="text1"/>
          <w:sz w:val="22"/>
          <w:szCs w:val="22"/>
          <w:lang w:eastAsia="it-IT"/>
        </w:rPr>
        <w:t>.</w:t>
      </w:r>
    </w:p>
    <w:p w14:paraId="10BE8EB9" w14:textId="77777777" w:rsidR="00667B70" w:rsidRDefault="00667B70" w:rsidP="0034551B">
      <w:pPr>
        <w:spacing w:line="360" w:lineRule="auto"/>
        <w:jc w:val="both"/>
        <w:rPr>
          <w:color w:val="000000" w:themeColor="text1"/>
          <w:sz w:val="22"/>
          <w:szCs w:val="22"/>
          <w:lang w:eastAsia="it-IT"/>
        </w:rPr>
      </w:pPr>
    </w:p>
    <w:p w14:paraId="3E8B6E2C" w14:textId="61AA8C55" w:rsidR="00667B70" w:rsidRPr="00AE35D8" w:rsidRDefault="00667B70" w:rsidP="0034551B">
      <w:pPr>
        <w:spacing w:line="360" w:lineRule="auto"/>
        <w:jc w:val="both"/>
        <w:rPr>
          <w:color w:val="000000" w:themeColor="text1"/>
          <w:sz w:val="22"/>
          <w:szCs w:val="22"/>
          <w:lang w:eastAsia="it-IT"/>
        </w:rPr>
      </w:pPr>
      <w:r w:rsidRPr="00AE35D8">
        <w:rPr>
          <w:b/>
          <w:bCs/>
          <w:color w:val="000000" w:themeColor="text1"/>
          <w:sz w:val="22"/>
          <w:szCs w:val="22"/>
          <w:lang w:eastAsia="it-IT"/>
        </w:rPr>
        <w:t xml:space="preserve">Supplementary Table </w:t>
      </w:r>
      <w:r>
        <w:rPr>
          <w:b/>
          <w:bCs/>
          <w:color w:val="000000" w:themeColor="text1"/>
          <w:sz w:val="22"/>
          <w:szCs w:val="22"/>
          <w:lang w:eastAsia="it-IT"/>
        </w:rPr>
        <w:t xml:space="preserve">3. </w:t>
      </w:r>
      <w:r w:rsidRPr="00667B70">
        <w:rPr>
          <w:b/>
          <w:bCs/>
          <w:i/>
          <w:iCs/>
          <w:color w:val="000000" w:themeColor="text1"/>
          <w:sz w:val="22"/>
          <w:szCs w:val="22"/>
          <w:lang w:eastAsia="it-IT"/>
        </w:rPr>
        <w:t>VAF and mutated residues in matched-tissue and PDO.</w:t>
      </w:r>
    </w:p>
    <w:p w14:paraId="3DB4CC17" w14:textId="77777777" w:rsidR="0034551B" w:rsidRPr="00AE35D8" w:rsidRDefault="0034551B" w:rsidP="00C72D86">
      <w:pPr>
        <w:spacing w:line="360" w:lineRule="auto"/>
        <w:jc w:val="both"/>
        <w:rPr>
          <w:color w:val="000000" w:themeColor="text1"/>
          <w:sz w:val="22"/>
          <w:szCs w:val="22"/>
          <w:lang w:eastAsia="it-IT"/>
        </w:rPr>
      </w:pPr>
    </w:p>
    <w:p w14:paraId="34BCD933" w14:textId="7E258909" w:rsidR="0034551B" w:rsidRPr="00AE35D8" w:rsidRDefault="0034551B" w:rsidP="0034551B">
      <w:pPr>
        <w:spacing w:line="360" w:lineRule="auto"/>
        <w:jc w:val="both"/>
        <w:rPr>
          <w:b/>
          <w:bCs/>
          <w:color w:val="000000" w:themeColor="text1"/>
          <w:sz w:val="22"/>
          <w:szCs w:val="22"/>
          <w:lang w:eastAsia="it-IT"/>
        </w:rPr>
      </w:pPr>
      <w:r w:rsidRPr="00AE35D8">
        <w:rPr>
          <w:b/>
          <w:bCs/>
          <w:color w:val="000000" w:themeColor="text1"/>
          <w:sz w:val="22"/>
          <w:szCs w:val="22"/>
          <w:lang w:eastAsia="it-IT"/>
        </w:rPr>
        <w:t xml:space="preserve">Supplementary Table </w:t>
      </w:r>
      <w:r w:rsidR="00667B70">
        <w:rPr>
          <w:b/>
          <w:bCs/>
          <w:color w:val="000000" w:themeColor="text1"/>
          <w:sz w:val="22"/>
          <w:szCs w:val="22"/>
          <w:lang w:eastAsia="it-IT"/>
        </w:rPr>
        <w:t>4</w:t>
      </w:r>
      <w:r w:rsidRPr="00AE35D8">
        <w:rPr>
          <w:b/>
          <w:bCs/>
          <w:color w:val="000000" w:themeColor="text1"/>
          <w:sz w:val="22"/>
          <w:szCs w:val="22"/>
          <w:lang w:eastAsia="it-IT"/>
        </w:rPr>
        <w:t xml:space="preserve">. </w:t>
      </w:r>
      <w:r w:rsidR="004D3534" w:rsidRPr="00AE35D8">
        <w:rPr>
          <w:b/>
          <w:bCs/>
          <w:i/>
          <w:iCs/>
          <w:color w:val="000000" w:themeColor="text1"/>
          <w:sz w:val="22"/>
          <w:szCs w:val="22"/>
          <w:lang w:eastAsia="it-IT"/>
        </w:rPr>
        <w:t>Mean and standard deviation of viability after chemotherapy treatment</w:t>
      </w:r>
      <w:r w:rsidRPr="00AE35D8">
        <w:rPr>
          <w:b/>
          <w:bCs/>
          <w:i/>
          <w:iCs/>
          <w:color w:val="000000" w:themeColor="text1"/>
          <w:sz w:val="22"/>
          <w:szCs w:val="22"/>
          <w:lang w:eastAsia="it-IT"/>
        </w:rPr>
        <w:t>.</w:t>
      </w:r>
    </w:p>
    <w:p w14:paraId="49B40EED" w14:textId="2EBE946A" w:rsidR="008279CD" w:rsidRPr="00AE35D8" w:rsidRDefault="008279CD" w:rsidP="0034551B">
      <w:pPr>
        <w:spacing w:line="360" w:lineRule="auto"/>
        <w:jc w:val="both"/>
        <w:rPr>
          <w:color w:val="000000" w:themeColor="text1"/>
          <w:sz w:val="22"/>
          <w:szCs w:val="22"/>
          <w:lang w:eastAsia="it-IT"/>
        </w:rPr>
      </w:pPr>
      <w:r w:rsidRPr="00AE35D8">
        <w:rPr>
          <w:color w:val="000000" w:themeColor="text1"/>
          <w:sz w:val="22"/>
          <w:szCs w:val="22"/>
          <w:lang w:eastAsia="it-IT"/>
        </w:rPr>
        <w:t>Mean percentage and standard deviation of cell viability for 6T, 7T, and 10T PDOs after 72 hours of standard treatment</w:t>
      </w:r>
      <w:r w:rsidR="00C661A9" w:rsidRPr="00AE35D8">
        <w:rPr>
          <w:color w:val="000000" w:themeColor="text1"/>
          <w:sz w:val="22"/>
          <w:szCs w:val="22"/>
          <w:lang w:eastAsia="it-IT"/>
        </w:rPr>
        <w:t xml:space="preserve"> assessed by ATP luminescence assay</w:t>
      </w:r>
      <w:r w:rsidRPr="00AE35D8">
        <w:rPr>
          <w:color w:val="000000" w:themeColor="text1"/>
          <w:sz w:val="22"/>
          <w:szCs w:val="22"/>
          <w:lang w:eastAsia="it-IT"/>
        </w:rPr>
        <w:t>.</w:t>
      </w:r>
    </w:p>
    <w:p w14:paraId="162B025B" w14:textId="77777777" w:rsidR="008279CD" w:rsidRPr="00AE35D8" w:rsidRDefault="008279CD" w:rsidP="0034551B">
      <w:pPr>
        <w:spacing w:line="360" w:lineRule="auto"/>
        <w:jc w:val="both"/>
        <w:rPr>
          <w:color w:val="000000" w:themeColor="text1"/>
          <w:sz w:val="22"/>
          <w:szCs w:val="22"/>
          <w:lang w:eastAsia="it-IT"/>
        </w:rPr>
      </w:pPr>
    </w:p>
    <w:p w14:paraId="2173AA63" w14:textId="05FB5E3B" w:rsidR="0034551B" w:rsidRPr="00AE35D8" w:rsidRDefault="0034551B" w:rsidP="0034551B">
      <w:pPr>
        <w:spacing w:line="360" w:lineRule="auto"/>
        <w:jc w:val="both"/>
        <w:rPr>
          <w:b/>
          <w:bCs/>
          <w:i/>
          <w:iCs/>
          <w:color w:val="000000" w:themeColor="text1"/>
          <w:sz w:val="22"/>
          <w:szCs w:val="22"/>
          <w:lang w:eastAsia="it-IT"/>
        </w:rPr>
      </w:pPr>
      <w:r w:rsidRPr="00AE35D8">
        <w:rPr>
          <w:b/>
          <w:bCs/>
          <w:color w:val="000000" w:themeColor="text1"/>
          <w:sz w:val="22"/>
          <w:szCs w:val="22"/>
          <w:lang w:eastAsia="it-IT"/>
        </w:rPr>
        <w:t xml:space="preserve">Supplementary Table </w:t>
      </w:r>
      <w:r w:rsidR="00667B70">
        <w:rPr>
          <w:b/>
          <w:bCs/>
          <w:color w:val="000000" w:themeColor="text1"/>
          <w:sz w:val="22"/>
          <w:szCs w:val="22"/>
          <w:lang w:eastAsia="it-IT"/>
        </w:rPr>
        <w:t>5</w:t>
      </w:r>
      <w:r w:rsidR="004D3534" w:rsidRPr="00AE35D8">
        <w:rPr>
          <w:b/>
          <w:bCs/>
          <w:color w:val="000000" w:themeColor="text1"/>
          <w:sz w:val="22"/>
          <w:szCs w:val="22"/>
          <w:lang w:eastAsia="it-IT"/>
        </w:rPr>
        <w:t xml:space="preserve">. </w:t>
      </w:r>
      <w:r w:rsidR="004D3534" w:rsidRPr="00AE35D8">
        <w:rPr>
          <w:b/>
          <w:bCs/>
          <w:i/>
          <w:iCs/>
          <w:color w:val="000000" w:themeColor="text1"/>
          <w:sz w:val="22"/>
          <w:szCs w:val="22"/>
          <w:lang w:eastAsia="it-IT"/>
        </w:rPr>
        <w:t>Number of PDOs</w:t>
      </w:r>
      <w:r w:rsidR="002F4674" w:rsidRPr="00AE35D8">
        <w:rPr>
          <w:b/>
          <w:bCs/>
          <w:i/>
          <w:iCs/>
          <w:color w:val="000000" w:themeColor="text1"/>
          <w:sz w:val="22"/>
          <w:szCs w:val="22"/>
          <w:lang w:eastAsia="it-IT"/>
        </w:rPr>
        <w:t xml:space="preserve"> after chemotherapy treatment</w:t>
      </w:r>
      <w:r w:rsidRPr="00AE35D8">
        <w:rPr>
          <w:b/>
          <w:bCs/>
          <w:i/>
          <w:iCs/>
          <w:color w:val="000000" w:themeColor="text1"/>
          <w:sz w:val="22"/>
          <w:szCs w:val="22"/>
          <w:lang w:eastAsia="it-IT"/>
        </w:rPr>
        <w:t>.</w:t>
      </w:r>
    </w:p>
    <w:p w14:paraId="70DB1A71" w14:textId="6C547C7B" w:rsidR="008279CD" w:rsidRPr="00AE35D8" w:rsidRDefault="008279CD" w:rsidP="008279CD">
      <w:pPr>
        <w:spacing w:line="360" w:lineRule="auto"/>
        <w:jc w:val="both"/>
        <w:rPr>
          <w:color w:val="000000" w:themeColor="text1"/>
          <w:sz w:val="22"/>
          <w:szCs w:val="22"/>
          <w:lang w:eastAsia="it-IT"/>
        </w:rPr>
      </w:pPr>
      <w:r w:rsidRPr="00AE35D8">
        <w:rPr>
          <w:color w:val="000000" w:themeColor="text1"/>
          <w:sz w:val="22"/>
          <w:szCs w:val="22"/>
          <w:lang w:eastAsia="it-IT"/>
        </w:rPr>
        <w:t>Mean of number of PDOs for 6T, 7T, and 10T PDOs after 72 hours of standard treatment</w:t>
      </w:r>
      <w:r w:rsidR="00C661A9" w:rsidRPr="00AE35D8">
        <w:rPr>
          <w:color w:val="000000" w:themeColor="text1"/>
          <w:sz w:val="22"/>
          <w:szCs w:val="22"/>
          <w:lang w:eastAsia="it-IT"/>
        </w:rPr>
        <w:t xml:space="preserve"> </w:t>
      </w:r>
      <w:r w:rsidR="00C661A9" w:rsidRPr="00AE35D8">
        <w:rPr>
          <w:iCs/>
          <w:color w:val="000000" w:themeColor="text1"/>
          <w:sz w:val="22"/>
          <w:szCs w:val="20"/>
          <w:lang w:val="en-US"/>
        </w:rPr>
        <w:t>evaluated using the Opera Phenix’s machine learning</w:t>
      </w:r>
      <w:r w:rsidRPr="00AE35D8">
        <w:rPr>
          <w:color w:val="000000" w:themeColor="text1"/>
          <w:sz w:val="22"/>
          <w:szCs w:val="22"/>
          <w:lang w:eastAsia="it-IT"/>
        </w:rPr>
        <w:t>.</w:t>
      </w:r>
    </w:p>
    <w:p w14:paraId="334485A0" w14:textId="77777777" w:rsidR="004D3534" w:rsidRPr="00AE35D8" w:rsidRDefault="004D3534" w:rsidP="0034551B">
      <w:pPr>
        <w:spacing w:line="360" w:lineRule="auto"/>
        <w:jc w:val="both"/>
        <w:rPr>
          <w:b/>
          <w:bCs/>
          <w:color w:val="000000" w:themeColor="text1"/>
          <w:sz w:val="22"/>
          <w:szCs w:val="22"/>
          <w:lang w:eastAsia="it-IT"/>
        </w:rPr>
      </w:pPr>
    </w:p>
    <w:p w14:paraId="5F35ECED" w14:textId="0F7DBE16" w:rsidR="004D3534" w:rsidRPr="00AE35D8" w:rsidRDefault="004D3534" w:rsidP="004D3534">
      <w:pPr>
        <w:spacing w:line="360" w:lineRule="auto"/>
        <w:jc w:val="both"/>
        <w:rPr>
          <w:b/>
          <w:bCs/>
          <w:color w:val="000000" w:themeColor="text1"/>
          <w:sz w:val="22"/>
          <w:szCs w:val="22"/>
          <w:lang w:eastAsia="it-IT"/>
        </w:rPr>
      </w:pPr>
      <w:r w:rsidRPr="00AE35D8">
        <w:rPr>
          <w:b/>
          <w:bCs/>
          <w:color w:val="000000" w:themeColor="text1"/>
          <w:sz w:val="22"/>
          <w:szCs w:val="22"/>
          <w:lang w:eastAsia="it-IT"/>
        </w:rPr>
        <w:t xml:space="preserve">Supplementary Table </w:t>
      </w:r>
      <w:r w:rsidR="00667B70">
        <w:rPr>
          <w:b/>
          <w:bCs/>
          <w:color w:val="000000" w:themeColor="text1"/>
          <w:sz w:val="22"/>
          <w:szCs w:val="22"/>
          <w:lang w:eastAsia="it-IT"/>
        </w:rPr>
        <w:t>6</w:t>
      </w:r>
      <w:r w:rsidRPr="00AE35D8">
        <w:rPr>
          <w:b/>
          <w:bCs/>
          <w:color w:val="000000" w:themeColor="text1"/>
          <w:sz w:val="22"/>
          <w:szCs w:val="22"/>
          <w:lang w:eastAsia="it-IT"/>
        </w:rPr>
        <w:t xml:space="preserve">. </w:t>
      </w:r>
      <w:r w:rsidRPr="00AE35D8">
        <w:rPr>
          <w:b/>
          <w:bCs/>
          <w:i/>
          <w:iCs/>
          <w:color w:val="000000" w:themeColor="text1"/>
          <w:sz w:val="22"/>
          <w:szCs w:val="22"/>
          <w:lang w:eastAsia="it-IT"/>
        </w:rPr>
        <w:t>Mean and standard deviation of viability after targeted therapy.</w:t>
      </w:r>
    </w:p>
    <w:p w14:paraId="03F0E5E2" w14:textId="3647EF7A" w:rsidR="008279CD" w:rsidRDefault="008279CD" w:rsidP="008279CD">
      <w:pPr>
        <w:spacing w:line="360" w:lineRule="auto"/>
        <w:jc w:val="both"/>
        <w:rPr>
          <w:color w:val="000000" w:themeColor="text1"/>
          <w:sz w:val="22"/>
          <w:szCs w:val="22"/>
          <w:lang w:eastAsia="it-IT"/>
        </w:rPr>
      </w:pPr>
      <w:r w:rsidRPr="00AE35D8">
        <w:rPr>
          <w:color w:val="000000" w:themeColor="text1"/>
          <w:sz w:val="22"/>
          <w:szCs w:val="22"/>
          <w:lang w:eastAsia="it-IT"/>
        </w:rPr>
        <w:t>Mean percentage and standard deviation of cell viability for 6T, 7T, and 10T PDOs after 72 hours of targeted treatment</w:t>
      </w:r>
      <w:r w:rsidR="00C661A9" w:rsidRPr="00AE35D8">
        <w:rPr>
          <w:color w:val="000000" w:themeColor="text1"/>
          <w:sz w:val="22"/>
          <w:szCs w:val="22"/>
          <w:lang w:eastAsia="it-IT"/>
        </w:rPr>
        <w:t xml:space="preserve"> assessed by ATP luminescence assay</w:t>
      </w:r>
      <w:r w:rsidRPr="00AE35D8">
        <w:rPr>
          <w:color w:val="000000" w:themeColor="text1"/>
          <w:sz w:val="22"/>
          <w:szCs w:val="22"/>
          <w:lang w:eastAsia="it-IT"/>
        </w:rPr>
        <w:t>.</w:t>
      </w:r>
    </w:p>
    <w:p w14:paraId="1687A02F" w14:textId="77777777" w:rsidR="00667B70" w:rsidRDefault="00667B70" w:rsidP="008279CD">
      <w:pPr>
        <w:spacing w:line="360" w:lineRule="auto"/>
        <w:jc w:val="both"/>
        <w:rPr>
          <w:color w:val="000000" w:themeColor="text1"/>
          <w:sz w:val="22"/>
          <w:szCs w:val="22"/>
          <w:lang w:eastAsia="it-IT"/>
        </w:rPr>
      </w:pPr>
    </w:p>
    <w:p w14:paraId="6F57BE8C" w14:textId="3A45B805" w:rsidR="00667B70" w:rsidRPr="00667B70" w:rsidRDefault="00667B70" w:rsidP="00667B70">
      <w:pPr>
        <w:spacing w:line="360" w:lineRule="auto"/>
        <w:jc w:val="both"/>
        <w:rPr>
          <w:i/>
          <w:iCs/>
          <w:color w:val="000000" w:themeColor="text1"/>
          <w:sz w:val="22"/>
          <w:szCs w:val="22"/>
          <w:lang w:eastAsia="it-IT"/>
        </w:rPr>
      </w:pPr>
      <w:r w:rsidRPr="00AE35D8">
        <w:rPr>
          <w:b/>
          <w:bCs/>
          <w:color w:val="000000" w:themeColor="text1"/>
          <w:sz w:val="22"/>
          <w:szCs w:val="22"/>
          <w:lang w:eastAsia="it-IT"/>
        </w:rPr>
        <w:t xml:space="preserve">Supplementary Table </w:t>
      </w:r>
      <w:r>
        <w:rPr>
          <w:b/>
          <w:bCs/>
          <w:color w:val="000000" w:themeColor="text1"/>
          <w:sz w:val="22"/>
          <w:szCs w:val="22"/>
          <w:lang w:eastAsia="it-IT"/>
        </w:rPr>
        <w:t>7</w:t>
      </w:r>
      <w:r>
        <w:rPr>
          <w:b/>
          <w:bCs/>
          <w:color w:val="000000" w:themeColor="text1"/>
          <w:sz w:val="22"/>
          <w:szCs w:val="22"/>
          <w:lang w:eastAsia="it-IT"/>
        </w:rPr>
        <w:t xml:space="preserve">. </w:t>
      </w:r>
      <w:r w:rsidRPr="00667B70">
        <w:rPr>
          <w:b/>
          <w:bCs/>
          <w:i/>
          <w:iCs/>
          <w:color w:val="000000" w:themeColor="text1"/>
          <w:sz w:val="22"/>
          <w:szCs w:val="22"/>
          <w:lang w:eastAsia="it-IT"/>
        </w:rPr>
        <w:t>VAF and mutated residues in matched-tissue</w:t>
      </w:r>
      <w:r w:rsidRPr="00667B70">
        <w:rPr>
          <w:b/>
          <w:bCs/>
          <w:i/>
          <w:iCs/>
          <w:color w:val="000000" w:themeColor="text1"/>
          <w:sz w:val="22"/>
          <w:szCs w:val="22"/>
          <w:lang w:eastAsia="it-IT"/>
        </w:rPr>
        <w:t xml:space="preserve">, </w:t>
      </w:r>
      <w:r w:rsidRPr="00667B70">
        <w:rPr>
          <w:b/>
          <w:bCs/>
          <w:i/>
          <w:iCs/>
          <w:color w:val="000000" w:themeColor="text1"/>
          <w:sz w:val="22"/>
          <w:szCs w:val="22"/>
          <w:lang w:eastAsia="it-IT"/>
        </w:rPr>
        <w:t>PDO</w:t>
      </w:r>
      <w:r w:rsidRPr="00667B70">
        <w:rPr>
          <w:b/>
          <w:bCs/>
          <w:i/>
          <w:iCs/>
          <w:color w:val="000000" w:themeColor="text1"/>
          <w:sz w:val="22"/>
          <w:szCs w:val="22"/>
          <w:lang w:eastAsia="it-IT"/>
        </w:rPr>
        <w:t xml:space="preserve"> and CAF</w:t>
      </w:r>
      <w:r w:rsidRPr="00667B70">
        <w:rPr>
          <w:b/>
          <w:bCs/>
          <w:i/>
          <w:iCs/>
          <w:color w:val="000000" w:themeColor="text1"/>
          <w:sz w:val="22"/>
          <w:szCs w:val="22"/>
          <w:lang w:eastAsia="it-IT"/>
        </w:rPr>
        <w:t>.</w:t>
      </w:r>
    </w:p>
    <w:p w14:paraId="12916837" w14:textId="77777777" w:rsidR="00667B70" w:rsidRPr="00AE35D8" w:rsidRDefault="00667B70" w:rsidP="008279CD">
      <w:pPr>
        <w:spacing w:line="360" w:lineRule="auto"/>
        <w:jc w:val="both"/>
        <w:rPr>
          <w:color w:val="000000" w:themeColor="text1"/>
          <w:sz w:val="22"/>
          <w:szCs w:val="22"/>
          <w:lang w:eastAsia="it-IT"/>
        </w:rPr>
      </w:pPr>
    </w:p>
    <w:p w14:paraId="3D5B713E" w14:textId="77777777" w:rsidR="00204A9E" w:rsidRPr="002C0467" w:rsidRDefault="00204A9E"/>
    <w:sectPr w:rsidR="00204A9E" w:rsidRPr="002C04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86"/>
    <w:rsid w:val="000546A2"/>
    <w:rsid w:val="001B6765"/>
    <w:rsid w:val="00204A9E"/>
    <w:rsid w:val="0029473E"/>
    <w:rsid w:val="002C0467"/>
    <w:rsid w:val="002F4674"/>
    <w:rsid w:val="00307501"/>
    <w:rsid w:val="0034551B"/>
    <w:rsid w:val="0043548F"/>
    <w:rsid w:val="00480585"/>
    <w:rsid w:val="004D3534"/>
    <w:rsid w:val="0056053C"/>
    <w:rsid w:val="00591AB3"/>
    <w:rsid w:val="006114BA"/>
    <w:rsid w:val="00667B70"/>
    <w:rsid w:val="006D04C2"/>
    <w:rsid w:val="0072300E"/>
    <w:rsid w:val="007A6EC0"/>
    <w:rsid w:val="007B58F5"/>
    <w:rsid w:val="008279CD"/>
    <w:rsid w:val="008C6673"/>
    <w:rsid w:val="009523E3"/>
    <w:rsid w:val="00A27754"/>
    <w:rsid w:val="00A66D5D"/>
    <w:rsid w:val="00A86F44"/>
    <w:rsid w:val="00A904A9"/>
    <w:rsid w:val="00AA52FE"/>
    <w:rsid w:val="00AE35D8"/>
    <w:rsid w:val="00B45791"/>
    <w:rsid w:val="00BB7033"/>
    <w:rsid w:val="00BD2B30"/>
    <w:rsid w:val="00C151D7"/>
    <w:rsid w:val="00C152DE"/>
    <w:rsid w:val="00C31682"/>
    <w:rsid w:val="00C41EC4"/>
    <w:rsid w:val="00C661A9"/>
    <w:rsid w:val="00C72D86"/>
    <w:rsid w:val="00CB4898"/>
    <w:rsid w:val="00CE354E"/>
    <w:rsid w:val="00D259BB"/>
    <w:rsid w:val="00D54196"/>
    <w:rsid w:val="00EF0DC7"/>
    <w:rsid w:val="00F24978"/>
    <w:rsid w:val="00FA4018"/>
    <w:rsid w:val="00FA4518"/>
    <w:rsid w:val="00FC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0728015"/>
  <w15:chartTrackingRefBased/>
  <w15:docId w15:val="{797B9173-BE83-4C4C-8D77-7FCEF6E1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2D8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n-GB" w:eastAsia="en-GB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72D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2D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2D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2D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2D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2D8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2D8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2D8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2D8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2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2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2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2D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2D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2D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2D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2D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2D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2D86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72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2D8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2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2D8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2D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2D8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72D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2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2D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2D86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EF0DC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9D6B1A-B4BF-134F-9981-E9927F82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VACCARELLA SEBASTIANO</dc:creator>
  <cp:keywords/>
  <dc:description/>
  <cp:lastModifiedBy>Sara Donzelli</cp:lastModifiedBy>
  <cp:revision>2</cp:revision>
  <dcterms:created xsi:type="dcterms:W3CDTF">2025-07-29T07:48:00Z</dcterms:created>
  <dcterms:modified xsi:type="dcterms:W3CDTF">2025-07-29T07:48:00Z</dcterms:modified>
</cp:coreProperties>
</file>