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20243F" w14:textId="77777777" w:rsidR="002F549D" w:rsidRDefault="002F549D" w:rsidP="002F549D">
      <w:pPr>
        <w:keepNext/>
        <w:spacing w:line="360" w:lineRule="auto"/>
        <w:jc w:val="both"/>
      </w:pPr>
      <w:r>
        <w:rPr>
          <w:noProof/>
        </w:rPr>
        <w:drawing>
          <wp:anchor distT="0" distB="0" distL="114300" distR="114300" simplePos="0" relativeHeight="251665408" behindDoc="0" locked="0" layoutInCell="1" allowOverlap="1" wp14:anchorId="6D1B8C0E" wp14:editId="54D8E900">
            <wp:simplePos x="0" y="0"/>
            <wp:positionH relativeFrom="margin">
              <wp:posOffset>0</wp:posOffset>
            </wp:positionH>
            <wp:positionV relativeFrom="page">
              <wp:posOffset>482590</wp:posOffset>
            </wp:positionV>
            <wp:extent cx="3543300" cy="2731135"/>
            <wp:effectExtent l="0" t="0" r="0" b="0"/>
            <wp:wrapSquare wrapText="bothSides"/>
            <wp:docPr id="1328652074" name="Picture 8" descr="A graph of a graph on a black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8652074" name="Picture 8" descr="A graph of a graph on a black background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43300" cy="27311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0902AE7" w14:textId="77777777" w:rsidR="002F549D" w:rsidRDefault="002F549D" w:rsidP="002F549D">
      <w:pPr>
        <w:pStyle w:val="Caption"/>
        <w:spacing w:after="120"/>
        <w:jc w:val="both"/>
        <w:rPr>
          <w:b/>
          <w:bCs/>
          <w:i w:val="0"/>
          <w:iCs w:val="0"/>
          <w:color w:val="auto"/>
          <w:sz w:val="22"/>
          <w:szCs w:val="22"/>
        </w:rPr>
      </w:pPr>
    </w:p>
    <w:p w14:paraId="2E648C4B" w14:textId="77777777" w:rsidR="002F549D" w:rsidRDefault="002F549D" w:rsidP="002F549D">
      <w:pPr>
        <w:pStyle w:val="Caption"/>
        <w:spacing w:after="120"/>
        <w:jc w:val="both"/>
        <w:rPr>
          <w:b/>
          <w:bCs/>
          <w:i w:val="0"/>
          <w:iCs w:val="0"/>
          <w:color w:val="auto"/>
          <w:sz w:val="22"/>
          <w:szCs w:val="22"/>
        </w:rPr>
      </w:pPr>
    </w:p>
    <w:p w14:paraId="1F3E2A8F" w14:textId="77777777" w:rsidR="002F549D" w:rsidRDefault="002F549D" w:rsidP="002F549D">
      <w:pPr>
        <w:pStyle w:val="Caption"/>
        <w:spacing w:after="120"/>
        <w:jc w:val="both"/>
        <w:rPr>
          <w:b/>
          <w:bCs/>
          <w:i w:val="0"/>
          <w:iCs w:val="0"/>
          <w:color w:val="auto"/>
          <w:sz w:val="22"/>
          <w:szCs w:val="22"/>
        </w:rPr>
      </w:pPr>
    </w:p>
    <w:p w14:paraId="4CE35F9E" w14:textId="77777777" w:rsidR="002F549D" w:rsidRDefault="002F549D" w:rsidP="002F549D">
      <w:pPr>
        <w:pStyle w:val="Caption"/>
        <w:spacing w:after="120"/>
        <w:jc w:val="both"/>
        <w:rPr>
          <w:b/>
          <w:bCs/>
          <w:i w:val="0"/>
          <w:iCs w:val="0"/>
          <w:color w:val="auto"/>
          <w:sz w:val="22"/>
          <w:szCs w:val="22"/>
        </w:rPr>
      </w:pPr>
    </w:p>
    <w:p w14:paraId="031894CA" w14:textId="77777777" w:rsidR="002F549D" w:rsidRDefault="002F549D" w:rsidP="002F549D">
      <w:pPr>
        <w:pStyle w:val="Caption"/>
        <w:spacing w:after="120"/>
        <w:jc w:val="both"/>
        <w:rPr>
          <w:b/>
          <w:bCs/>
          <w:i w:val="0"/>
          <w:iCs w:val="0"/>
          <w:color w:val="auto"/>
          <w:sz w:val="22"/>
          <w:szCs w:val="22"/>
        </w:rPr>
      </w:pPr>
    </w:p>
    <w:p w14:paraId="5974FDBE" w14:textId="77777777" w:rsidR="002F549D" w:rsidRDefault="002F549D" w:rsidP="002F549D">
      <w:pPr>
        <w:pStyle w:val="Caption"/>
        <w:spacing w:after="120"/>
        <w:jc w:val="both"/>
        <w:rPr>
          <w:b/>
          <w:bCs/>
          <w:i w:val="0"/>
          <w:iCs w:val="0"/>
          <w:color w:val="auto"/>
          <w:sz w:val="22"/>
          <w:szCs w:val="22"/>
        </w:rPr>
      </w:pPr>
    </w:p>
    <w:p w14:paraId="7C0B876B" w14:textId="77777777" w:rsidR="002F549D" w:rsidRDefault="002F549D" w:rsidP="002F549D">
      <w:pPr>
        <w:pStyle w:val="Caption"/>
        <w:spacing w:after="120"/>
        <w:jc w:val="both"/>
        <w:rPr>
          <w:b/>
          <w:bCs/>
          <w:i w:val="0"/>
          <w:iCs w:val="0"/>
          <w:color w:val="auto"/>
          <w:sz w:val="22"/>
          <w:szCs w:val="22"/>
        </w:rPr>
      </w:pPr>
    </w:p>
    <w:p w14:paraId="616E13E5" w14:textId="77777777" w:rsidR="002F549D" w:rsidRDefault="002F549D" w:rsidP="002F549D">
      <w:pPr>
        <w:pStyle w:val="Caption"/>
        <w:spacing w:after="120"/>
        <w:jc w:val="both"/>
        <w:rPr>
          <w:b/>
          <w:bCs/>
          <w:i w:val="0"/>
          <w:iCs w:val="0"/>
          <w:color w:val="auto"/>
          <w:sz w:val="22"/>
          <w:szCs w:val="22"/>
        </w:rPr>
      </w:pPr>
    </w:p>
    <w:p w14:paraId="6CA4A776" w14:textId="77777777" w:rsidR="002F549D" w:rsidRDefault="002F549D" w:rsidP="002F549D">
      <w:pPr>
        <w:pStyle w:val="Caption"/>
        <w:spacing w:after="120"/>
        <w:jc w:val="both"/>
        <w:rPr>
          <w:b/>
          <w:bCs/>
          <w:i w:val="0"/>
          <w:iCs w:val="0"/>
          <w:color w:val="auto"/>
          <w:sz w:val="22"/>
          <w:szCs w:val="22"/>
        </w:rPr>
      </w:pPr>
    </w:p>
    <w:p w14:paraId="793710E8" w14:textId="77777777" w:rsidR="002F549D" w:rsidRDefault="002F549D" w:rsidP="002F549D">
      <w:pPr>
        <w:pStyle w:val="Caption"/>
        <w:spacing w:after="120"/>
        <w:jc w:val="both"/>
        <w:rPr>
          <w:b/>
          <w:bCs/>
          <w:i w:val="0"/>
          <w:iCs w:val="0"/>
          <w:color w:val="auto"/>
          <w:sz w:val="22"/>
          <w:szCs w:val="22"/>
        </w:rPr>
      </w:pPr>
    </w:p>
    <w:p w14:paraId="5338E66A" w14:textId="77777777" w:rsidR="002F549D" w:rsidRDefault="002F549D" w:rsidP="002F549D">
      <w:pPr>
        <w:pStyle w:val="Caption"/>
        <w:spacing w:after="120"/>
        <w:jc w:val="both"/>
        <w:rPr>
          <w:b/>
          <w:bCs/>
          <w:i w:val="0"/>
          <w:iCs w:val="0"/>
          <w:color w:val="auto"/>
          <w:sz w:val="22"/>
          <w:szCs w:val="22"/>
        </w:rPr>
      </w:pPr>
    </w:p>
    <w:p w14:paraId="65C63D2B" w14:textId="50908486" w:rsidR="002F549D" w:rsidRPr="009C1878" w:rsidRDefault="002F549D" w:rsidP="002F549D">
      <w:pPr>
        <w:pStyle w:val="Caption"/>
        <w:spacing w:after="120"/>
        <w:jc w:val="both"/>
        <w:rPr>
          <w:b/>
          <w:bCs/>
          <w:i w:val="0"/>
          <w:iCs w:val="0"/>
          <w:color w:val="auto"/>
          <w:sz w:val="22"/>
          <w:szCs w:val="22"/>
        </w:rPr>
      </w:pPr>
      <w:r w:rsidRPr="009C1878">
        <w:rPr>
          <w:b/>
          <w:bCs/>
          <w:i w:val="0"/>
          <w:iCs w:val="0"/>
          <w:color w:val="auto"/>
          <w:sz w:val="22"/>
          <w:szCs w:val="22"/>
        </w:rPr>
        <w:t>Supplementary Figure 1 - Effect of increasing PEG-PLGA content on CCL22 release from PLGA microparticles</w:t>
      </w:r>
    </w:p>
    <w:p w14:paraId="01258FD0" w14:textId="77777777" w:rsidR="002F549D" w:rsidRPr="00D0232D" w:rsidRDefault="002F549D" w:rsidP="002F549D">
      <w:pPr>
        <w:jc w:val="both"/>
        <w:rPr>
          <w:sz w:val="20"/>
          <w:szCs w:val="20"/>
        </w:rPr>
      </w:pPr>
      <w:r w:rsidRPr="009C1878">
        <w:rPr>
          <w:sz w:val="20"/>
          <w:szCs w:val="20"/>
        </w:rPr>
        <w:t>PLGA microparticles were formulated with increasing PEG terminated PLGA content, with the balance composed of RG502H acid terminated PLGA. With increasing PEG-PLGA content, the burst release magnitude increases and the sustained release rate moderately increases with greater effects occurring with higher PEG content.</w:t>
      </w:r>
      <w:r>
        <w:rPr>
          <w:sz w:val="20"/>
          <w:szCs w:val="20"/>
        </w:rPr>
        <w:t xml:space="preserve"> Data shown represents </w:t>
      </w:r>
      <w:r w:rsidRPr="00656001">
        <w:rPr>
          <w:sz w:val="20"/>
          <w:szCs w:val="20"/>
        </w:rPr>
        <w:t xml:space="preserve">mean ± </w:t>
      </w:r>
      <w:r>
        <w:rPr>
          <w:sz w:val="20"/>
          <w:szCs w:val="20"/>
        </w:rPr>
        <w:t>SD</w:t>
      </w:r>
      <w:r w:rsidRPr="00656001">
        <w:rPr>
          <w:sz w:val="20"/>
          <w:szCs w:val="20"/>
        </w:rPr>
        <w:t xml:space="preserve"> </w:t>
      </w:r>
      <w:r>
        <w:rPr>
          <w:sz w:val="20"/>
          <w:szCs w:val="20"/>
        </w:rPr>
        <w:t>of the percent cumulative release normalized to the amount of CCL22 encapsulated for N = 3 independent experiments.</w:t>
      </w:r>
    </w:p>
    <w:p w14:paraId="195415AE" w14:textId="3C9F6AC0" w:rsidR="002F549D" w:rsidRDefault="002F549D" w:rsidP="002F549D">
      <w:pPr>
        <w:spacing w:line="360" w:lineRule="auto"/>
        <w:jc w:val="both"/>
        <w:rPr>
          <w:b/>
          <w:bCs/>
        </w:rPr>
      </w:pPr>
      <w:r>
        <w:rPr>
          <w:b/>
          <w:bCs/>
        </w:rPr>
        <w:br w:type="page"/>
      </w:r>
      <w:r>
        <w:rPr>
          <w:b/>
          <w:bCs/>
          <w:noProof/>
        </w:rPr>
        <w:lastRenderedPageBreak/>
        <w:drawing>
          <wp:anchor distT="0" distB="0" distL="114300" distR="114300" simplePos="0" relativeHeight="251662336" behindDoc="0" locked="0" layoutInCell="1" allowOverlap="1" wp14:anchorId="7B6D5ED6" wp14:editId="0F4E3A9F">
            <wp:simplePos x="0" y="0"/>
            <wp:positionH relativeFrom="margin">
              <wp:align>left</wp:align>
            </wp:positionH>
            <wp:positionV relativeFrom="margin">
              <wp:posOffset>694690</wp:posOffset>
            </wp:positionV>
            <wp:extent cx="5474335" cy="7254875"/>
            <wp:effectExtent l="0" t="0" r="0" b="3175"/>
            <wp:wrapSquare wrapText="bothSides"/>
            <wp:docPr id="1869342864" name="Picture 18" descr="A diagram of a computer progra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9342864" name="Picture 18" descr="A diagram of a computer program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74335" cy="7254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bCs/>
        </w:rPr>
        <w:br w:type="page"/>
      </w:r>
    </w:p>
    <w:p w14:paraId="55E14569" w14:textId="4FEAC1A3" w:rsidR="002F549D" w:rsidRDefault="002F549D" w:rsidP="002F549D">
      <w:pPr>
        <w:spacing w:line="360" w:lineRule="auto"/>
        <w:jc w:val="both"/>
        <w:rPr>
          <w:b/>
          <w:bCs/>
        </w:rPr>
      </w:pPr>
    </w:p>
    <w:p w14:paraId="6BF8BDEA" w14:textId="199DC6B6" w:rsidR="002F549D" w:rsidRDefault="002F549D" w:rsidP="002F549D">
      <w:pPr>
        <w:spacing w:line="360" w:lineRule="auto"/>
        <w:jc w:val="both"/>
        <w:rPr>
          <w:b/>
          <w:bCs/>
        </w:rPr>
      </w:pPr>
    </w:p>
    <w:p w14:paraId="088236FD" w14:textId="7C136673" w:rsidR="002F549D" w:rsidRDefault="002F549D" w:rsidP="002F549D">
      <w:pPr>
        <w:spacing w:line="360" w:lineRule="auto"/>
        <w:jc w:val="both"/>
        <w:rPr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9FD26B2" wp14:editId="08E7D57F">
                <wp:simplePos x="0" y="0"/>
                <wp:positionH relativeFrom="page">
                  <wp:posOffset>1294410</wp:posOffset>
                </wp:positionH>
                <wp:positionV relativeFrom="paragraph">
                  <wp:posOffset>327091</wp:posOffset>
                </wp:positionV>
                <wp:extent cx="6003925" cy="635"/>
                <wp:effectExtent l="0" t="0" r="0" b="0"/>
                <wp:wrapSquare wrapText="bothSides"/>
                <wp:docPr id="1716797860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039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03C55EC2" w14:textId="77777777" w:rsidR="002F549D" w:rsidRDefault="002F549D" w:rsidP="002F549D">
                            <w:pPr>
                              <w:pStyle w:val="Caption"/>
                              <w:spacing w:after="120"/>
                              <w:jc w:val="both"/>
                              <w:rPr>
                                <w:b/>
                                <w:bCs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</w:rPr>
                            </w:pPr>
                            <w:r w:rsidRPr="00861FFB">
                              <w:rPr>
                                <w:b/>
                                <w:bCs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</w:rPr>
                              <w:t xml:space="preserve">Supplementary Figure </w:t>
                            </w:r>
                            <w:r>
                              <w:rPr>
                                <w:b/>
                                <w:bCs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</w:rPr>
                              <w:t>2</w:t>
                            </w:r>
                            <w:r w:rsidRPr="00861FFB">
                              <w:rPr>
                                <w:b/>
                                <w:bCs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</w:rPr>
                              <w:t xml:space="preserve"> – Leukocyte gating strategy for muscle and lymph node digests</w:t>
                            </w:r>
                          </w:p>
                          <w:p w14:paraId="45D0F205" w14:textId="77777777" w:rsidR="002F549D" w:rsidRPr="00DC14BD" w:rsidRDefault="002F549D" w:rsidP="002F549D">
                            <w:pPr>
                              <w:jc w:val="both"/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Initial gating for CD45</w:t>
                            </w:r>
                            <w:r w:rsidRPr="00DC14BD">
                              <w:rPr>
                                <w:sz w:val="20"/>
                                <w:szCs w:val="20"/>
                                <w:vertAlign w:val="superscript"/>
                              </w:rPr>
                              <w:t>+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leukocytes (Black border). </w:t>
                            </w:r>
                            <w:r w:rsidRPr="00DC14BD">
                              <w:rPr>
                                <w:sz w:val="20"/>
                                <w:szCs w:val="20"/>
                              </w:rPr>
                              <w:t>B cells were gated as CD45</w:t>
                            </w:r>
                            <w:r w:rsidRPr="00DC14BD">
                              <w:rPr>
                                <w:sz w:val="20"/>
                                <w:szCs w:val="20"/>
                                <w:vertAlign w:val="superscript"/>
                              </w:rPr>
                              <w:t>+</w:t>
                            </w:r>
                            <w:r>
                              <w:rPr>
                                <w:sz w:val="20"/>
                                <w:szCs w:val="20"/>
                                <w:vertAlign w:val="superscript"/>
                              </w:rPr>
                              <w:t xml:space="preserve"> </w:t>
                            </w:r>
                            <w:r w:rsidRPr="00DC14BD">
                              <w:rPr>
                                <w:sz w:val="20"/>
                                <w:szCs w:val="20"/>
                              </w:rPr>
                              <w:t>B220</w:t>
                            </w:r>
                            <w:r w:rsidRPr="00DC14BD">
                              <w:rPr>
                                <w:sz w:val="20"/>
                                <w:szCs w:val="20"/>
                                <w:vertAlign w:val="superscript"/>
                              </w:rPr>
                              <w:t>+</w:t>
                            </w:r>
                            <w:r>
                              <w:rPr>
                                <w:sz w:val="20"/>
                                <w:szCs w:val="20"/>
                                <w:vertAlign w:val="superscript"/>
                              </w:rPr>
                              <w:t xml:space="preserve"> </w:t>
                            </w:r>
                            <w:r w:rsidRPr="00DC14BD">
                              <w:rPr>
                                <w:sz w:val="20"/>
                                <w:szCs w:val="20"/>
                              </w:rPr>
                              <w:t>MHCII</w:t>
                            </w:r>
                            <w:r w:rsidRPr="00DC14BD">
                              <w:rPr>
                                <w:sz w:val="20"/>
                                <w:szCs w:val="20"/>
                                <w:vertAlign w:val="superscript"/>
                              </w:rPr>
                              <w:t>+</w:t>
                            </w:r>
                            <w:r w:rsidRPr="00DC14BD">
                              <w:rPr>
                                <w:sz w:val="20"/>
                                <w:szCs w:val="20"/>
                              </w:rPr>
                              <w:t xml:space="preserve"> cells with Ly6G as an exclusionary gate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(Blue Border)</w:t>
                            </w:r>
                            <w:r w:rsidRPr="00DC14BD">
                              <w:rPr>
                                <w:sz w:val="20"/>
                                <w:szCs w:val="20"/>
                              </w:rPr>
                              <w:t xml:space="preserve">. Tregs were gated as </w:t>
                            </w:r>
                            <w:r w:rsidRPr="00E143A1">
                              <w:rPr>
                                <w:sz w:val="20"/>
                                <w:szCs w:val="20"/>
                              </w:rPr>
                              <w:t>CD45</w:t>
                            </w:r>
                            <w:r w:rsidRPr="00E143A1">
                              <w:rPr>
                                <w:sz w:val="20"/>
                                <w:szCs w:val="20"/>
                                <w:vertAlign w:val="superscript"/>
                              </w:rPr>
                              <w:t>+</w:t>
                            </w:r>
                            <w:r>
                              <w:rPr>
                                <w:sz w:val="20"/>
                                <w:szCs w:val="20"/>
                                <w:vertAlign w:val="superscript"/>
                              </w:rPr>
                              <w:t xml:space="preserve"> </w:t>
                            </w:r>
                            <w:r w:rsidRPr="00E143A1">
                              <w:rPr>
                                <w:sz w:val="20"/>
                                <w:szCs w:val="20"/>
                              </w:rPr>
                              <w:t>CD3</w:t>
                            </w:r>
                            <w:r w:rsidRPr="00E143A1">
                              <w:rPr>
                                <w:sz w:val="20"/>
                                <w:szCs w:val="20"/>
                                <w:vertAlign w:val="superscript"/>
                              </w:rPr>
                              <w:t>+</w:t>
                            </w:r>
                            <w:r>
                              <w:rPr>
                                <w:sz w:val="20"/>
                                <w:szCs w:val="20"/>
                                <w:vertAlign w:val="superscript"/>
                              </w:rPr>
                              <w:t xml:space="preserve"> </w:t>
                            </w:r>
                            <w:r w:rsidRPr="00E143A1">
                              <w:rPr>
                                <w:sz w:val="20"/>
                                <w:szCs w:val="20"/>
                              </w:rPr>
                              <w:t>CD4</w:t>
                            </w:r>
                            <w:r w:rsidRPr="00E143A1">
                              <w:rPr>
                                <w:sz w:val="20"/>
                                <w:szCs w:val="20"/>
                                <w:vertAlign w:val="superscript"/>
                              </w:rPr>
                              <w:t>+</w:t>
                            </w:r>
                            <w:r>
                              <w:rPr>
                                <w:sz w:val="20"/>
                                <w:szCs w:val="20"/>
                                <w:vertAlign w:val="superscript"/>
                              </w:rPr>
                              <w:t xml:space="preserve"> </w:t>
                            </w:r>
                            <w:r w:rsidRPr="00E143A1">
                              <w:rPr>
                                <w:sz w:val="20"/>
                                <w:szCs w:val="20"/>
                              </w:rPr>
                              <w:t>CD25</w:t>
                            </w:r>
                            <w:r w:rsidRPr="00E143A1">
                              <w:rPr>
                                <w:sz w:val="20"/>
                                <w:szCs w:val="20"/>
                                <w:vertAlign w:val="superscript"/>
                              </w:rPr>
                              <w:t>+</w:t>
                            </w:r>
                            <w:r>
                              <w:rPr>
                                <w:sz w:val="20"/>
                                <w:szCs w:val="20"/>
                                <w:vertAlign w:val="superscript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Foxp3</w:t>
                            </w:r>
                            <w:r w:rsidRPr="00DC14BD">
                              <w:rPr>
                                <w:sz w:val="20"/>
                                <w:szCs w:val="20"/>
                                <w:vertAlign w:val="superscript"/>
                              </w:rPr>
                              <w:t>+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with </w:t>
                            </w:r>
                            <w:r w:rsidRPr="00E143A1">
                              <w:rPr>
                                <w:sz w:val="20"/>
                                <w:szCs w:val="20"/>
                              </w:rPr>
                              <w:t>B220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, CD11b,</w:t>
                            </w:r>
                            <w:r w:rsidRPr="00A21E86">
                              <w:rPr>
                                <w:sz w:val="20"/>
                                <w:szCs w:val="20"/>
                              </w:rPr>
                              <w:t xml:space="preserve"> and </w:t>
                            </w:r>
                            <w:r w:rsidRPr="00E143A1">
                              <w:rPr>
                                <w:sz w:val="20"/>
                                <w:szCs w:val="20"/>
                              </w:rPr>
                              <w:t>CD11c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exclusionary gating (Cyan Border). Myeloid cells were gated off CD45</w:t>
                            </w:r>
                            <w:r w:rsidRPr="00DC14BD">
                              <w:rPr>
                                <w:sz w:val="20"/>
                                <w:szCs w:val="20"/>
                                <w:vertAlign w:val="superscript"/>
                              </w:rPr>
                              <w:t>+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B220</w:t>
                            </w:r>
                            <w:r>
                              <w:rPr>
                                <w:sz w:val="20"/>
                                <w:szCs w:val="20"/>
                                <w:vertAlign w:val="superscript"/>
                              </w:rPr>
                              <w:t>-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cells. Macrophages were gated as CD45</w:t>
                            </w:r>
                            <w:r w:rsidRPr="00DC14BD">
                              <w:rPr>
                                <w:sz w:val="20"/>
                                <w:szCs w:val="20"/>
                                <w:vertAlign w:val="superscript"/>
                              </w:rPr>
                              <w:t>+</w:t>
                            </w:r>
                            <w:r>
                              <w:rPr>
                                <w:sz w:val="20"/>
                                <w:szCs w:val="20"/>
                                <w:vertAlign w:val="superscript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CD11b</w:t>
                            </w:r>
                            <w:r w:rsidRPr="00DC14BD">
                              <w:rPr>
                                <w:sz w:val="20"/>
                                <w:szCs w:val="20"/>
                                <w:vertAlign w:val="superscript"/>
                              </w:rPr>
                              <w:t>+</w:t>
                            </w:r>
                            <w:r>
                              <w:rPr>
                                <w:sz w:val="20"/>
                                <w:szCs w:val="20"/>
                                <w:vertAlign w:val="superscript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CD11c</w:t>
                            </w:r>
                            <w:r w:rsidRPr="00DC14BD">
                              <w:rPr>
                                <w:sz w:val="20"/>
                                <w:szCs w:val="20"/>
                                <w:vertAlign w:val="superscript"/>
                              </w:rPr>
                              <w:t>-</w:t>
                            </w:r>
                            <w:r>
                              <w:rPr>
                                <w:sz w:val="20"/>
                                <w:szCs w:val="20"/>
                                <w:vertAlign w:val="superscript"/>
                              </w:rPr>
                              <w:t xml:space="preserve"> 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F4/80</w:t>
                            </w:r>
                            <w:r w:rsidRPr="00DC14BD">
                              <w:rPr>
                                <w:sz w:val="20"/>
                                <w:szCs w:val="20"/>
                                <w:vertAlign w:val="superscript"/>
                              </w:rPr>
                              <w:t>+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(Purple Border) and dendritic cells were gated as CD45</w:t>
                            </w:r>
                            <w:r w:rsidRPr="009C1878">
                              <w:rPr>
                                <w:sz w:val="20"/>
                                <w:szCs w:val="20"/>
                                <w:vertAlign w:val="superscript"/>
                              </w:rPr>
                              <w:t>+</w:t>
                            </w:r>
                            <w:r>
                              <w:rPr>
                                <w:sz w:val="20"/>
                                <w:szCs w:val="20"/>
                                <w:vertAlign w:val="superscript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CD11b</w:t>
                            </w:r>
                            <w:r w:rsidRPr="009C1878">
                              <w:rPr>
                                <w:sz w:val="20"/>
                                <w:szCs w:val="20"/>
                                <w:vertAlign w:val="superscript"/>
                              </w:rPr>
                              <w:t>+</w:t>
                            </w:r>
                            <w:r>
                              <w:rPr>
                                <w:sz w:val="20"/>
                                <w:szCs w:val="20"/>
                                <w:vertAlign w:val="superscript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CD11c</w:t>
                            </w:r>
                            <w:r>
                              <w:rPr>
                                <w:sz w:val="20"/>
                                <w:szCs w:val="20"/>
                                <w:vertAlign w:val="superscript"/>
                              </w:rPr>
                              <w:t xml:space="preserve">+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MHCII</w:t>
                            </w:r>
                            <w:r w:rsidRPr="009C1878">
                              <w:rPr>
                                <w:sz w:val="20"/>
                                <w:szCs w:val="20"/>
                                <w:vertAlign w:val="superscript"/>
                              </w:rPr>
                              <w:t>+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. Exclusionary gating was performed to remove dead cells from the gated populations.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19FD26B2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101.9pt;margin-top:25.75pt;width:472.75pt;height:.05pt;z-index:251659264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" stroked="f">
                <v:textbox style="mso-fit-shape-to-text:t" inset="0,0,0,0">
                  <w:txbxContent>
                    <w:p w14:paraId="03C55EC2" w14:textId="77777777" w:rsidR="002F549D" w:rsidRDefault="002F549D" w:rsidP="002F549D">
                      <w:pPr>
                        <w:pStyle w:val="Caption"/>
                        <w:spacing w:after="120"/>
                        <w:jc w:val="both"/>
                        <w:rPr>
                          <w:b/>
                          <w:bCs/>
                          <w:i w:val="0"/>
                          <w:iCs w:val="0"/>
                          <w:color w:val="auto"/>
                          <w:sz w:val="22"/>
                          <w:szCs w:val="22"/>
                        </w:rPr>
                      </w:pPr>
                      <w:r w:rsidRPr="00861FFB">
                        <w:rPr>
                          <w:b/>
                          <w:bCs/>
                          <w:i w:val="0"/>
                          <w:iCs w:val="0"/>
                          <w:color w:val="auto"/>
                          <w:sz w:val="22"/>
                          <w:szCs w:val="22"/>
                        </w:rPr>
                        <w:t xml:space="preserve">Supplementary Figure </w:t>
                      </w:r>
                      <w:r>
                        <w:rPr>
                          <w:b/>
                          <w:bCs/>
                          <w:i w:val="0"/>
                          <w:iCs w:val="0"/>
                          <w:color w:val="auto"/>
                          <w:sz w:val="22"/>
                          <w:szCs w:val="22"/>
                        </w:rPr>
                        <w:t>2</w:t>
                      </w:r>
                      <w:r w:rsidRPr="00861FFB">
                        <w:rPr>
                          <w:b/>
                          <w:bCs/>
                          <w:i w:val="0"/>
                          <w:iCs w:val="0"/>
                          <w:color w:val="auto"/>
                          <w:sz w:val="22"/>
                          <w:szCs w:val="22"/>
                        </w:rPr>
                        <w:t xml:space="preserve"> – Leukocyte gating strategy for muscle and lymph node digests</w:t>
                      </w:r>
                    </w:p>
                    <w:p w14:paraId="45D0F205" w14:textId="77777777" w:rsidR="002F549D" w:rsidRPr="00DC14BD" w:rsidRDefault="002F549D" w:rsidP="002F549D">
                      <w:pPr>
                        <w:jc w:val="both"/>
                        <w:rPr>
                          <w:i/>
                          <w:iCs/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Initial gating for CD45</w:t>
                      </w:r>
                      <w:r w:rsidRPr="00DC14BD">
                        <w:rPr>
                          <w:sz w:val="20"/>
                          <w:szCs w:val="20"/>
                          <w:vertAlign w:val="superscript"/>
                        </w:rPr>
                        <w:t>+</w:t>
                      </w:r>
                      <w:r>
                        <w:rPr>
                          <w:sz w:val="20"/>
                          <w:szCs w:val="20"/>
                        </w:rPr>
                        <w:t xml:space="preserve"> leukocytes (Black border). </w:t>
                      </w:r>
                      <w:r w:rsidRPr="00DC14BD">
                        <w:rPr>
                          <w:sz w:val="20"/>
                          <w:szCs w:val="20"/>
                        </w:rPr>
                        <w:t>B cells were gated as CD45</w:t>
                      </w:r>
                      <w:r w:rsidRPr="00DC14BD">
                        <w:rPr>
                          <w:sz w:val="20"/>
                          <w:szCs w:val="20"/>
                          <w:vertAlign w:val="superscript"/>
                        </w:rPr>
                        <w:t>+</w:t>
                      </w:r>
                      <w:r>
                        <w:rPr>
                          <w:sz w:val="20"/>
                          <w:szCs w:val="20"/>
                          <w:vertAlign w:val="superscript"/>
                        </w:rPr>
                        <w:t xml:space="preserve"> </w:t>
                      </w:r>
                      <w:r w:rsidRPr="00DC14BD">
                        <w:rPr>
                          <w:sz w:val="20"/>
                          <w:szCs w:val="20"/>
                        </w:rPr>
                        <w:t>B220</w:t>
                      </w:r>
                      <w:r w:rsidRPr="00DC14BD">
                        <w:rPr>
                          <w:sz w:val="20"/>
                          <w:szCs w:val="20"/>
                          <w:vertAlign w:val="superscript"/>
                        </w:rPr>
                        <w:t>+</w:t>
                      </w:r>
                      <w:r>
                        <w:rPr>
                          <w:sz w:val="20"/>
                          <w:szCs w:val="20"/>
                          <w:vertAlign w:val="superscript"/>
                        </w:rPr>
                        <w:t xml:space="preserve"> </w:t>
                      </w:r>
                      <w:r w:rsidRPr="00DC14BD">
                        <w:rPr>
                          <w:sz w:val="20"/>
                          <w:szCs w:val="20"/>
                        </w:rPr>
                        <w:t>MHCII</w:t>
                      </w:r>
                      <w:r w:rsidRPr="00DC14BD">
                        <w:rPr>
                          <w:sz w:val="20"/>
                          <w:szCs w:val="20"/>
                          <w:vertAlign w:val="superscript"/>
                        </w:rPr>
                        <w:t>+</w:t>
                      </w:r>
                      <w:r w:rsidRPr="00DC14BD">
                        <w:rPr>
                          <w:sz w:val="20"/>
                          <w:szCs w:val="20"/>
                        </w:rPr>
                        <w:t xml:space="preserve"> cells with Ly6G as an exclusionary gate</w:t>
                      </w:r>
                      <w:r>
                        <w:rPr>
                          <w:sz w:val="20"/>
                          <w:szCs w:val="20"/>
                        </w:rPr>
                        <w:t xml:space="preserve"> (Blue Border)</w:t>
                      </w:r>
                      <w:r w:rsidRPr="00DC14BD">
                        <w:rPr>
                          <w:sz w:val="20"/>
                          <w:szCs w:val="20"/>
                        </w:rPr>
                        <w:t xml:space="preserve">. Tregs were gated as </w:t>
                      </w:r>
                      <w:r w:rsidRPr="00E143A1">
                        <w:rPr>
                          <w:sz w:val="20"/>
                          <w:szCs w:val="20"/>
                        </w:rPr>
                        <w:t>CD45</w:t>
                      </w:r>
                      <w:r w:rsidRPr="00E143A1">
                        <w:rPr>
                          <w:sz w:val="20"/>
                          <w:szCs w:val="20"/>
                          <w:vertAlign w:val="superscript"/>
                        </w:rPr>
                        <w:t>+</w:t>
                      </w:r>
                      <w:r>
                        <w:rPr>
                          <w:sz w:val="20"/>
                          <w:szCs w:val="20"/>
                          <w:vertAlign w:val="superscript"/>
                        </w:rPr>
                        <w:t xml:space="preserve"> </w:t>
                      </w:r>
                      <w:r w:rsidRPr="00E143A1">
                        <w:rPr>
                          <w:sz w:val="20"/>
                          <w:szCs w:val="20"/>
                        </w:rPr>
                        <w:t>CD3</w:t>
                      </w:r>
                      <w:r w:rsidRPr="00E143A1">
                        <w:rPr>
                          <w:sz w:val="20"/>
                          <w:szCs w:val="20"/>
                          <w:vertAlign w:val="superscript"/>
                        </w:rPr>
                        <w:t>+</w:t>
                      </w:r>
                      <w:r>
                        <w:rPr>
                          <w:sz w:val="20"/>
                          <w:szCs w:val="20"/>
                          <w:vertAlign w:val="superscript"/>
                        </w:rPr>
                        <w:t xml:space="preserve"> </w:t>
                      </w:r>
                      <w:r w:rsidRPr="00E143A1">
                        <w:rPr>
                          <w:sz w:val="20"/>
                          <w:szCs w:val="20"/>
                        </w:rPr>
                        <w:t>CD4</w:t>
                      </w:r>
                      <w:r w:rsidRPr="00E143A1">
                        <w:rPr>
                          <w:sz w:val="20"/>
                          <w:szCs w:val="20"/>
                          <w:vertAlign w:val="superscript"/>
                        </w:rPr>
                        <w:t>+</w:t>
                      </w:r>
                      <w:r>
                        <w:rPr>
                          <w:sz w:val="20"/>
                          <w:szCs w:val="20"/>
                          <w:vertAlign w:val="superscript"/>
                        </w:rPr>
                        <w:t xml:space="preserve"> </w:t>
                      </w:r>
                      <w:r w:rsidRPr="00E143A1">
                        <w:rPr>
                          <w:sz w:val="20"/>
                          <w:szCs w:val="20"/>
                        </w:rPr>
                        <w:t>CD25</w:t>
                      </w:r>
                      <w:r w:rsidRPr="00E143A1">
                        <w:rPr>
                          <w:sz w:val="20"/>
                          <w:szCs w:val="20"/>
                          <w:vertAlign w:val="superscript"/>
                        </w:rPr>
                        <w:t>+</w:t>
                      </w:r>
                      <w:r>
                        <w:rPr>
                          <w:sz w:val="20"/>
                          <w:szCs w:val="20"/>
                          <w:vertAlign w:val="superscript"/>
                        </w:rPr>
                        <w:t xml:space="preserve"> </w:t>
                      </w:r>
                      <w:r>
                        <w:rPr>
                          <w:sz w:val="20"/>
                          <w:szCs w:val="20"/>
                        </w:rPr>
                        <w:t>Foxp3</w:t>
                      </w:r>
                      <w:r w:rsidRPr="00DC14BD">
                        <w:rPr>
                          <w:sz w:val="20"/>
                          <w:szCs w:val="20"/>
                          <w:vertAlign w:val="superscript"/>
                        </w:rPr>
                        <w:t>+</w:t>
                      </w:r>
                      <w:r>
                        <w:rPr>
                          <w:sz w:val="20"/>
                          <w:szCs w:val="20"/>
                        </w:rPr>
                        <w:t xml:space="preserve"> with </w:t>
                      </w:r>
                      <w:r w:rsidRPr="00E143A1">
                        <w:rPr>
                          <w:sz w:val="20"/>
                          <w:szCs w:val="20"/>
                        </w:rPr>
                        <w:t>B220</w:t>
                      </w:r>
                      <w:r>
                        <w:rPr>
                          <w:sz w:val="20"/>
                          <w:szCs w:val="20"/>
                        </w:rPr>
                        <w:t>, CD11b,</w:t>
                      </w:r>
                      <w:r w:rsidRPr="00A21E86">
                        <w:rPr>
                          <w:sz w:val="20"/>
                          <w:szCs w:val="20"/>
                        </w:rPr>
                        <w:t xml:space="preserve"> and </w:t>
                      </w:r>
                      <w:r w:rsidRPr="00E143A1">
                        <w:rPr>
                          <w:sz w:val="20"/>
                          <w:szCs w:val="20"/>
                        </w:rPr>
                        <w:t>CD11c</w:t>
                      </w:r>
                      <w:r>
                        <w:rPr>
                          <w:sz w:val="20"/>
                          <w:szCs w:val="20"/>
                        </w:rPr>
                        <w:t xml:space="preserve"> exclusionary gating (Cyan Border). Myeloid cells were gated off CD45</w:t>
                      </w:r>
                      <w:r w:rsidRPr="00DC14BD">
                        <w:rPr>
                          <w:sz w:val="20"/>
                          <w:szCs w:val="20"/>
                          <w:vertAlign w:val="superscript"/>
                        </w:rPr>
                        <w:t>+</w:t>
                      </w:r>
                      <w:r>
                        <w:rPr>
                          <w:sz w:val="20"/>
                          <w:szCs w:val="20"/>
                        </w:rPr>
                        <w:t xml:space="preserve"> B220</w:t>
                      </w:r>
                      <w:r>
                        <w:rPr>
                          <w:sz w:val="20"/>
                          <w:szCs w:val="20"/>
                          <w:vertAlign w:val="superscript"/>
                        </w:rPr>
                        <w:t>-</w:t>
                      </w:r>
                      <w:r>
                        <w:rPr>
                          <w:sz w:val="20"/>
                          <w:szCs w:val="20"/>
                        </w:rPr>
                        <w:t xml:space="preserve"> cells. Macrophages were gated as CD45</w:t>
                      </w:r>
                      <w:r w:rsidRPr="00DC14BD">
                        <w:rPr>
                          <w:sz w:val="20"/>
                          <w:szCs w:val="20"/>
                          <w:vertAlign w:val="superscript"/>
                        </w:rPr>
                        <w:t>+</w:t>
                      </w:r>
                      <w:r>
                        <w:rPr>
                          <w:sz w:val="20"/>
                          <w:szCs w:val="20"/>
                          <w:vertAlign w:val="superscript"/>
                        </w:rPr>
                        <w:t xml:space="preserve"> </w:t>
                      </w:r>
                      <w:r>
                        <w:rPr>
                          <w:sz w:val="20"/>
                          <w:szCs w:val="20"/>
                        </w:rPr>
                        <w:t>CD11b</w:t>
                      </w:r>
                      <w:r w:rsidRPr="00DC14BD">
                        <w:rPr>
                          <w:sz w:val="20"/>
                          <w:szCs w:val="20"/>
                          <w:vertAlign w:val="superscript"/>
                        </w:rPr>
                        <w:t>+</w:t>
                      </w:r>
                      <w:r>
                        <w:rPr>
                          <w:sz w:val="20"/>
                          <w:szCs w:val="20"/>
                          <w:vertAlign w:val="superscript"/>
                        </w:rPr>
                        <w:t xml:space="preserve"> </w:t>
                      </w:r>
                      <w:r>
                        <w:rPr>
                          <w:sz w:val="20"/>
                          <w:szCs w:val="20"/>
                        </w:rPr>
                        <w:t>CD11c</w:t>
                      </w:r>
                      <w:r w:rsidRPr="00DC14BD">
                        <w:rPr>
                          <w:sz w:val="20"/>
                          <w:szCs w:val="20"/>
                          <w:vertAlign w:val="superscript"/>
                        </w:rPr>
                        <w:t>-</w:t>
                      </w:r>
                      <w:r>
                        <w:rPr>
                          <w:sz w:val="20"/>
                          <w:szCs w:val="20"/>
                          <w:vertAlign w:val="superscript"/>
                        </w:rPr>
                        <w:t xml:space="preserve">  </w:t>
                      </w:r>
                      <w:r>
                        <w:rPr>
                          <w:sz w:val="20"/>
                          <w:szCs w:val="20"/>
                        </w:rPr>
                        <w:t>F4/80</w:t>
                      </w:r>
                      <w:r w:rsidRPr="00DC14BD">
                        <w:rPr>
                          <w:sz w:val="20"/>
                          <w:szCs w:val="20"/>
                          <w:vertAlign w:val="superscript"/>
                        </w:rPr>
                        <w:t>+</w:t>
                      </w:r>
                      <w:r>
                        <w:rPr>
                          <w:sz w:val="20"/>
                          <w:szCs w:val="20"/>
                        </w:rPr>
                        <w:t xml:space="preserve"> (Purple Border) and dendritic cells were gated as CD45</w:t>
                      </w:r>
                      <w:r w:rsidRPr="009C1878">
                        <w:rPr>
                          <w:sz w:val="20"/>
                          <w:szCs w:val="20"/>
                          <w:vertAlign w:val="superscript"/>
                        </w:rPr>
                        <w:t>+</w:t>
                      </w:r>
                      <w:r>
                        <w:rPr>
                          <w:sz w:val="20"/>
                          <w:szCs w:val="20"/>
                          <w:vertAlign w:val="superscript"/>
                        </w:rPr>
                        <w:t xml:space="preserve"> </w:t>
                      </w:r>
                      <w:r>
                        <w:rPr>
                          <w:sz w:val="20"/>
                          <w:szCs w:val="20"/>
                        </w:rPr>
                        <w:t>CD11b</w:t>
                      </w:r>
                      <w:r w:rsidRPr="009C1878">
                        <w:rPr>
                          <w:sz w:val="20"/>
                          <w:szCs w:val="20"/>
                          <w:vertAlign w:val="superscript"/>
                        </w:rPr>
                        <w:t>+</w:t>
                      </w:r>
                      <w:r>
                        <w:rPr>
                          <w:sz w:val="20"/>
                          <w:szCs w:val="20"/>
                          <w:vertAlign w:val="superscript"/>
                        </w:rPr>
                        <w:t xml:space="preserve"> </w:t>
                      </w:r>
                      <w:r>
                        <w:rPr>
                          <w:sz w:val="20"/>
                          <w:szCs w:val="20"/>
                        </w:rPr>
                        <w:t>CD11c</w:t>
                      </w:r>
                      <w:r>
                        <w:rPr>
                          <w:sz w:val="20"/>
                          <w:szCs w:val="20"/>
                          <w:vertAlign w:val="superscript"/>
                        </w:rPr>
                        <w:t xml:space="preserve">+ </w:t>
                      </w:r>
                      <w:r>
                        <w:rPr>
                          <w:sz w:val="20"/>
                          <w:szCs w:val="20"/>
                        </w:rPr>
                        <w:t>MHCII</w:t>
                      </w:r>
                      <w:r w:rsidRPr="009C1878">
                        <w:rPr>
                          <w:sz w:val="20"/>
                          <w:szCs w:val="20"/>
                          <w:vertAlign w:val="superscript"/>
                        </w:rPr>
                        <w:t>+</w:t>
                      </w:r>
                      <w:r>
                        <w:rPr>
                          <w:sz w:val="20"/>
                          <w:szCs w:val="20"/>
                        </w:rPr>
                        <w:t>. Exclusionary gating was performed to remove dead cells from the gated populations.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p w14:paraId="778A4450" w14:textId="48C003DC" w:rsidR="002F549D" w:rsidRDefault="002F549D" w:rsidP="002F549D">
      <w:pPr>
        <w:spacing w:line="360" w:lineRule="auto"/>
        <w:jc w:val="both"/>
        <w:rPr>
          <w:b/>
          <w:bCs/>
        </w:rPr>
        <w:sectPr w:rsidR="002F549D" w:rsidSect="002F549D">
          <w:type w:val="continuous"/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14:paraId="0E6B9DA3" w14:textId="1CFA909E" w:rsidR="002F549D" w:rsidRDefault="002F549D" w:rsidP="002F549D">
      <w:pPr>
        <w:spacing w:line="360" w:lineRule="auto"/>
        <w:jc w:val="both"/>
        <w:rPr>
          <w:b/>
          <w:bCs/>
        </w:rPr>
        <w:sectPr w:rsidR="002F549D" w:rsidSect="002F549D">
          <w:type w:val="continuous"/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3837A48" wp14:editId="15F71E16">
                <wp:simplePos x="0" y="0"/>
                <wp:positionH relativeFrom="margin">
                  <wp:align>right</wp:align>
                </wp:positionH>
                <wp:positionV relativeFrom="paragraph">
                  <wp:posOffset>3217857</wp:posOffset>
                </wp:positionV>
                <wp:extent cx="9144000" cy="635"/>
                <wp:effectExtent l="0" t="0" r="0" b="0"/>
                <wp:wrapSquare wrapText="bothSides"/>
                <wp:docPr id="1508358535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18647499" w14:textId="77777777" w:rsidR="002F549D" w:rsidRPr="004D7EF5" w:rsidRDefault="002F549D" w:rsidP="002F549D">
                            <w:pPr>
                              <w:pStyle w:val="Caption"/>
                              <w:spacing w:after="0"/>
                              <w:rPr>
                                <w:b/>
                                <w:bCs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b/>
                                <w:bCs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</w:rPr>
                              <w:t xml:space="preserve">Supplementary </w:t>
                            </w:r>
                            <w:r w:rsidRPr="004D7EF5">
                              <w:rPr>
                                <w:b/>
                                <w:bCs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</w:rPr>
                              <w:t xml:space="preserve">Figure </w:t>
                            </w:r>
                            <w:r>
                              <w:rPr>
                                <w:b/>
                                <w:bCs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</w:rPr>
                              <w:t>3</w:t>
                            </w:r>
                            <w:r w:rsidRPr="004D7EF5">
                              <w:rPr>
                                <w:b/>
                                <w:bCs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</w:rPr>
                              <w:t xml:space="preserve"> – </w:t>
                            </w:r>
                            <w:r>
                              <w:rPr>
                                <w:b/>
                                <w:bCs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</w:rPr>
                              <w:t xml:space="preserve">Population frequency of Tregs and MDSCs are increased in the muscle, but not the lymph node, following </w:t>
                            </w:r>
                            <w:r w:rsidRPr="00656001">
                              <w:rPr>
                                <w:b/>
                                <w:bCs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</w:rPr>
                              <w:t>CCL22MP treatment</w:t>
                            </w:r>
                            <w:r>
                              <w:rPr>
                                <w:b/>
                                <w:bCs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</w:rPr>
                              <w:t>.</w:t>
                            </w:r>
                          </w:p>
                          <w:p w14:paraId="60D9D7F0" w14:textId="77777777" w:rsidR="002F549D" w:rsidRPr="00DC14BD" w:rsidRDefault="002F549D" w:rsidP="002F549D">
                            <w:pPr>
                              <w:spacing w:before="120" w:after="0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a)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Frequencies of Tregs, MDSCs, ceutrophils, B cells, dendritic cells, and macrophages in the muscle or </w:t>
                            </w: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b)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the popliteal lymph node. N = 9 mice per group.</w:t>
                            </w:r>
                            <w:r w:rsidRPr="00656001">
                              <w:rPr>
                                <w:sz w:val="20"/>
                                <w:szCs w:val="20"/>
                              </w:rPr>
                              <w:t xml:space="preserve"> One-way Anova was performed with Dunnet’s multiple comparisons correction to determine differences between each group. * p &lt; 0.05, ** p &lt; 0.01, **** p &lt; 0.0001.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837A48" id="_x0000_s1027" type="#_x0000_t202" style="position:absolute;left:0;text-align:left;margin-left:668.8pt;margin-top:253.35pt;width:10in;height:.05pt;z-index:251661312;visibility:visible;mso-wrap-style:square;mso-height-percent:0;mso-wrap-distance-left:9pt;mso-wrap-distance-top:0;mso-wrap-distance-right:9pt;mso-wrap-distance-bottom:0;mso-position-horizontal:right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" stroked="f">
                <v:textbox style="mso-fit-shape-to-text:t" inset="0,0,0,0">
                  <w:txbxContent>
                    <w:p w14:paraId="18647499" w14:textId="77777777" w:rsidR="002F549D" w:rsidRPr="004D7EF5" w:rsidRDefault="002F549D" w:rsidP="002F549D">
                      <w:pPr>
                        <w:pStyle w:val="Caption"/>
                        <w:spacing w:after="0"/>
                        <w:rPr>
                          <w:b/>
                          <w:bCs/>
                          <w:i w:val="0"/>
                          <w:iCs w:val="0"/>
                          <w:color w:val="auto"/>
                          <w:sz w:val="22"/>
                          <w:szCs w:val="22"/>
                        </w:rPr>
                      </w:pPr>
                      <w:r>
                        <w:rPr>
                          <w:b/>
                          <w:bCs/>
                          <w:i w:val="0"/>
                          <w:iCs w:val="0"/>
                          <w:color w:val="auto"/>
                          <w:sz w:val="22"/>
                          <w:szCs w:val="22"/>
                        </w:rPr>
                        <w:t xml:space="preserve">Supplementary </w:t>
                      </w:r>
                      <w:r w:rsidRPr="004D7EF5">
                        <w:rPr>
                          <w:b/>
                          <w:bCs/>
                          <w:i w:val="0"/>
                          <w:iCs w:val="0"/>
                          <w:color w:val="auto"/>
                          <w:sz w:val="22"/>
                          <w:szCs w:val="22"/>
                        </w:rPr>
                        <w:t xml:space="preserve">Figure </w:t>
                      </w:r>
                      <w:r>
                        <w:rPr>
                          <w:b/>
                          <w:bCs/>
                          <w:i w:val="0"/>
                          <w:iCs w:val="0"/>
                          <w:color w:val="auto"/>
                          <w:sz w:val="22"/>
                          <w:szCs w:val="22"/>
                        </w:rPr>
                        <w:t>3</w:t>
                      </w:r>
                      <w:r w:rsidRPr="004D7EF5">
                        <w:rPr>
                          <w:b/>
                          <w:bCs/>
                          <w:i w:val="0"/>
                          <w:iCs w:val="0"/>
                          <w:color w:val="auto"/>
                          <w:sz w:val="22"/>
                          <w:szCs w:val="22"/>
                        </w:rPr>
                        <w:t xml:space="preserve"> – </w:t>
                      </w:r>
                      <w:r>
                        <w:rPr>
                          <w:b/>
                          <w:bCs/>
                          <w:i w:val="0"/>
                          <w:iCs w:val="0"/>
                          <w:color w:val="auto"/>
                          <w:sz w:val="22"/>
                          <w:szCs w:val="22"/>
                        </w:rPr>
                        <w:t xml:space="preserve">Population frequency of Tregs and MDSCs are increased in the muscle, but not the lymph node, following </w:t>
                      </w:r>
                      <w:r w:rsidRPr="00656001">
                        <w:rPr>
                          <w:b/>
                          <w:bCs/>
                          <w:i w:val="0"/>
                          <w:iCs w:val="0"/>
                          <w:color w:val="auto"/>
                          <w:sz w:val="22"/>
                          <w:szCs w:val="22"/>
                        </w:rPr>
                        <w:t>CCL22MP treatment</w:t>
                      </w:r>
                      <w:r>
                        <w:rPr>
                          <w:b/>
                          <w:bCs/>
                          <w:i w:val="0"/>
                          <w:iCs w:val="0"/>
                          <w:color w:val="auto"/>
                          <w:sz w:val="22"/>
                          <w:szCs w:val="22"/>
                        </w:rPr>
                        <w:t>.</w:t>
                      </w:r>
                    </w:p>
                    <w:p w14:paraId="60D9D7F0" w14:textId="77777777" w:rsidR="002F549D" w:rsidRPr="00DC14BD" w:rsidRDefault="002F549D" w:rsidP="002F549D">
                      <w:pPr>
                        <w:spacing w:before="120" w:after="0"/>
                        <w:jc w:val="both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>a)</w:t>
                      </w:r>
                      <w:r>
                        <w:rPr>
                          <w:sz w:val="20"/>
                          <w:szCs w:val="20"/>
                        </w:rPr>
                        <w:t xml:space="preserve"> Frequencies of Tregs, MDSCs, ceutrophils, B cells, dendritic cells, and macrophages in the muscle or </w:t>
                      </w: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>b)</w:t>
                      </w:r>
                      <w:r>
                        <w:rPr>
                          <w:sz w:val="20"/>
                          <w:szCs w:val="20"/>
                        </w:rPr>
                        <w:t xml:space="preserve"> the popliteal lymph node. N = 9 mice per group.</w:t>
                      </w:r>
                      <w:r w:rsidRPr="00656001">
                        <w:rPr>
                          <w:sz w:val="20"/>
                          <w:szCs w:val="20"/>
                        </w:rPr>
                        <w:t xml:space="preserve"> One-way Anova was performed with Dunnet’s multiple comparisons correction to determine differences between each group. * p &lt; 0.05, ** p &lt; 0.01, **** p &lt; 0.0001.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4449E445" wp14:editId="61C70055">
            <wp:extent cx="9144000" cy="3117850"/>
            <wp:effectExtent l="0" t="0" r="0" b="6350"/>
            <wp:docPr id="1297489954" name="Picture 19" descr="A group of black and white li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7489954" name="Picture 19" descr="A group of black and white lines&#10;&#10;AI-generated content may be incorrect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0" cy="3117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</w:rPr>
        <w:br w:type="page"/>
      </w:r>
    </w:p>
    <w:p w14:paraId="518B3155" w14:textId="77777777" w:rsidR="002F549D" w:rsidRDefault="002F549D" w:rsidP="002F549D">
      <w:pPr>
        <w:spacing w:line="360" w:lineRule="auto"/>
        <w:jc w:val="both"/>
        <w:rPr>
          <w:b/>
          <w:bCs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64B1D8" wp14:editId="740773B2">
                <wp:simplePos x="0" y="0"/>
                <wp:positionH relativeFrom="margin">
                  <wp:align>right</wp:align>
                </wp:positionH>
                <wp:positionV relativeFrom="margin">
                  <wp:posOffset>4364367</wp:posOffset>
                </wp:positionV>
                <wp:extent cx="6858000" cy="258445"/>
                <wp:effectExtent l="0" t="0" r="0" b="6985"/>
                <wp:wrapSquare wrapText="bothSides"/>
                <wp:docPr id="583962968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0" cy="25844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05CD951A" w14:textId="77777777" w:rsidR="002F549D" w:rsidRPr="004D7EF5" w:rsidRDefault="002F549D" w:rsidP="002F549D">
                            <w:pPr>
                              <w:spacing w:after="0"/>
                              <w:jc w:val="both"/>
                            </w:pPr>
                            <w:r>
                              <w:rPr>
                                <w:b/>
                                <w:bCs/>
                              </w:rPr>
                              <w:t xml:space="preserve">Supplementary </w:t>
                            </w:r>
                            <w:r w:rsidRPr="004D7EF5">
                              <w:rPr>
                                <w:b/>
                                <w:bCs/>
                              </w:rPr>
                              <w:t xml:space="preserve">Figure </w:t>
                            </w:r>
                            <w:r>
                              <w:rPr>
                                <w:b/>
                                <w:bCs/>
                              </w:rPr>
                              <w:t>4</w:t>
                            </w:r>
                            <w:r w:rsidRPr="004D7EF5">
                              <w:rPr>
                                <w:b/>
                                <w:bCs/>
                              </w:rPr>
                              <w:t xml:space="preserve"> – </w:t>
                            </w:r>
                            <w:r w:rsidRPr="00656001">
                              <w:rPr>
                                <w:b/>
                                <w:bCs/>
                              </w:rPr>
                              <w:t xml:space="preserve">CCL22MP </w:t>
                            </w:r>
                            <w:r w:rsidRPr="00DC14BD">
                              <w:rPr>
                                <w:b/>
                                <w:bCs/>
                              </w:rPr>
                              <w:t xml:space="preserve">treatment </w:t>
                            </w:r>
                            <w:r w:rsidRPr="00A21E86">
                              <w:rPr>
                                <w:b/>
                                <w:bCs/>
                              </w:rPr>
                              <w:t>increases macrophages in the lymph node, but does not significantly affect other leukocytes</w:t>
                            </w:r>
                          </w:p>
                          <w:p w14:paraId="3ADDBFFE" w14:textId="77777777" w:rsidR="002F549D" w:rsidRPr="00861FFB" w:rsidRDefault="002F549D" w:rsidP="002F549D">
                            <w:pPr>
                              <w:spacing w:after="0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a)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Representative Treg population detection from the lymph nodes. Foxp3</w:t>
                            </w:r>
                            <w:r w:rsidRPr="00E65844">
                              <w:rPr>
                                <w:sz w:val="20"/>
                                <w:szCs w:val="20"/>
                                <w:vertAlign w:val="superscript"/>
                              </w:rPr>
                              <w:t>+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Treg population was gated from CD45</w:t>
                            </w:r>
                            <w:r w:rsidRPr="00E65844">
                              <w:rPr>
                                <w:sz w:val="20"/>
                                <w:szCs w:val="20"/>
                                <w:vertAlign w:val="superscript"/>
                              </w:rPr>
                              <w:t>+</w:t>
                            </w:r>
                            <w:r>
                              <w:rPr>
                                <w:sz w:val="20"/>
                                <w:szCs w:val="20"/>
                                <w:vertAlign w:val="superscript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B220</w:t>
                            </w:r>
                            <w:r w:rsidRPr="00E65844">
                              <w:rPr>
                                <w:sz w:val="20"/>
                                <w:szCs w:val="20"/>
                                <w:vertAlign w:val="superscript"/>
                              </w:rPr>
                              <w:t>-</w:t>
                            </w:r>
                            <w:r>
                              <w:rPr>
                                <w:sz w:val="20"/>
                                <w:szCs w:val="20"/>
                                <w:vertAlign w:val="superscript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CD11b</w:t>
                            </w:r>
                            <w:r w:rsidRPr="00E65844">
                              <w:rPr>
                                <w:sz w:val="20"/>
                                <w:szCs w:val="20"/>
                                <w:vertAlign w:val="superscript"/>
                              </w:rPr>
                              <w:t>-</w:t>
                            </w:r>
                            <w:r>
                              <w:rPr>
                                <w:sz w:val="20"/>
                                <w:szCs w:val="20"/>
                                <w:vertAlign w:val="superscript"/>
                              </w:rPr>
                              <w:t xml:space="preserve"> </w:t>
                            </w:r>
                            <w:r w:rsidRPr="00E65844">
                              <w:rPr>
                                <w:sz w:val="20"/>
                                <w:szCs w:val="20"/>
                                <w:vertAlign w:val="subscript"/>
                              </w:rPr>
                              <w:t>-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CD11c</w:t>
                            </w:r>
                            <w:r w:rsidRPr="00E65844">
                              <w:rPr>
                                <w:sz w:val="20"/>
                                <w:szCs w:val="20"/>
                                <w:vertAlign w:val="superscript"/>
                              </w:rPr>
                              <w:t>-</w:t>
                            </w:r>
                            <w:r>
                              <w:rPr>
                                <w:sz w:val="20"/>
                                <w:szCs w:val="20"/>
                                <w:vertAlign w:val="superscript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CD3</w:t>
                            </w:r>
                            <w:r w:rsidRPr="00E65844">
                              <w:rPr>
                                <w:sz w:val="20"/>
                                <w:szCs w:val="20"/>
                                <w:vertAlign w:val="superscript"/>
                              </w:rPr>
                              <w:t>+</w:t>
                            </w:r>
                            <w:r>
                              <w:rPr>
                                <w:sz w:val="20"/>
                                <w:szCs w:val="20"/>
                                <w:vertAlign w:val="superscript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CD4</w:t>
                            </w:r>
                            <w:r w:rsidRPr="00E65844">
                              <w:rPr>
                                <w:sz w:val="20"/>
                                <w:szCs w:val="20"/>
                                <w:vertAlign w:val="superscript"/>
                              </w:rPr>
                              <w:t>+</w:t>
                            </w:r>
                            <w:r>
                              <w:rPr>
                                <w:sz w:val="20"/>
                                <w:szCs w:val="20"/>
                                <w:vertAlign w:val="superscript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CD25</w:t>
                            </w:r>
                            <w:r w:rsidRPr="00E65844">
                              <w:rPr>
                                <w:sz w:val="20"/>
                                <w:szCs w:val="20"/>
                                <w:vertAlign w:val="superscript"/>
                              </w:rPr>
                              <w:t>+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T cells.</w:t>
                            </w:r>
                            <w:r w:rsidRPr="00656001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b)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CCL22MP treatment does not result in changes to the number of Tregs in the lymph node Tregs or (</w:t>
                            </w:r>
                            <w:r w:rsidRPr="00A21E86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) their expression of ST2. </w:t>
                            </w: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d</w:t>
                            </w:r>
                            <w:r w:rsidRPr="004B66D3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)</w:t>
                            </w:r>
                            <w:r w:rsidRPr="00656001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Representative myeloid populations from lymph node digests</w:t>
                            </w:r>
                            <w:r w:rsidRPr="00656001">
                              <w:rPr>
                                <w:sz w:val="20"/>
                                <w:szCs w:val="20"/>
                              </w:rPr>
                              <w:t>.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Myeloid cells were gated from CD45</w:t>
                            </w:r>
                            <w:r>
                              <w:rPr>
                                <w:sz w:val="20"/>
                                <w:szCs w:val="20"/>
                                <w:vertAlign w:val="superscript"/>
                              </w:rPr>
                              <w:t xml:space="preserve">+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B220</w:t>
                            </w:r>
                            <w:r w:rsidRPr="00E65844">
                              <w:rPr>
                                <w:sz w:val="20"/>
                                <w:szCs w:val="20"/>
                                <w:vertAlign w:val="superscript"/>
                              </w:rPr>
                              <w:t>-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cells. </w:t>
                            </w: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e</w:t>
                            </w:r>
                            <w:r w:rsidRPr="004B66D3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)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The number of MDSCs and Neutrophils is elevated, but not significant, for CCL22MP treated limbs. Further assessment of B cell, macrophage, dendritic cell populations in the </w:t>
                            </w: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f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) injured muscle and </w:t>
                            </w: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g)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draining lymph node was performed. There were no significant differences in these cell populations in the muscle, but  CCL22MP treated limbs exhibited elevated macrophage infiltrate into the lymph node. </w:t>
                            </w:r>
                            <w:r w:rsidRPr="005C2978">
                              <w:rPr>
                                <w:sz w:val="20"/>
                                <w:szCs w:val="20"/>
                              </w:rPr>
                              <w:t>Data shown represents the aggregate digest of both hindlimbs for N = 9 to 12 mice and both nearest draining lymph nodes (popliteal) from N = 9 mice.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656001">
                              <w:rPr>
                                <w:sz w:val="20"/>
                                <w:szCs w:val="20"/>
                              </w:rPr>
                              <w:t>One-way Anova was performed with Dunnet’s multiple comparisons correction to determine differences between each group. * p &lt; 0.05, ** p &lt; 0.01, *** p &lt; 0.001, **** p &lt; 0.0001.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A64B1D8" id="_x0000_s1028" type="#_x0000_t202" style="position:absolute;left:0;text-align:left;margin-left:488.8pt;margin-top:343.65pt;width:540pt;height:20.35pt;z-index:251660288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margin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" stroked="f">
                <v:textbox style="mso-fit-shape-to-text:t" inset="0,0,0,0">
                  <w:txbxContent>
                    <w:p w14:paraId="05CD951A" w14:textId="77777777" w:rsidR="002F549D" w:rsidRPr="004D7EF5" w:rsidRDefault="002F549D" w:rsidP="002F549D">
                      <w:pPr>
                        <w:spacing w:after="0"/>
                        <w:jc w:val="both"/>
                      </w:pPr>
                      <w:r>
                        <w:rPr>
                          <w:b/>
                          <w:bCs/>
                        </w:rPr>
                        <w:t xml:space="preserve">Supplementary </w:t>
                      </w:r>
                      <w:r w:rsidRPr="004D7EF5">
                        <w:rPr>
                          <w:b/>
                          <w:bCs/>
                        </w:rPr>
                        <w:t xml:space="preserve">Figure </w:t>
                      </w:r>
                      <w:r>
                        <w:rPr>
                          <w:b/>
                          <w:bCs/>
                        </w:rPr>
                        <w:t>4</w:t>
                      </w:r>
                      <w:r w:rsidRPr="004D7EF5">
                        <w:rPr>
                          <w:b/>
                          <w:bCs/>
                        </w:rPr>
                        <w:t xml:space="preserve"> – </w:t>
                      </w:r>
                      <w:r w:rsidRPr="00656001">
                        <w:rPr>
                          <w:b/>
                          <w:bCs/>
                        </w:rPr>
                        <w:t xml:space="preserve">CCL22MP </w:t>
                      </w:r>
                      <w:r w:rsidRPr="00DC14BD">
                        <w:rPr>
                          <w:b/>
                          <w:bCs/>
                        </w:rPr>
                        <w:t xml:space="preserve">treatment </w:t>
                      </w:r>
                      <w:r w:rsidRPr="00A21E86">
                        <w:rPr>
                          <w:b/>
                          <w:bCs/>
                        </w:rPr>
                        <w:t>increases macrophages in the lymph node, but does not significantly affect other leukocytes</w:t>
                      </w:r>
                    </w:p>
                    <w:p w14:paraId="3ADDBFFE" w14:textId="77777777" w:rsidR="002F549D" w:rsidRPr="00861FFB" w:rsidRDefault="002F549D" w:rsidP="002F549D">
                      <w:pPr>
                        <w:spacing w:after="0"/>
                        <w:jc w:val="both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>a)</w:t>
                      </w:r>
                      <w:r>
                        <w:rPr>
                          <w:sz w:val="20"/>
                          <w:szCs w:val="20"/>
                        </w:rPr>
                        <w:t xml:space="preserve"> Representative Treg population detection from the lymph nodes. Foxp3</w:t>
                      </w:r>
                      <w:r w:rsidRPr="00E65844">
                        <w:rPr>
                          <w:sz w:val="20"/>
                          <w:szCs w:val="20"/>
                          <w:vertAlign w:val="superscript"/>
                        </w:rPr>
                        <w:t>+</w:t>
                      </w:r>
                      <w:r>
                        <w:rPr>
                          <w:sz w:val="20"/>
                          <w:szCs w:val="20"/>
                        </w:rPr>
                        <w:t xml:space="preserve"> Treg population was gated from CD45</w:t>
                      </w:r>
                      <w:r w:rsidRPr="00E65844">
                        <w:rPr>
                          <w:sz w:val="20"/>
                          <w:szCs w:val="20"/>
                          <w:vertAlign w:val="superscript"/>
                        </w:rPr>
                        <w:t>+</w:t>
                      </w:r>
                      <w:r>
                        <w:rPr>
                          <w:sz w:val="20"/>
                          <w:szCs w:val="20"/>
                          <w:vertAlign w:val="superscript"/>
                        </w:rPr>
                        <w:t xml:space="preserve"> </w:t>
                      </w:r>
                      <w:r>
                        <w:rPr>
                          <w:sz w:val="20"/>
                          <w:szCs w:val="20"/>
                        </w:rPr>
                        <w:t>B220</w:t>
                      </w:r>
                      <w:r w:rsidRPr="00E65844">
                        <w:rPr>
                          <w:sz w:val="20"/>
                          <w:szCs w:val="20"/>
                          <w:vertAlign w:val="superscript"/>
                        </w:rPr>
                        <w:t>-</w:t>
                      </w:r>
                      <w:r>
                        <w:rPr>
                          <w:sz w:val="20"/>
                          <w:szCs w:val="20"/>
                          <w:vertAlign w:val="superscript"/>
                        </w:rPr>
                        <w:t xml:space="preserve"> </w:t>
                      </w:r>
                      <w:r>
                        <w:rPr>
                          <w:sz w:val="20"/>
                          <w:szCs w:val="20"/>
                        </w:rPr>
                        <w:t>CD11b</w:t>
                      </w:r>
                      <w:r w:rsidRPr="00E65844">
                        <w:rPr>
                          <w:sz w:val="20"/>
                          <w:szCs w:val="20"/>
                          <w:vertAlign w:val="superscript"/>
                        </w:rPr>
                        <w:t>-</w:t>
                      </w:r>
                      <w:r>
                        <w:rPr>
                          <w:sz w:val="20"/>
                          <w:szCs w:val="20"/>
                          <w:vertAlign w:val="superscript"/>
                        </w:rPr>
                        <w:t xml:space="preserve"> </w:t>
                      </w:r>
                      <w:r w:rsidRPr="00E65844">
                        <w:rPr>
                          <w:sz w:val="20"/>
                          <w:szCs w:val="20"/>
                          <w:vertAlign w:val="subscript"/>
                        </w:rPr>
                        <w:t>-</w:t>
                      </w:r>
                      <w:r>
                        <w:rPr>
                          <w:sz w:val="20"/>
                          <w:szCs w:val="20"/>
                        </w:rPr>
                        <w:t>CD11c</w:t>
                      </w:r>
                      <w:r w:rsidRPr="00E65844">
                        <w:rPr>
                          <w:sz w:val="20"/>
                          <w:szCs w:val="20"/>
                          <w:vertAlign w:val="superscript"/>
                        </w:rPr>
                        <w:t>-</w:t>
                      </w:r>
                      <w:r>
                        <w:rPr>
                          <w:sz w:val="20"/>
                          <w:szCs w:val="20"/>
                          <w:vertAlign w:val="superscript"/>
                        </w:rPr>
                        <w:t xml:space="preserve"> </w:t>
                      </w:r>
                      <w:r>
                        <w:rPr>
                          <w:sz w:val="20"/>
                          <w:szCs w:val="20"/>
                        </w:rPr>
                        <w:t>CD3</w:t>
                      </w:r>
                      <w:r w:rsidRPr="00E65844">
                        <w:rPr>
                          <w:sz w:val="20"/>
                          <w:szCs w:val="20"/>
                          <w:vertAlign w:val="superscript"/>
                        </w:rPr>
                        <w:t>+</w:t>
                      </w:r>
                      <w:r>
                        <w:rPr>
                          <w:sz w:val="20"/>
                          <w:szCs w:val="20"/>
                          <w:vertAlign w:val="superscript"/>
                        </w:rPr>
                        <w:t xml:space="preserve"> </w:t>
                      </w:r>
                      <w:r>
                        <w:rPr>
                          <w:sz w:val="20"/>
                          <w:szCs w:val="20"/>
                        </w:rPr>
                        <w:t>CD4</w:t>
                      </w:r>
                      <w:r w:rsidRPr="00E65844">
                        <w:rPr>
                          <w:sz w:val="20"/>
                          <w:szCs w:val="20"/>
                          <w:vertAlign w:val="superscript"/>
                        </w:rPr>
                        <w:t>+</w:t>
                      </w:r>
                      <w:r>
                        <w:rPr>
                          <w:sz w:val="20"/>
                          <w:szCs w:val="20"/>
                          <w:vertAlign w:val="superscript"/>
                        </w:rPr>
                        <w:t xml:space="preserve"> </w:t>
                      </w:r>
                      <w:r>
                        <w:rPr>
                          <w:sz w:val="20"/>
                          <w:szCs w:val="20"/>
                        </w:rPr>
                        <w:t>CD25</w:t>
                      </w:r>
                      <w:r w:rsidRPr="00E65844">
                        <w:rPr>
                          <w:sz w:val="20"/>
                          <w:szCs w:val="20"/>
                          <w:vertAlign w:val="superscript"/>
                        </w:rPr>
                        <w:t>+</w:t>
                      </w:r>
                      <w:r>
                        <w:rPr>
                          <w:sz w:val="20"/>
                          <w:szCs w:val="20"/>
                        </w:rPr>
                        <w:t xml:space="preserve"> T cells.</w:t>
                      </w:r>
                      <w:r w:rsidRPr="00656001">
                        <w:rPr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>b)</w:t>
                      </w:r>
                      <w:r>
                        <w:rPr>
                          <w:sz w:val="20"/>
                          <w:szCs w:val="20"/>
                        </w:rPr>
                        <w:t xml:space="preserve"> CCL22MP treatment does not result in changes to the number of Tregs in the lymph node Tregs or (</w:t>
                      </w:r>
                      <w:r w:rsidRPr="00A21E86">
                        <w:rPr>
                          <w:b/>
                          <w:bCs/>
                          <w:sz w:val="20"/>
                          <w:szCs w:val="20"/>
                        </w:rPr>
                        <w:t>c</w:t>
                      </w:r>
                      <w:r>
                        <w:rPr>
                          <w:sz w:val="20"/>
                          <w:szCs w:val="20"/>
                        </w:rPr>
                        <w:t xml:space="preserve">) their expression of ST2. </w:t>
                      </w: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>d</w:t>
                      </w:r>
                      <w:r w:rsidRPr="004B66D3">
                        <w:rPr>
                          <w:b/>
                          <w:bCs/>
                          <w:sz w:val="20"/>
                          <w:szCs w:val="20"/>
                        </w:rPr>
                        <w:t>)</w:t>
                      </w:r>
                      <w:r w:rsidRPr="00656001">
                        <w:rPr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sz w:val="20"/>
                          <w:szCs w:val="20"/>
                        </w:rPr>
                        <w:t>Representative myeloid populations from lymph node digests</w:t>
                      </w:r>
                      <w:r w:rsidRPr="00656001">
                        <w:rPr>
                          <w:sz w:val="20"/>
                          <w:szCs w:val="20"/>
                        </w:rPr>
                        <w:t>.</w:t>
                      </w:r>
                      <w:r>
                        <w:rPr>
                          <w:sz w:val="20"/>
                          <w:szCs w:val="20"/>
                        </w:rPr>
                        <w:t xml:space="preserve"> Myeloid cells were gated from CD45</w:t>
                      </w:r>
                      <w:r>
                        <w:rPr>
                          <w:sz w:val="20"/>
                          <w:szCs w:val="20"/>
                          <w:vertAlign w:val="superscript"/>
                        </w:rPr>
                        <w:t xml:space="preserve">+ </w:t>
                      </w:r>
                      <w:r>
                        <w:rPr>
                          <w:sz w:val="20"/>
                          <w:szCs w:val="20"/>
                        </w:rPr>
                        <w:t>B220</w:t>
                      </w:r>
                      <w:r w:rsidRPr="00E65844">
                        <w:rPr>
                          <w:sz w:val="20"/>
                          <w:szCs w:val="20"/>
                          <w:vertAlign w:val="superscript"/>
                        </w:rPr>
                        <w:t>-</w:t>
                      </w:r>
                      <w:r>
                        <w:rPr>
                          <w:sz w:val="20"/>
                          <w:szCs w:val="20"/>
                        </w:rPr>
                        <w:t xml:space="preserve"> cells. </w:t>
                      </w: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>e</w:t>
                      </w:r>
                      <w:r w:rsidRPr="004B66D3">
                        <w:rPr>
                          <w:b/>
                          <w:bCs/>
                          <w:sz w:val="20"/>
                          <w:szCs w:val="20"/>
                        </w:rPr>
                        <w:t>)</w:t>
                      </w:r>
                      <w:r>
                        <w:rPr>
                          <w:sz w:val="20"/>
                          <w:szCs w:val="20"/>
                        </w:rPr>
                        <w:t xml:space="preserve"> The number of MDSCs and Neutrophils is elevated, but not significant, for CCL22MP treated limbs. Further assessment of B cell, macrophage, dendritic cell populations in the </w:t>
                      </w: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>f</w:t>
                      </w:r>
                      <w:r>
                        <w:rPr>
                          <w:sz w:val="20"/>
                          <w:szCs w:val="20"/>
                        </w:rPr>
                        <w:t xml:space="preserve">) injured muscle and </w:t>
                      </w: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>g)</w:t>
                      </w:r>
                      <w:r>
                        <w:rPr>
                          <w:sz w:val="20"/>
                          <w:szCs w:val="20"/>
                        </w:rPr>
                        <w:t xml:space="preserve"> draining lymph node was performed. There were no significant differences in these cell populations in the muscle, but  CCL22MP treated limbs exhibited elevated macrophage infiltrate into the lymph node. </w:t>
                      </w:r>
                      <w:r w:rsidRPr="005C2978">
                        <w:rPr>
                          <w:sz w:val="20"/>
                          <w:szCs w:val="20"/>
                        </w:rPr>
                        <w:t>Data shown represents the aggregate digest of both hindlimbs for N = 9 to 12 mice and both nearest draining lymph nodes (popliteal) from N = 9 mice.</w:t>
                      </w:r>
                      <w:r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Pr="00656001">
                        <w:rPr>
                          <w:sz w:val="20"/>
                          <w:szCs w:val="20"/>
                        </w:rPr>
                        <w:t>One-way Anova was performed with Dunnet’s multiple comparisons correction to determine differences between each group. * p &lt; 0.05, ** p &lt; 0.01, *** p &lt; 0.001, **** p &lt; 0.0001.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3360" behindDoc="0" locked="0" layoutInCell="1" allowOverlap="1" wp14:anchorId="5CEE77C3" wp14:editId="437556AC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6858000" cy="4224655"/>
            <wp:effectExtent l="0" t="0" r="0" b="4445"/>
            <wp:wrapSquare wrapText="bothSides"/>
            <wp:docPr id="1731627972" name="Picture 20" descr="A collage of graphs and diagram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1627972" name="Picture 20" descr="A collage of graphs and diagrams&#10;&#10;AI-generated content may be incorrect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42246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3F06FC8" w14:textId="77777777" w:rsidR="002F549D" w:rsidRDefault="002F549D" w:rsidP="002F549D">
      <w:pPr>
        <w:spacing w:line="360" w:lineRule="auto"/>
        <w:jc w:val="both"/>
        <w:rPr>
          <w:b/>
          <w:bCs/>
        </w:rPr>
      </w:pPr>
      <w:r>
        <w:rPr>
          <w:b/>
          <w:bCs/>
        </w:rPr>
        <w:br w:type="page"/>
      </w:r>
    </w:p>
    <w:p w14:paraId="54B11F39" w14:textId="77777777" w:rsidR="00755780" w:rsidRDefault="00755780"/>
    <w:sectPr w:rsidR="00755780" w:rsidSect="002F549D">
      <w:type w:val="continuous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549D"/>
    <w:rsid w:val="00011C58"/>
    <w:rsid w:val="0006021D"/>
    <w:rsid w:val="000A7AA7"/>
    <w:rsid w:val="002F549D"/>
    <w:rsid w:val="00331A6B"/>
    <w:rsid w:val="00755780"/>
    <w:rsid w:val="00857596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F417A8"/>
  <w15:chartTrackingRefBased/>
  <w15:docId w15:val="{256FBF0A-F6E9-45ED-893C-839286D076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549D"/>
    <w:pPr>
      <w:spacing w:after="120" w:line="240" w:lineRule="auto"/>
    </w:pPr>
    <w:rPr>
      <w:rFonts w:ascii="Arial" w:hAnsi="Arial" w:cs="Arial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F549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F549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F549D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F549D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F549D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F549D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F549D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F549D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F549D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F549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F549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F549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F549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F549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F549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F549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F549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F549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F549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F549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F549D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F549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F549D"/>
    <w:pPr>
      <w:spacing w:before="160" w:after="160" w:line="278" w:lineRule="auto"/>
      <w:jc w:val="center"/>
    </w:pPr>
    <w:rPr>
      <w:rFonts w:ascii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F549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F549D"/>
    <w:pPr>
      <w:spacing w:after="160" w:line="278" w:lineRule="auto"/>
      <w:ind w:left="720"/>
      <w:contextualSpacing/>
    </w:pPr>
    <w:rPr>
      <w:rFonts w:ascii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F549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F549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F549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F549D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2F549D"/>
    <w:pPr>
      <w:spacing w:after="200"/>
    </w:pPr>
    <w:rPr>
      <w:i/>
      <w:iCs/>
      <w:color w:val="0E2841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90</Words>
  <Characters>514</Characters>
  <Application>Microsoft Office Word</Application>
  <DocSecurity>0</DocSecurity>
  <Lines>4</Lines>
  <Paragraphs>1</Paragraphs>
  <ScaleCrop>false</ScaleCrop>
  <Company>Springer Nature</Company>
  <LinksUpToDate>false</LinksUpToDate>
  <CharactersWithSpaces>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2025-08-22T09:11:00Z</dcterms:created>
  <dcterms:modified xsi:type="dcterms:W3CDTF">2025-08-22T09:14:00Z</dcterms:modified>
</cp:coreProperties>
</file>