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B1842" w14:textId="77777777" w:rsidR="00DC5346" w:rsidRDefault="00DC5346" w:rsidP="00DC5346">
      <w:pPr>
        <w:pStyle w:val="Heading1"/>
        <w:jc w:val="both"/>
        <w:rPr>
          <w:b/>
          <w:bCs/>
        </w:rPr>
      </w:pPr>
      <w:r>
        <w:rPr>
          <w:noProof/>
        </w:rPr>
        <w:drawing>
          <wp:inline distT="0" distB="0" distL="0" distR="0" wp14:anchorId="28B09AF1" wp14:editId="1A34E5DF">
            <wp:extent cx="6040425" cy="5124450"/>
            <wp:effectExtent l="0" t="0" r="0" b="0"/>
            <wp:docPr id="336997345" name="Picture 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997345" name="Picture 6" descr="A screenshot of a graph&#10;&#10;AI-generated content may be incorrect."/>
                    <pic:cNvPicPr>
                      <a:picLocks noChangeAspect="1" noChangeArrowheads="1"/>
                    </pic:cNvPicPr>
                  </pic:nvPicPr>
                  <pic:blipFill rotWithShape="1">
                    <a:blip r:embed="rId4">
                      <a:extLst>
                        <a:ext uri="{28A0092B-C50C-407E-A947-70E740481C1C}">
                          <a14:useLocalDpi xmlns:a14="http://schemas.microsoft.com/office/drawing/2010/main" val="0"/>
                        </a:ext>
                      </a:extLst>
                    </a:blip>
                    <a:srcRect t="3250" r="35852"/>
                    <a:stretch>
                      <a:fillRect/>
                    </a:stretch>
                  </pic:blipFill>
                  <pic:spPr bwMode="auto">
                    <a:xfrm>
                      <a:off x="0" y="0"/>
                      <a:ext cx="6043791" cy="5127306"/>
                    </a:xfrm>
                    <a:prstGeom prst="rect">
                      <a:avLst/>
                    </a:prstGeom>
                    <a:noFill/>
                    <a:ln>
                      <a:noFill/>
                    </a:ln>
                    <a:extLst>
                      <a:ext uri="{53640926-AAD7-44D8-BBD7-CCE9431645EC}">
                        <a14:shadowObscured xmlns:a14="http://schemas.microsoft.com/office/drawing/2010/main"/>
                      </a:ext>
                    </a:extLst>
                  </pic:spPr>
                </pic:pic>
              </a:graphicData>
            </a:graphic>
          </wp:inline>
        </w:drawing>
      </w:r>
    </w:p>
    <w:p w14:paraId="110E9CC8" w14:textId="77777777" w:rsidR="00DC5346" w:rsidRDefault="00DC5346" w:rsidP="00DC5346">
      <w:pPr>
        <w:jc w:val="both"/>
      </w:pPr>
      <w:r>
        <w:rPr>
          <w:b/>
          <w:bCs/>
        </w:rPr>
        <w:t xml:space="preserve">Supplementary Figure 1: Results of synergy testing of HT61 and Tobramycin combination therapies for clinical isolates of </w:t>
      </w:r>
      <w:r>
        <w:rPr>
          <w:b/>
          <w:bCs/>
          <w:i/>
          <w:iCs/>
        </w:rPr>
        <w:t>P. aeruginosa</w:t>
      </w:r>
      <w:r>
        <w:rPr>
          <w:b/>
          <w:bCs/>
        </w:rPr>
        <w:t xml:space="preserve"> obtained from pwCF.</w:t>
      </w:r>
      <w:r>
        <w:t xml:space="preserve"> Measurements of synergy as represented by FIC values obtained from chequerboard assay for all CF </w:t>
      </w:r>
      <w:r>
        <w:rPr>
          <w:i/>
          <w:iCs/>
        </w:rPr>
        <w:t xml:space="preserve">P. aeruginosa </w:t>
      </w:r>
      <w:r>
        <w:t>isolates. (</w:t>
      </w:r>
      <w:r w:rsidRPr="00A46125">
        <w:rPr>
          <w:b/>
          <w:bCs/>
        </w:rPr>
        <w:t>A</w:t>
      </w:r>
      <w:r>
        <w:t>) strains 1-18 identified as synergistic (FIC</w:t>
      </w:r>
      <w:r>
        <w:rPr>
          <w:rFonts w:cstheme="minorHAnsi"/>
        </w:rPr>
        <w:t>≤</w:t>
      </w:r>
      <w:r>
        <w:t>0.5), (</w:t>
      </w:r>
      <w:r w:rsidRPr="00A46125">
        <w:rPr>
          <w:b/>
          <w:bCs/>
        </w:rPr>
        <w:t>B</w:t>
      </w:r>
      <w:r>
        <w:t>) strains 19-47 identified as additive (FIC&gt;0.5</w:t>
      </w:r>
      <w:r>
        <w:rPr>
          <w:rFonts w:cstheme="minorHAnsi"/>
        </w:rPr>
        <w:t>≤</w:t>
      </w:r>
      <w:r>
        <w:t>1.0), (</w:t>
      </w:r>
      <w:r w:rsidRPr="00A46125">
        <w:rPr>
          <w:b/>
          <w:bCs/>
        </w:rPr>
        <w:t>C</w:t>
      </w:r>
      <w:r w:rsidRPr="00A46125">
        <w:t>)</w:t>
      </w:r>
      <w:r>
        <w:t xml:space="preserve"> strains 48-63 identified has demonstrating no interaction (FIC&gt;1.0). Data are plotted as mean FIC </w:t>
      </w:r>
      <w:r>
        <w:rPr>
          <w:rFonts w:cstheme="minorHAnsi"/>
        </w:rPr>
        <w:t>±</w:t>
      </w:r>
      <w:r>
        <w:t xml:space="preserve"> standard error of the mean (n=6-10 per strain).</w:t>
      </w:r>
    </w:p>
    <w:p w14:paraId="78A1616C" w14:textId="77777777" w:rsidR="00DC5346" w:rsidRDefault="00DC5346" w:rsidP="00DC5346">
      <w:pPr>
        <w:jc w:val="both"/>
      </w:pPr>
    </w:p>
    <w:p w14:paraId="622351FC" w14:textId="77777777" w:rsidR="00DC5346" w:rsidRPr="00A46125" w:rsidRDefault="00DC5346" w:rsidP="00DC5346">
      <w:pPr>
        <w:jc w:val="center"/>
      </w:pPr>
      <w:r>
        <w:rPr>
          <w:noProof/>
        </w:rPr>
        <w:lastRenderedPageBreak/>
        <w:drawing>
          <wp:inline distT="0" distB="0" distL="0" distR="0" wp14:anchorId="7A635913" wp14:editId="505D2F87">
            <wp:extent cx="9089518" cy="4901250"/>
            <wp:effectExtent l="0" t="1270" r="0" b="0"/>
            <wp:docPr id="997079732" name="Picture 7"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079732" name="Picture 7" descr="A collage of graphs&#10;&#10;AI-generated content may be incorrect."/>
                    <pic:cNvPicPr>
                      <a:picLocks noChangeAspect="1" noChangeArrowheads="1"/>
                    </pic:cNvPicPr>
                  </pic:nvPicPr>
                  <pic:blipFill rotWithShape="1">
                    <a:blip r:embed="rId5">
                      <a:extLst>
                        <a:ext uri="{28A0092B-C50C-407E-A947-70E740481C1C}">
                          <a14:useLocalDpi xmlns:a14="http://schemas.microsoft.com/office/drawing/2010/main" val="0"/>
                        </a:ext>
                      </a:extLst>
                    </a:blip>
                    <a:srcRect t="4136"/>
                    <a:stretch>
                      <a:fillRect/>
                    </a:stretch>
                  </pic:blipFill>
                  <pic:spPr bwMode="auto">
                    <a:xfrm rot="16200000">
                      <a:off x="0" y="0"/>
                      <a:ext cx="9095618" cy="4904539"/>
                    </a:xfrm>
                    <a:prstGeom prst="rect">
                      <a:avLst/>
                    </a:prstGeom>
                    <a:noFill/>
                    <a:ln>
                      <a:noFill/>
                    </a:ln>
                    <a:extLst>
                      <a:ext uri="{53640926-AAD7-44D8-BBD7-CCE9431645EC}">
                        <a14:shadowObscured xmlns:a14="http://schemas.microsoft.com/office/drawing/2010/main"/>
                      </a:ext>
                    </a:extLst>
                  </pic:spPr>
                </pic:pic>
              </a:graphicData>
            </a:graphic>
          </wp:inline>
        </w:drawing>
      </w:r>
    </w:p>
    <w:p w14:paraId="000D242A" w14:textId="77777777" w:rsidR="00DC5346" w:rsidRPr="00631E37" w:rsidRDefault="00DC5346" w:rsidP="00DC5346">
      <w:pPr>
        <w:jc w:val="both"/>
        <w:rPr>
          <w:color w:val="000000" w:themeColor="text1"/>
        </w:rPr>
      </w:pPr>
      <w:r w:rsidRPr="00631E37">
        <w:rPr>
          <w:b/>
          <w:bCs/>
          <w:color w:val="000000" w:themeColor="text1"/>
        </w:rPr>
        <w:lastRenderedPageBreak/>
        <w:t xml:space="preserve">Supplementary Figure </w:t>
      </w:r>
      <w:r>
        <w:rPr>
          <w:b/>
          <w:bCs/>
          <w:color w:val="000000" w:themeColor="text1"/>
        </w:rPr>
        <w:t>2</w:t>
      </w:r>
      <w:r w:rsidRPr="00631E37">
        <w:rPr>
          <w:b/>
          <w:bCs/>
          <w:color w:val="000000" w:themeColor="text1"/>
        </w:rPr>
        <w:t>: BLUR Analysis of Synergy between HT61 and Tobramycin in bacterial time-kill assays.</w:t>
      </w:r>
      <w:r w:rsidRPr="00631E37">
        <w:rPr>
          <w:color w:val="000000" w:themeColor="text1"/>
        </w:rPr>
        <w:t xml:space="preserve"> Secondary analysis using the Bliss-Loewe Uncertainty Range Model (BLUR) as described by Calzetta and colleagues </w:t>
      </w:r>
      <w:r w:rsidRPr="00631E37">
        <w:rPr>
          <w:color w:val="000000" w:themeColor="text1"/>
        </w:rPr>
        <w:fldChar w:fldCharType="begin" w:fldLock="1"/>
      </w:r>
      <w:r w:rsidRPr="00631E37">
        <w:rPr>
          <w:color w:val="000000" w:themeColor="text1"/>
        </w:rPr>
        <w:instrText>ADDIN CSL_CITATION {"citationItems":[{"id":"ITEM-1","itemData":{"DOI":"10.1124/PHARMREV.124.000951","ISSN":"0031-6997","PMID":"39009470","abstract":"This review explores the concept of synergy in pharmacology, emphasizing its importance in optimizing treatment outcomes through the combination of drugs with different mechanisms of action. Synergy, defined as an effect greater than the expected additive effect elicited by individual agents according to specific predictive models, offers a promising approach to enhance therapeutic efficacy while minimizing adverse events. The historical evolution of synergy research, from ancient civilizations to modern pharmacology, highlights the ongoing quest to understand and harness synergistic interactions. Key concepts such as concentration-response curves, additive effects, and predictive models are discussed in detail, emphasizing the need for accurate assessment methods throughout translational drug development. While various mathematical models exist for synergy analysis, selecting the appropriate model and software tools remains a challenge, necessitating careful consideration of experimental design and data interpretation. Furthermore, this review addresses practical considerations in synergy assessment, including preclinical and clinical approaches, mechanism of action, and statistical analysis. Optimizing synergy requires attention to concentration/dose ratios, target site localization, and timing of drug administration, ensuring that the benefits of combination therapy detected at bench-side are translatable into clinical practice. Overall, the review advocates for a systematic approach to synergy assessment, incorporating robust statistical analysis, effective and simplified predictive models, and collaborative efforts across pivotal sectors such as academic institutions, pharmaceutical companies, and regulatory agencies. By overcoming critical challenges and maximizing therapeutic potential, effective synergy assessment in drug development holds promise for advancing patient care. Significance Statement Combining drugs with different mechanisms of action for synergistic interactions optimizes treatment efficacy and safety. Accurate interpretation of synergy requires the identification of the expected additive effect. Despite innovative models to predict the additive effect, consensus in drug interaction research is lacking, hindering the bench-to-bedside development of combination therapies. Collaboration among science, industry, and regulation is crucial for advancing combination therapy development, ensuring rigorous application of predictive models…","author":[{"dropping-particle":"","family":"Calzetta","given":"Luigino","non-dropping-particle":"","parse-names":false,"suffix":""},{"dropping-particle":"","family":"Page","given":"Clive","non-dropping-particle":"","parse-names":false,"suffix":""},{"dropping-particle":"","family":"Matera","given":"Maria Gabriella","non-dropping-particle":"","parse-names":false,"suffix":""},{"dropping-particle":"","family":"Cazzola","given":"Mario","non-dropping-particle":"","parse-names":false,"suffix":""},{"dropping-particle":"","family":"Rogliani","given":"Paola","non-dropping-particle":"","parse-names":false,"suffix":""}],"container-title":"Pharmacological Reviews","id":"ITEM-1","issue":"6","issued":{"date-parts":[["2024","11","1"]]},"page":"1159-1220","publisher":"Elsevier","title":"Drug-Drug Interactions and Synergy: From Pharmacological Models to Clinical Application","type":"article-journal","volume":"76"},"uris":["http://www.mendeley.com/documents/?uuid=ea85d647-5e2e-34e9-81ad-b705fd0937f6"]}],"mendeley":{"formattedCitation":"[26]","plainTextFormattedCitation":"[26]","previouslyFormattedCitation":"[26]"},"properties":{"noteIndex":0},"schema":"https://github.com/citation-style-language/schema/raw/master/csl-citation.json"}</w:instrText>
      </w:r>
      <w:r w:rsidRPr="00631E37">
        <w:rPr>
          <w:color w:val="000000" w:themeColor="text1"/>
        </w:rPr>
        <w:fldChar w:fldCharType="separate"/>
      </w:r>
      <w:r w:rsidRPr="00631E37">
        <w:rPr>
          <w:noProof/>
          <w:color w:val="000000" w:themeColor="text1"/>
        </w:rPr>
        <w:t>[26]</w:t>
      </w:r>
      <w:r w:rsidRPr="00631E37">
        <w:rPr>
          <w:color w:val="000000" w:themeColor="text1"/>
        </w:rPr>
        <w:fldChar w:fldCharType="end"/>
      </w:r>
      <w:r w:rsidRPr="00631E37">
        <w:rPr>
          <w:color w:val="000000" w:themeColor="text1"/>
        </w:rPr>
        <w:t xml:space="preserve"> was performed on strains 1 (</w:t>
      </w:r>
      <w:r w:rsidRPr="00631E37">
        <w:rPr>
          <w:b/>
          <w:bCs/>
          <w:color w:val="000000" w:themeColor="text1"/>
        </w:rPr>
        <w:t>A</w:t>
      </w:r>
      <w:r w:rsidRPr="00631E37">
        <w:rPr>
          <w:color w:val="000000" w:themeColor="text1"/>
        </w:rPr>
        <w:t>), 5 (</w:t>
      </w:r>
      <w:r w:rsidRPr="00631E37">
        <w:rPr>
          <w:b/>
          <w:bCs/>
          <w:color w:val="000000" w:themeColor="text1"/>
        </w:rPr>
        <w:t>B</w:t>
      </w:r>
      <w:r w:rsidRPr="00631E37">
        <w:rPr>
          <w:color w:val="000000" w:themeColor="text1"/>
        </w:rPr>
        <w:t>), 6 (</w:t>
      </w:r>
      <w:r w:rsidRPr="00631E37">
        <w:rPr>
          <w:b/>
          <w:bCs/>
          <w:color w:val="000000" w:themeColor="text1"/>
        </w:rPr>
        <w:t>C</w:t>
      </w:r>
      <w:r w:rsidRPr="00631E37">
        <w:rPr>
          <w:color w:val="000000" w:themeColor="text1"/>
        </w:rPr>
        <w:t>), 9 (</w:t>
      </w:r>
      <w:r w:rsidRPr="00631E37">
        <w:rPr>
          <w:b/>
          <w:bCs/>
          <w:color w:val="000000" w:themeColor="text1"/>
        </w:rPr>
        <w:t>D</w:t>
      </w:r>
      <w:r w:rsidRPr="00631E37">
        <w:rPr>
          <w:color w:val="000000" w:themeColor="text1"/>
        </w:rPr>
        <w:t>), 13 (</w:t>
      </w:r>
      <w:r w:rsidRPr="00631E37">
        <w:rPr>
          <w:b/>
          <w:bCs/>
          <w:color w:val="000000" w:themeColor="text1"/>
        </w:rPr>
        <w:t>E</w:t>
      </w:r>
      <w:r w:rsidRPr="00631E37">
        <w:rPr>
          <w:color w:val="000000" w:themeColor="text1"/>
        </w:rPr>
        <w:t>); 29 (</w:t>
      </w:r>
      <w:r w:rsidRPr="00631E37">
        <w:rPr>
          <w:b/>
          <w:bCs/>
          <w:color w:val="000000" w:themeColor="text1"/>
        </w:rPr>
        <w:t>F</w:t>
      </w:r>
      <w:r w:rsidRPr="00631E37">
        <w:rPr>
          <w:color w:val="000000" w:themeColor="text1"/>
        </w:rPr>
        <w:t>), 30 (</w:t>
      </w:r>
      <w:r w:rsidRPr="00631E37">
        <w:rPr>
          <w:b/>
          <w:bCs/>
          <w:color w:val="000000" w:themeColor="text1"/>
        </w:rPr>
        <w:t>G</w:t>
      </w:r>
      <w:r w:rsidRPr="00631E37">
        <w:rPr>
          <w:color w:val="000000" w:themeColor="text1"/>
        </w:rPr>
        <w:t>), 37 (</w:t>
      </w:r>
      <w:r w:rsidRPr="00631E37">
        <w:rPr>
          <w:b/>
          <w:bCs/>
          <w:color w:val="000000" w:themeColor="text1"/>
        </w:rPr>
        <w:t>H</w:t>
      </w:r>
      <w:r w:rsidRPr="00631E37">
        <w:rPr>
          <w:color w:val="000000" w:themeColor="text1"/>
        </w:rPr>
        <w:t>), 39 (</w:t>
      </w:r>
      <w:r w:rsidRPr="00631E37">
        <w:rPr>
          <w:b/>
          <w:bCs/>
          <w:color w:val="000000" w:themeColor="text1"/>
        </w:rPr>
        <w:t>I</w:t>
      </w:r>
      <w:r w:rsidRPr="00631E37">
        <w:rPr>
          <w:color w:val="000000" w:themeColor="text1"/>
        </w:rPr>
        <w:t>), 43 (</w:t>
      </w:r>
      <w:r w:rsidRPr="00631E37">
        <w:rPr>
          <w:b/>
          <w:bCs/>
          <w:color w:val="000000" w:themeColor="text1"/>
        </w:rPr>
        <w:t>J</w:t>
      </w:r>
      <w:r w:rsidRPr="00631E37">
        <w:rPr>
          <w:color w:val="000000" w:themeColor="text1"/>
        </w:rPr>
        <w:t>), 61 (</w:t>
      </w:r>
      <w:r w:rsidRPr="00631E37">
        <w:rPr>
          <w:b/>
          <w:bCs/>
          <w:color w:val="000000" w:themeColor="text1"/>
        </w:rPr>
        <w:t>K</w:t>
      </w:r>
      <w:r w:rsidRPr="00631E37">
        <w:rPr>
          <w:color w:val="000000" w:themeColor="text1"/>
        </w:rPr>
        <w:t>), and 63 (</w:t>
      </w:r>
      <w:r w:rsidRPr="00631E37">
        <w:rPr>
          <w:b/>
          <w:bCs/>
          <w:color w:val="000000" w:themeColor="text1"/>
        </w:rPr>
        <w:t>L</w:t>
      </w:r>
      <w:r w:rsidRPr="00631E37">
        <w:rPr>
          <w:color w:val="000000" w:themeColor="text1"/>
        </w:rPr>
        <w:t>).</w:t>
      </w:r>
    </w:p>
    <w:p w14:paraId="13311D27" w14:textId="77777777" w:rsidR="00DC5346" w:rsidRDefault="00DC5346" w:rsidP="00DC5346">
      <w:pPr>
        <w:jc w:val="both"/>
        <w:rPr>
          <w:b/>
          <w:bCs/>
        </w:rPr>
      </w:pPr>
    </w:p>
    <w:p w14:paraId="5E3815FE" w14:textId="77777777" w:rsidR="00DC5346" w:rsidRPr="00006C4F" w:rsidRDefault="00DC5346" w:rsidP="00DC5346"/>
    <w:p w14:paraId="145EDE27" w14:textId="77777777" w:rsidR="00F553FF" w:rsidRDefault="00F553FF"/>
    <w:sectPr w:rsidR="00F553FF" w:rsidSect="00DC5346">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346"/>
    <w:rsid w:val="003C2EF4"/>
    <w:rsid w:val="00446799"/>
    <w:rsid w:val="006A7E07"/>
    <w:rsid w:val="00701021"/>
    <w:rsid w:val="008B048D"/>
    <w:rsid w:val="00B74216"/>
    <w:rsid w:val="00D62F8C"/>
    <w:rsid w:val="00DC5346"/>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8948B"/>
  <w15:chartTrackingRefBased/>
  <w15:docId w15:val="{9D95C521-2A37-416E-A596-73F0BB0A5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346"/>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DC534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C534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C5346"/>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C5346"/>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C5346"/>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C5346"/>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C5346"/>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C5346"/>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C5346"/>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53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53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53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53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53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53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53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53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5346"/>
    <w:rPr>
      <w:rFonts w:eastAsiaTheme="majorEastAsia" w:cstheme="majorBidi"/>
      <w:color w:val="272727" w:themeColor="text1" w:themeTint="D8"/>
    </w:rPr>
  </w:style>
  <w:style w:type="paragraph" w:styleId="Title">
    <w:name w:val="Title"/>
    <w:basedOn w:val="Normal"/>
    <w:next w:val="Normal"/>
    <w:link w:val="TitleChar"/>
    <w:uiPriority w:val="10"/>
    <w:qFormat/>
    <w:rsid w:val="00DC5346"/>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C53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5346"/>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C53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5346"/>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C5346"/>
    <w:rPr>
      <w:i/>
      <w:iCs/>
      <w:color w:val="404040" w:themeColor="text1" w:themeTint="BF"/>
    </w:rPr>
  </w:style>
  <w:style w:type="paragraph" w:styleId="ListParagraph">
    <w:name w:val="List Paragraph"/>
    <w:basedOn w:val="Normal"/>
    <w:uiPriority w:val="34"/>
    <w:qFormat/>
    <w:rsid w:val="00DC5346"/>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DC5346"/>
    <w:rPr>
      <w:i/>
      <w:iCs/>
      <w:color w:val="0F4761" w:themeColor="accent1" w:themeShade="BF"/>
    </w:rPr>
  </w:style>
  <w:style w:type="paragraph" w:styleId="IntenseQuote">
    <w:name w:val="Intense Quote"/>
    <w:basedOn w:val="Normal"/>
    <w:next w:val="Normal"/>
    <w:link w:val="IntenseQuoteChar"/>
    <w:uiPriority w:val="30"/>
    <w:qFormat/>
    <w:rsid w:val="00DC534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C5346"/>
    <w:rPr>
      <w:i/>
      <w:iCs/>
      <w:color w:val="0F4761" w:themeColor="accent1" w:themeShade="BF"/>
    </w:rPr>
  </w:style>
  <w:style w:type="character" w:styleId="IntenseReference">
    <w:name w:val="Intense Reference"/>
    <w:basedOn w:val="DefaultParagraphFont"/>
    <w:uiPriority w:val="32"/>
    <w:qFormat/>
    <w:rsid w:val="00DC5346"/>
    <w:rPr>
      <w:b/>
      <w:bCs/>
      <w:smallCaps/>
      <w:color w:val="0F4761" w:themeColor="accent1" w:themeShade="BF"/>
      <w:spacing w:val="5"/>
    </w:rPr>
  </w:style>
  <w:style w:type="character" w:styleId="LineNumber">
    <w:name w:val="line number"/>
    <w:basedOn w:val="DefaultParagraphFont"/>
    <w:uiPriority w:val="99"/>
    <w:semiHidden/>
    <w:unhideWhenUsed/>
    <w:rsid w:val="00DC53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712</Words>
  <Characters>4064</Characters>
  <Application>Microsoft Office Word</Application>
  <DocSecurity>0</DocSecurity>
  <Lines>33</Lines>
  <Paragraphs>9</Paragraphs>
  <ScaleCrop>false</ScaleCrop>
  <Company>Springer Nature</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2025-08-05T09:55:00Z</dcterms:created>
  <dcterms:modified xsi:type="dcterms:W3CDTF">2025-08-05T09:55:00Z</dcterms:modified>
</cp:coreProperties>
</file>