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EA461" w14:textId="3F18CFD7" w:rsidR="000132FD" w:rsidRPr="0087488B" w:rsidRDefault="000132FD" w:rsidP="00F93688">
      <w:pPr>
        <w:spacing w:after="0" w:line="48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Additional file 3</w:t>
      </w:r>
      <w:r w:rsidRPr="0087488B">
        <w:rPr>
          <w:rFonts w:ascii="Arial" w:hAnsi="Arial" w:cs="Arial"/>
          <w:u w:val="single"/>
        </w:rPr>
        <w:t xml:space="preserve">: The logic model of the </w:t>
      </w:r>
      <w:r w:rsidR="00F93688" w:rsidRPr="00F93688">
        <w:rPr>
          <w:rFonts w:ascii="Arial" w:hAnsi="Arial" w:cs="Arial"/>
          <w:color w:val="FF0000"/>
          <w:u w:val="single"/>
        </w:rPr>
        <w:t>Facilitating Return to work through Early Specialist Health-based interventions (FRESH)</w:t>
      </w:r>
      <w:r w:rsidRPr="00F93688">
        <w:rPr>
          <w:rFonts w:ascii="Arial" w:hAnsi="Arial" w:cs="Arial"/>
          <w:color w:val="FF0000"/>
          <w:u w:val="single"/>
        </w:rPr>
        <w:t xml:space="preserve"> </w:t>
      </w:r>
      <w:r w:rsidR="00F93688" w:rsidRPr="00F93688">
        <w:rPr>
          <w:rFonts w:ascii="Arial" w:hAnsi="Arial" w:cs="Arial"/>
          <w:color w:val="FF0000"/>
          <w:u w:val="single"/>
        </w:rPr>
        <w:t>vocational rehabilitation (</w:t>
      </w:r>
      <w:r w:rsidRPr="00F93688">
        <w:rPr>
          <w:rFonts w:ascii="Arial" w:hAnsi="Arial" w:cs="Arial"/>
          <w:color w:val="FF0000"/>
          <w:u w:val="single"/>
        </w:rPr>
        <w:t>VR</w:t>
      </w:r>
      <w:r w:rsidR="00F93688" w:rsidRPr="00F93688">
        <w:rPr>
          <w:rFonts w:ascii="Arial" w:hAnsi="Arial" w:cs="Arial"/>
          <w:color w:val="FF0000"/>
          <w:u w:val="single"/>
        </w:rPr>
        <w:t>)</w:t>
      </w:r>
      <w:r w:rsidRPr="0087488B">
        <w:rPr>
          <w:rFonts w:ascii="Arial" w:hAnsi="Arial" w:cs="Arial"/>
          <w:u w:val="single"/>
        </w:rPr>
        <w:t xml:space="preserve"> intervention</w:t>
      </w:r>
    </w:p>
    <w:p w14:paraId="08D4F848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u w:val="single"/>
        </w:rPr>
      </w:pPr>
    </w:p>
    <w:tbl>
      <w:tblPr>
        <w:tblStyle w:val="TableGrid"/>
        <w:tblW w:w="8950" w:type="dxa"/>
        <w:tblLook w:val="04A0" w:firstRow="1" w:lastRow="0" w:firstColumn="1" w:lastColumn="0" w:noHBand="0" w:noVBand="1"/>
      </w:tblPr>
      <w:tblGrid>
        <w:gridCol w:w="1780"/>
        <w:gridCol w:w="1780"/>
        <w:gridCol w:w="1758"/>
        <w:gridCol w:w="1879"/>
        <w:gridCol w:w="1753"/>
      </w:tblGrid>
      <w:tr w:rsidR="000132FD" w:rsidRPr="0087488B" w14:paraId="135BBBE0" w14:textId="77777777" w:rsidTr="00AB470B">
        <w:trPr>
          <w:trHeight w:val="674"/>
        </w:trPr>
        <w:tc>
          <w:tcPr>
            <w:tcW w:w="1790" w:type="dxa"/>
            <w:hideMark/>
          </w:tcPr>
          <w:p w14:paraId="6D4589DE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  <w:iCs/>
              </w:rPr>
              <w:t>Resources</w:t>
            </w:r>
          </w:p>
        </w:tc>
        <w:tc>
          <w:tcPr>
            <w:tcW w:w="1790" w:type="dxa"/>
            <w:hideMark/>
          </w:tcPr>
          <w:p w14:paraId="1FC6EDD4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Core process inputs in-puts from OT</w:t>
            </w:r>
          </w:p>
        </w:tc>
        <w:tc>
          <w:tcPr>
            <w:tcW w:w="1790" w:type="dxa"/>
            <w:hideMark/>
          </w:tcPr>
          <w:p w14:paraId="2D9EB250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Short term Impacts</w:t>
            </w:r>
          </w:p>
        </w:tc>
        <w:tc>
          <w:tcPr>
            <w:tcW w:w="1790" w:type="dxa"/>
          </w:tcPr>
          <w:p w14:paraId="3C2B67CD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Impacts</w:t>
            </w:r>
          </w:p>
        </w:tc>
        <w:tc>
          <w:tcPr>
            <w:tcW w:w="1790" w:type="dxa"/>
            <w:hideMark/>
          </w:tcPr>
          <w:p w14:paraId="6839FAE9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Health Outcomes</w:t>
            </w:r>
          </w:p>
        </w:tc>
      </w:tr>
      <w:tr w:rsidR="000132FD" w:rsidRPr="0087488B" w14:paraId="58A27D70" w14:textId="77777777" w:rsidTr="00AB470B">
        <w:trPr>
          <w:trHeight w:val="699"/>
        </w:trPr>
        <w:tc>
          <w:tcPr>
            <w:tcW w:w="1790" w:type="dxa"/>
            <w:hideMark/>
          </w:tcPr>
          <w:p w14:paraId="4143442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Facilitating legal framework &amp; policies</w:t>
            </w:r>
          </w:p>
          <w:p w14:paraId="4C9BA7AC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A7C613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Skilled, knowledgeable TBI/VR therapist &amp; patient with a job</w:t>
            </w:r>
          </w:p>
          <w:p w14:paraId="60A9DB0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F45C01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Co-location - crossing boundaries between health, employment, charities</w:t>
            </w:r>
          </w:p>
          <w:p w14:paraId="61E8076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D71DA3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Multi-stakeholder engagement</w:t>
            </w:r>
          </w:p>
          <w:p w14:paraId="33CCF58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90" w:type="dxa"/>
            <w:hideMark/>
          </w:tcPr>
          <w:p w14:paraId="58F4007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Intervenes within 4 weeks of injury, advises on impact of injury &amp; RTW.</w:t>
            </w:r>
          </w:p>
          <w:p w14:paraId="23C235C3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C95489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Provides ongoing education, advice &amp; emotional support to patient and family </w:t>
            </w:r>
          </w:p>
          <w:p w14:paraId="360E9F0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9F77ED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Coordinates patient’s vocational rehabilitation across all sectors</w:t>
            </w:r>
          </w:p>
          <w:p w14:paraId="56C92FB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F38F2E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Communicates openly in writing with stakeholders re: work performance.</w:t>
            </w:r>
          </w:p>
          <w:p w14:paraId="46CC275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210E2C1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Assesses impact of TBI on person &amp; job, analyses impact on work ability.</w:t>
            </w:r>
          </w:p>
          <w:p w14:paraId="37BF49E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4081DB1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Delivers individually tailored vocational rehabilitation in the community.</w:t>
            </w:r>
          </w:p>
          <w:p w14:paraId="50BEA41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3CAB1DE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Explores alternatives to pre-injury </w:t>
            </w:r>
            <w:r w:rsidRPr="0087488B">
              <w:rPr>
                <w:rFonts w:ascii="Arial" w:hAnsi="Arial" w:cs="Arial"/>
              </w:rPr>
              <w:lastRenderedPageBreak/>
              <w:t>employment when existing employment not feasible or sustainable.</w:t>
            </w:r>
          </w:p>
          <w:p w14:paraId="0BA68B7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F424E8C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Adapts workplace, negotiates phased RTW, provides feedback on performance</w:t>
            </w:r>
          </w:p>
          <w:p w14:paraId="7DCC084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Monitors RTW to ensure work stability </w:t>
            </w:r>
          </w:p>
        </w:tc>
        <w:tc>
          <w:tcPr>
            <w:tcW w:w="1790" w:type="dxa"/>
            <w:hideMark/>
          </w:tcPr>
          <w:p w14:paraId="1767821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lastRenderedPageBreak/>
              <w:t>Patient does not make rapid RTW decisions.</w:t>
            </w:r>
          </w:p>
          <w:p w14:paraId="78F55EA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83DFBE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aware of available support &amp; how to access.</w:t>
            </w:r>
          </w:p>
          <w:p w14:paraId="7CF5738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F5D0AA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Vocational Case coordinator has early and regular contact with the trauma survivor, family, and other stakeholders e.g. employer, GP, DWP, OH</w:t>
            </w:r>
          </w:p>
          <w:p w14:paraId="5F6FA7E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598A0C8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stakeholders aware of residual problems &amp; coping strategies</w:t>
            </w:r>
          </w:p>
          <w:p w14:paraId="200FAAA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4129C1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Patient, employer aware of impact of TBI on work.</w:t>
            </w:r>
          </w:p>
          <w:p w14:paraId="28F9F20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7C68C5A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stakeholders aware of residual TBI problems.</w:t>
            </w:r>
          </w:p>
          <w:p w14:paraId="370306B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A24EF1A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Coping strategies in place</w:t>
            </w:r>
          </w:p>
          <w:p w14:paraId="45F5656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Referrals made for relevant support</w:t>
            </w:r>
          </w:p>
        </w:tc>
        <w:tc>
          <w:tcPr>
            <w:tcW w:w="1790" w:type="dxa"/>
          </w:tcPr>
          <w:p w14:paraId="723FF9A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employer satisfaction. </w:t>
            </w:r>
          </w:p>
          <w:p w14:paraId="1B5988B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Patient confident &amp; able to self-manage </w:t>
            </w:r>
          </w:p>
          <w:p w14:paraId="54DD75B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Stakeholders report to one key contact, all aware of stakeholders involved and work towards RTW</w:t>
            </w:r>
          </w:p>
          <w:p w14:paraId="4EF9ED0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506456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Conflicting RTW advice prevented</w:t>
            </w:r>
          </w:p>
          <w:p w14:paraId="3CA1A543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Everyone is heard, no confusing communications</w:t>
            </w:r>
          </w:p>
          <w:p w14:paraId="204DC63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Considered decisions made re RTW</w:t>
            </w:r>
          </w:p>
          <w:p w14:paraId="62B9313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5A329D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employer satisfaction</w:t>
            </w:r>
          </w:p>
          <w:p w14:paraId="0F89ACF3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 xml:space="preserve">Employment environment Optimised </w:t>
            </w:r>
          </w:p>
          <w:p w14:paraId="2FBC997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157D34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Workplace accommodations in place</w:t>
            </w:r>
          </w:p>
          <w:p w14:paraId="51521AD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55DCC3A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Phased return to work facilitated</w:t>
            </w:r>
          </w:p>
          <w:p w14:paraId="1149FEA9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able to cope with work</w:t>
            </w:r>
          </w:p>
          <w:p w14:paraId="5EBB66F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Contributes to economy</w:t>
            </w:r>
          </w:p>
        </w:tc>
        <w:tc>
          <w:tcPr>
            <w:tcW w:w="1790" w:type="dxa"/>
            <w:hideMark/>
          </w:tcPr>
          <w:p w14:paraId="56692BAD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>Prevent job loss</w:t>
            </w:r>
          </w:p>
          <w:p w14:paraId="1BBD7CE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4F6DFA8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Improved physical and mental health</w:t>
            </w:r>
          </w:p>
          <w:p w14:paraId="49308E2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6CAD6E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Personal and financial wellbeing </w:t>
            </w:r>
          </w:p>
          <w:p w14:paraId="0EA2EFC7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>Reduced sickness absence</w:t>
            </w:r>
          </w:p>
          <w:p w14:paraId="1BD55DF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381A65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Reduced health resource use</w:t>
            </w:r>
          </w:p>
          <w:p w14:paraId="7FD63B0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in sustainable employment</w:t>
            </w:r>
          </w:p>
        </w:tc>
      </w:tr>
    </w:tbl>
    <w:p w14:paraId="6CB31710" w14:textId="01863CE4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i/>
          <w:iCs/>
          <w:sz w:val="18"/>
          <w:szCs w:val="20"/>
        </w:rPr>
      </w:pPr>
      <w:r w:rsidRPr="0087488B">
        <w:rPr>
          <w:rFonts w:ascii="Arial" w:hAnsi="Arial" w:cs="Arial"/>
          <w:i/>
          <w:iCs/>
          <w:sz w:val="18"/>
          <w:szCs w:val="20"/>
        </w:rPr>
        <w:t xml:space="preserve">Key: </w:t>
      </w:r>
      <w:r w:rsidR="00650C16" w:rsidRPr="00650C16">
        <w:rPr>
          <w:rFonts w:ascii="Arial" w:hAnsi="Arial" w:cs="Arial"/>
          <w:i/>
          <w:iCs/>
          <w:color w:val="FF0000"/>
          <w:sz w:val="18"/>
          <w:szCs w:val="20"/>
        </w:rPr>
        <w:t xml:space="preserve">OT – occupational therapist, </w:t>
      </w:r>
      <w:r w:rsidR="00C93041" w:rsidRPr="00650C16">
        <w:rPr>
          <w:rFonts w:ascii="Arial" w:hAnsi="Arial" w:cs="Arial"/>
          <w:i/>
          <w:iCs/>
          <w:color w:val="FF0000"/>
          <w:sz w:val="18"/>
          <w:szCs w:val="20"/>
        </w:rPr>
        <w:t>TBI – traumatic brain injury</w:t>
      </w:r>
      <w:r w:rsidR="00650C16" w:rsidRPr="00650C16">
        <w:rPr>
          <w:rFonts w:ascii="Arial" w:hAnsi="Arial" w:cs="Arial"/>
          <w:i/>
          <w:iCs/>
          <w:color w:val="FF0000"/>
          <w:sz w:val="18"/>
          <w:szCs w:val="20"/>
        </w:rPr>
        <w:t xml:space="preserve">, </w:t>
      </w:r>
      <w:r w:rsidR="004649B7">
        <w:rPr>
          <w:rFonts w:ascii="Arial" w:hAnsi="Arial" w:cs="Arial"/>
          <w:i/>
          <w:iCs/>
          <w:color w:val="FF0000"/>
          <w:sz w:val="18"/>
          <w:szCs w:val="20"/>
        </w:rPr>
        <w:t xml:space="preserve">VR – vocational rehabilitation, </w:t>
      </w:r>
      <w:r w:rsidRPr="0087488B">
        <w:rPr>
          <w:rFonts w:ascii="Arial" w:hAnsi="Arial" w:cs="Arial"/>
          <w:i/>
          <w:iCs/>
          <w:sz w:val="18"/>
          <w:szCs w:val="20"/>
        </w:rPr>
        <w:t>RTW = return to work, GP = General Practitioner (Physician), DWP = Department for Work and Pensions, OH = Occupational Health</w:t>
      </w:r>
    </w:p>
    <w:p w14:paraId="2D88B7CD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14:paraId="1A7C2F43" w14:textId="77777777" w:rsidR="00205720" w:rsidRDefault="004649B7" w:rsidP="00863E2F"/>
    <w:sectPr w:rsidR="002057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2FD"/>
    <w:rsid w:val="000132FD"/>
    <w:rsid w:val="00334069"/>
    <w:rsid w:val="003A5207"/>
    <w:rsid w:val="003C3108"/>
    <w:rsid w:val="004649B7"/>
    <w:rsid w:val="00633AD9"/>
    <w:rsid w:val="00650C16"/>
    <w:rsid w:val="00705A6A"/>
    <w:rsid w:val="0074105A"/>
    <w:rsid w:val="00817586"/>
    <w:rsid w:val="00863E2F"/>
    <w:rsid w:val="008846D6"/>
    <w:rsid w:val="00BA4A05"/>
    <w:rsid w:val="00C93041"/>
    <w:rsid w:val="00CB76BB"/>
    <w:rsid w:val="00F067E3"/>
    <w:rsid w:val="00F4212D"/>
    <w:rsid w:val="00F9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641AD"/>
  <w15:chartTrackingRefBased/>
  <w15:docId w15:val="{C2C5E68F-1A59-4F6B-A450-36B25A9CE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013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32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32FD"/>
    <w:rPr>
      <w:sz w:val="20"/>
      <w:szCs w:val="20"/>
    </w:rPr>
  </w:style>
  <w:style w:type="table" w:styleId="TableGrid">
    <w:name w:val="Table Grid"/>
    <w:basedOn w:val="TableNormal"/>
    <w:uiPriority w:val="39"/>
    <w:rsid w:val="00013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3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A8DDE-84AA-4EEF-A953-3637308EFE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0815280-8A6F-446C-8E78-E0175F6AED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D625AC-57E7-44D3-A416-8E159BDCCF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BE8239-85B0-4C14-BA13-3349F1CED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Jain Holmes</dc:creator>
  <cp:keywords/>
  <dc:description/>
  <cp:lastModifiedBy>Jain Holmes</cp:lastModifiedBy>
  <cp:revision>5</cp:revision>
  <dcterms:created xsi:type="dcterms:W3CDTF">2020-05-26T15:27:00Z</dcterms:created>
  <dcterms:modified xsi:type="dcterms:W3CDTF">2021-01-10T14:01:00Z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