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79938" w14:textId="77777777" w:rsidR="009D3FF4" w:rsidRPr="00D15165" w:rsidRDefault="009D3FF4" w:rsidP="009D3FF4">
      <w:pPr>
        <w:pStyle w:val="Paragraph"/>
        <w:spacing w:before="0"/>
        <w:ind w:firstLine="0"/>
        <w:rPr>
          <w:b/>
        </w:rPr>
      </w:pPr>
      <w:r w:rsidRPr="00D15165">
        <w:rPr>
          <w:b/>
        </w:rPr>
        <w:t>Supplementary Materials</w:t>
      </w:r>
    </w:p>
    <w:p w14:paraId="16BDDBBA" w14:textId="77777777" w:rsidR="009D3FF4" w:rsidRPr="00D15165" w:rsidRDefault="009D3FF4" w:rsidP="009D3FF4">
      <w:pPr>
        <w:pStyle w:val="ListParagraph"/>
        <w:spacing w:line="360" w:lineRule="auto"/>
      </w:pPr>
    </w:p>
    <w:p w14:paraId="0CA33502" w14:textId="77777777" w:rsidR="009D3FF4" w:rsidRPr="00D15165" w:rsidRDefault="009D3FF4" w:rsidP="009D3FF4">
      <w:pPr>
        <w:spacing w:line="360" w:lineRule="auto"/>
        <w:rPr>
          <w:sz w:val="24"/>
          <w:szCs w:val="24"/>
          <w:lang w:val="en-US"/>
        </w:rPr>
      </w:pPr>
      <w:r w:rsidRPr="00D15165">
        <w:rPr>
          <w:sz w:val="24"/>
          <w:szCs w:val="24"/>
          <w:lang w:val="en-US"/>
        </w:rPr>
        <w:object w:dxaOrig="7634" w:dyaOrig="5164" w14:anchorId="52A9C5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0.5pt;height:208.5pt" o:ole="">
            <v:imagedata r:id="rId4" o:title=""/>
          </v:shape>
          <o:OLEObject Type="Embed" ProgID="ChemDraw_x64.Document.6.0" ShapeID="_x0000_i1025" DrawAspect="Content" ObjectID="_1815997750" r:id="rId5"/>
        </w:object>
      </w:r>
    </w:p>
    <w:p w14:paraId="6C35374F" w14:textId="77777777" w:rsidR="009D3FF4" w:rsidRPr="00D15165" w:rsidRDefault="009D3FF4" w:rsidP="009D3FF4">
      <w:pPr>
        <w:rPr>
          <w:b/>
          <w:bCs/>
          <w:lang w:val="en-US"/>
        </w:rPr>
      </w:pPr>
      <w:r w:rsidRPr="00D15165">
        <w:rPr>
          <w:b/>
          <w:bCs/>
          <w:lang w:val="en-US"/>
        </w:rPr>
        <w:t xml:space="preserve">Supplementary Fig. 1. Chemical structures of tetrazines used. </w:t>
      </w:r>
      <w:r w:rsidRPr="00D15165">
        <w:rPr>
          <w:lang w:val="en-US"/>
        </w:rPr>
        <w:t>A polar gallium-68 radiolabeled tetrazine, [</w:t>
      </w:r>
      <w:r w:rsidRPr="00D15165">
        <w:rPr>
          <w:vertAlign w:val="superscript"/>
          <w:lang w:val="en-US"/>
        </w:rPr>
        <w:t>68</w:t>
      </w:r>
      <w:r w:rsidRPr="00D15165">
        <w:rPr>
          <w:lang w:val="en-US"/>
        </w:rPr>
        <w:t>Ga]-DOTA-PEG</w:t>
      </w:r>
      <w:r w:rsidRPr="00D15165">
        <w:rPr>
          <w:vertAlign w:val="subscript"/>
          <w:lang w:val="en-US"/>
        </w:rPr>
        <w:t>11</w:t>
      </w:r>
      <w:r w:rsidRPr="00D15165">
        <w:rPr>
          <w:lang w:val="en-US"/>
        </w:rPr>
        <w:t>-Tz, was used for ex vivo experiments, while two fluorine-18 radiolabeled tetrazines, [</w:t>
      </w:r>
      <w:r w:rsidRPr="00D15165">
        <w:rPr>
          <w:vertAlign w:val="superscript"/>
          <w:lang w:val="en-US"/>
        </w:rPr>
        <w:t>18</w:t>
      </w:r>
      <w:r w:rsidRPr="00D15165">
        <w:rPr>
          <w:lang w:val="en-US"/>
        </w:rPr>
        <w:t>F]HTzA and [</w:t>
      </w:r>
      <w:r w:rsidRPr="00D15165">
        <w:rPr>
          <w:vertAlign w:val="superscript"/>
          <w:lang w:val="en-US"/>
        </w:rPr>
        <w:t>18</w:t>
      </w:r>
      <w:r w:rsidRPr="00D15165">
        <w:rPr>
          <w:lang w:val="en-US"/>
        </w:rPr>
        <w:t>F]MeTzA, were evaluated in vivo.</w:t>
      </w:r>
    </w:p>
    <w:p w14:paraId="5097CAA2" w14:textId="77777777" w:rsidR="009D3FF4" w:rsidRPr="00D15165" w:rsidRDefault="009D3FF4" w:rsidP="009D3FF4">
      <w:pPr>
        <w:spacing w:line="360" w:lineRule="auto"/>
        <w:rPr>
          <w:sz w:val="24"/>
          <w:szCs w:val="24"/>
          <w:lang w:val="en-US"/>
        </w:rPr>
      </w:pPr>
    </w:p>
    <w:p w14:paraId="6A458948" w14:textId="77777777" w:rsidR="009D3FF4" w:rsidRPr="00D15165" w:rsidRDefault="009D3FF4" w:rsidP="009D3FF4">
      <w:pPr>
        <w:spacing w:line="360" w:lineRule="auto"/>
        <w:rPr>
          <w:sz w:val="24"/>
          <w:szCs w:val="24"/>
          <w:lang w:val="en-US"/>
        </w:rPr>
      </w:pPr>
      <w:r w:rsidRPr="00D15165">
        <w:rPr>
          <w:noProof/>
          <w:sz w:val="24"/>
          <w:szCs w:val="24"/>
          <w:lang w:val="en-US"/>
        </w:rPr>
        <w:drawing>
          <wp:inline distT="0" distB="0" distL="0" distR="0" wp14:anchorId="4F323FB5" wp14:editId="55C2DF5D">
            <wp:extent cx="5751989" cy="2825087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231" cy="282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B08698" w14:textId="77777777" w:rsidR="009D3FF4" w:rsidRPr="00D15165" w:rsidRDefault="009D3FF4" w:rsidP="009D3FF4">
      <w:pPr>
        <w:rPr>
          <w:b/>
          <w:bCs/>
          <w:lang w:val="en-US"/>
        </w:rPr>
      </w:pPr>
      <w:bookmarkStart w:id="0" w:name="OLE_LINK3"/>
      <w:r w:rsidRPr="00D15165">
        <w:rPr>
          <w:b/>
          <w:bCs/>
          <w:lang w:val="en-US"/>
        </w:rPr>
        <w:t>Supplementary Fig. 2. Brain concentrations of [⁶⁸Ga]Ga-DOTA-PEG₁₁-Tz</w:t>
      </w:r>
      <w:bookmarkEnd w:id="0"/>
      <w:r w:rsidRPr="00D15165">
        <w:rPr>
          <w:b/>
          <w:bCs/>
          <w:lang w:val="en-US"/>
        </w:rPr>
        <w:t>. (a)</w:t>
      </w:r>
      <w:r w:rsidRPr="00D15165">
        <w:rPr>
          <w:lang w:val="en-US"/>
        </w:rPr>
        <w:t xml:space="preserve"> A polar tetrazine, radiolabeled with gallium-68 ([⁶⁸Ga]Ga-DOTA-PEG₁₁-Tz), was either intravenously or intraperionally administered to WT mice to ensure that the tetrazine did not enter the brain. The resulting brain concentrations were 100- to 1000-fold lower than those seen with the fluorine-18 labeled brain-</w:t>
      </w:r>
      <w:r w:rsidRPr="00D15165">
        <w:rPr>
          <w:lang w:val="en-US"/>
        </w:rPr>
        <w:lastRenderedPageBreak/>
        <w:t>penetrant tetrazines used for pretargeting. (</w:t>
      </w:r>
      <w:r w:rsidRPr="00D15165">
        <w:rPr>
          <w:b/>
          <w:bCs/>
          <w:lang w:val="en-US"/>
        </w:rPr>
        <w:t>b)</w:t>
      </w:r>
      <w:r w:rsidRPr="00D15165">
        <w:rPr>
          <w:lang w:val="en-US"/>
        </w:rPr>
        <w:t xml:space="preserve"> Representative radioTLC data. Plasma samples were collected from mice receiving: 1) TCO-Bapi8D3-Fab8D3 and DOTA-PEG₁₁-Tz (blocking tetrazine); 2) Bapi8D3-Fab8D3 and DOTA-PEG₁₁-Tz (blocking tetrazine); 3) Bapi8D3-Fab8D3 without DOTA-PEG₁₁-Tz (no blocking); and 4) PBS as a control. All samples were incubated with [¹⁸F]HTzA for 30 minutes at 37 °C and then applied to NP silica TLC plates. The mobile phase consisted of 8:2 ethyl acetate/n-heptane. Radioactivity distribution was visualized using a Cyclone phosphor imaging system. These data show that pre-injection of DOTA-PEG₁₁-Tz effectively reduced [¹⁸F]HTzA binding to circulating TCO-labeled antibody, whereas in the absence of blocking, [¹⁸F]HTzA successfully underwent click ligation to the antibody in plasma. Mean ± SD of n = 3 per condition (a). (TLC = Thin-Layer Chromatography).</w:t>
      </w:r>
      <w:r>
        <w:rPr>
          <w:lang w:val="en-US"/>
        </w:rPr>
        <w:t xml:space="preserve"> Uncropped radioTLC is shown in Supplementary Material Files 2 and 3.</w:t>
      </w:r>
    </w:p>
    <w:p w14:paraId="77283D39" w14:textId="77777777" w:rsidR="009D3FF4" w:rsidRPr="00D15165" w:rsidRDefault="009D3FF4" w:rsidP="009D3FF4">
      <w:pPr>
        <w:spacing w:line="360" w:lineRule="auto"/>
        <w:rPr>
          <w:b/>
          <w:bCs/>
          <w:sz w:val="24"/>
          <w:szCs w:val="24"/>
          <w:lang w:val="en-US"/>
        </w:rPr>
      </w:pPr>
      <w:r w:rsidRPr="00D15165"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2FFFE01B" wp14:editId="0645462D">
            <wp:extent cx="3779880" cy="152895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9718" cy="15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1A2E6" w14:textId="77777777" w:rsidR="009D3FF4" w:rsidRPr="00D15165" w:rsidRDefault="009D3FF4" w:rsidP="009D3FF4">
      <w:pPr>
        <w:rPr>
          <w:b/>
          <w:bCs/>
          <w:lang w:val="en-US"/>
        </w:rPr>
      </w:pPr>
      <w:r w:rsidRPr="00D15165">
        <w:rPr>
          <w:b/>
          <w:bCs/>
          <w:lang w:val="en-US"/>
        </w:rPr>
        <w:t>Supplementary Fig. 3. Amyloid-β levels in the brain of mice included in the pretargeted PET study. (a)</w:t>
      </w:r>
      <w:r w:rsidRPr="00D15165">
        <w:rPr>
          <w:lang w:val="en-US"/>
        </w:rPr>
        <w:t xml:space="preserve"> Amyloid-β (Aβ) levels in the cerebrum of AppNL-G-F mice that received either TCO-Bapi-Fab8D3 or Bapi-Fab8D3 prior to pretargeted PET with [</w:t>
      </w:r>
      <w:r w:rsidRPr="00D15165">
        <w:rPr>
          <w:vertAlign w:val="superscript"/>
          <w:lang w:val="en-US"/>
        </w:rPr>
        <w:t>18</w:t>
      </w:r>
      <w:r w:rsidRPr="00D15165">
        <w:rPr>
          <w:lang w:val="en-US"/>
        </w:rPr>
        <w:t>F]HTzA. (</w:t>
      </w:r>
      <w:r w:rsidRPr="00D15165">
        <w:rPr>
          <w:b/>
          <w:bCs/>
          <w:lang w:val="en-US"/>
        </w:rPr>
        <w:t>b)</w:t>
      </w:r>
      <w:r w:rsidRPr="00D15165">
        <w:rPr>
          <w:lang w:val="en-US"/>
        </w:rPr>
        <w:t xml:space="preserve"> Aβ levels in the cerebellum of AppNL-G-F mice that received either TCO-Bapi-Fab8D3 or Bapi-Fab8D3 prior to pretargeted PET with [</w:t>
      </w:r>
      <w:r w:rsidRPr="00D15165">
        <w:rPr>
          <w:vertAlign w:val="superscript"/>
          <w:lang w:val="en-US"/>
        </w:rPr>
        <w:t>18</w:t>
      </w:r>
      <w:r w:rsidRPr="00D15165">
        <w:rPr>
          <w:lang w:val="en-US"/>
        </w:rPr>
        <w:t>F]HTzA. There were no differences between the two groups of mice for any of the Aβ species. Mean ± SD of n = 3 per condition (a - b). 2-way ANOVA Sidak’s multiple comparison (a-b).</w:t>
      </w:r>
    </w:p>
    <w:p w14:paraId="689340AC" w14:textId="77777777" w:rsidR="009D3FF4" w:rsidRPr="00D15165" w:rsidRDefault="009D3FF4" w:rsidP="009D3FF4">
      <w:pPr>
        <w:spacing w:line="360" w:lineRule="auto"/>
        <w:rPr>
          <w:b/>
          <w:bCs/>
          <w:sz w:val="24"/>
          <w:szCs w:val="24"/>
          <w:lang w:val="en-US"/>
        </w:rPr>
      </w:pPr>
    </w:p>
    <w:p w14:paraId="7424EEA2" w14:textId="77777777" w:rsidR="009D3FF4" w:rsidRPr="00D15165" w:rsidRDefault="009D3FF4" w:rsidP="009D3FF4">
      <w:pPr>
        <w:spacing w:line="360" w:lineRule="auto"/>
        <w:rPr>
          <w:b/>
          <w:bCs/>
          <w:sz w:val="24"/>
          <w:szCs w:val="24"/>
          <w:lang w:val="en-US"/>
        </w:rPr>
      </w:pPr>
      <w:r w:rsidRPr="00D15165">
        <w:rPr>
          <w:b/>
          <w:bCs/>
          <w:sz w:val="24"/>
          <w:szCs w:val="24"/>
          <w:lang w:val="en-US"/>
        </w:rPr>
        <w:t xml:space="preserve">Supplementary Table 1. Mice used in </w:t>
      </w:r>
      <w:proofErr w:type="gramStart"/>
      <w:r w:rsidRPr="00D15165">
        <w:rPr>
          <w:b/>
          <w:bCs/>
          <w:sz w:val="24"/>
          <w:szCs w:val="24"/>
          <w:lang w:val="en-US"/>
        </w:rPr>
        <w:t>the different</w:t>
      </w:r>
      <w:proofErr w:type="gramEnd"/>
      <w:r w:rsidRPr="00D15165">
        <w:rPr>
          <w:b/>
          <w:bCs/>
          <w:sz w:val="24"/>
          <w:szCs w:val="24"/>
          <w:lang w:val="en-US"/>
        </w:rPr>
        <w:t xml:space="preserve">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D3FF4" w:rsidRPr="00AE36C0" w14:paraId="0B3ED12E" w14:textId="77777777" w:rsidTr="00EB6577">
        <w:tc>
          <w:tcPr>
            <w:tcW w:w="2254" w:type="dxa"/>
          </w:tcPr>
          <w:p w14:paraId="47E3A91F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Study</w:t>
            </w:r>
          </w:p>
        </w:tc>
        <w:tc>
          <w:tcPr>
            <w:tcW w:w="2254" w:type="dxa"/>
          </w:tcPr>
          <w:p w14:paraId="03DBF63D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Number of AD mice (m/f)</w:t>
            </w:r>
          </w:p>
        </w:tc>
        <w:tc>
          <w:tcPr>
            <w:tcW w:w="2254" w:type="dxa"/>
          </w:tcPr>
          <w:p w14:paraId="28822BD2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Number of WT</w:t>
            </w:r>
          </w:p>
        </w:tc>
        <w:tc>
          <w:tcPr>
            <w:tcW w:w="2254" w:type="dxa"/>
          </w:tcPr>
          <w:p w14:paraId="24D7F0D5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Age (months)</w:t>
            </w:r>
          </w:p>
        </w:tc>
      </w:tr>
      <w:tr w:rsidR="009D3FF4" w:rsidRPr="00AE36C0" w14:paraId="5EA943B8" w14:textId="77777777" w:rsidTr="00EB6577">
        <w:tc>
          <w:tcPr>
            <w:tcW w:w="2254" w:type="dxa"/>
          </w:tcPr>
          <w:p w14:paraId="03EB953A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Ex vivo pretargeting</w:t>
            </w:r>
          </w:p>
        </w:tc>
        <w:tc>
          <w:tcPr>
            <w:tcW w:w="2254" w:type="dxa"/>
          </w:tcPr>
          <w:p w14:paraId="7FC8786E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6 (2/4)</w:t>
            </w:r>
          </w:p>
        </w:tc>
        <w:tc>
          <w:tcPr>
            <w:tcW w:w="2254" w:type="dxa"/>
          </w:tcPr>
          <w:p w14:paraId="48C1142A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3 (0/3)</w:t>
            </w:r>
          </w:p>
        </w:tc>
        <w:tc>
          <w:tcPr>
            <w:tcW w:w="2254" w:type="dxa"/>
          </w:tcPr>
          <w:p w14:paraId="322F6101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18-19</w:t>
            </w:r>
          </w:p>
        </w:tc>
      </w:tr>
      <w:tr w:rsidR="009D3FF4" w:rsidRPr="00AE36C0" w14:paraId="31148B02" w14:textId="77777777" w:rsidTr="00EB6577">
        <w:tc>
          <w:tcPr>
            <w:tcW w:w="2254" w:type="dxa"/>
          </w:tcPr>
          <w:p w14:paraId="1E97DA50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Selection of [</w:t>
            </w:r>
            <w:r w:rsidRPr="00AE36C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18</w:t>
            </w: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F]Tz</w:t>
            </w:r>
          </w:p>
        </w:tc>
        <w:tc>
          <w:tcPr>
            <w:tcW w:w="2254" w:type="dxa"/>
          </w:tcPr>
          <w:p w14:paraId="429EFB31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6 (1/5)</w:t>
            </w:r>
          </w:p>
        </w:tc>
        <w:tc>
          <w:tcPr>
            <w:tcW w:w="2254" w:type="dxa"/>
          </w:tcPr>
          <w:p w14:paraId="68174F41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7 (1/6)</w:t>
            </w:r>
          </w:p>
        </w:tc>
        <w:tc>
          <w:tcPr>
            <w:tcW w:w="2254" w:type="dxa"/>
          </w:tcPr>
          <w:p w14:paraId="61486340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12-17</w:t>
            </w:r>
          </w:p>
        </w:tc>
      </w:tr>
      <w:tr w:rsidR="009D3FF4" w:rsidRPr="00AE36C0" w14:paraId="18BF6A98" w14:textId="77777777" w:rsidTr="00EB6577">
        <w:tc>
          <w:tcPr>
            <w:tcW w:w="2254" w:type="dxa"/>
          </w:tcPr>
          <w:p w14:paraId="7C258FC2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Ex vivo [</w:t>
            </w:r>
            <w:r w:rsidRPr="00AE36C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68</w:t>
            </w: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Ga]Tz</w:t>
            </w:r>
          </w:p>
        </w:tc>
        <w:tc>
          <w:tcPr>
            <w:tcW w:w="2254" w:type="dxa"/>
          </w:tcPr>
          <w:p w14:paraId="480902FB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n.a.</w:t>
            </w:r>
          </w:p>
        </w:tc>
        <w:tc>
          <w:tcPr>
            <w:tcW w:w="2254" w:type="dxa"/>
          </w:tcPr>
          <w:p w14:paraId="1CC43A9E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9 (5/4)</w:t>
            </w:r>
          </w:p>
        </w:tc>
        <w:tc>
          <w:tcPr>
            <w:tcW w:w="2254" w:type="dxa"/>
          </w:tcPr>
          <w:p w14:paraId="2F09744D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  <w:tr w:rsidR="009D3FF4" w:rsidRPr="00AE36C0" w14:paraId="4571FB5A" w14:textId="77777777" w:rsidTr="00EB6577">
        <w:tc>
          <w:tcPr>
            <w:tcW w:w="2254" w:type="dxa"/>
          </w:tcPr>
          <w:p w14:paraId="0268FAAD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PET Pretargeting</w:t>
            </w:r>
          </w:p>
        </w:tc>
        <w:tc>
          <w:tcPr>
            <w:tcW w:w="2254" w:type="dxa"/>
          </w:tcPr>
          <w:p w14:paraId="10656DD5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6 (3/3)</w:t>
            </w:r>
          </w:p>
        </w:tc>
        <w:tc>
          <w:tcPr>
            <w:tcW w:w="2254" w:type="dxa"/>
          </w:tcPr>
          <w:p w14:paraId="1E333397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3 (2/1)</w:t>
            </w:r>
          </w:p>
        </w:tc>
        <w:tc>
          <w:tcPr>
            <w:tcW w:w="2254" w:type="dxa"/>
          </w:tcPr>
          <w:p w14:paraId="2D4EDC9B" w14:textId="77777777" w:rsidR="009D3FF4" w:rsidRPr="00AE36C0" w:rsidRDefault="009D3FF4" w:rsidP="00EB657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AE36C0">
              <w:rPr>
                <w:rFonts w:asciiTheme="minorHAnsi" w:hAnsiTheme="minorHAnsi" w:cstheme="minorHAnsi"/>
                <w:sz w:val="24"/>
                <w:szCs w:val="24"/>
              </w:rPr>
              <w:t>16-19</w:t>
            </w:r>
          </w:p>
        </w:tc>
      </w:tr>
    </w:tbl>
    <w:p w14:paraId="40C48BC1" w14:textId="77777777" w:rsidR="009D3FF4" w:rsidRPr="00AE36C0" w:rsidRDefault="009D3FF4" w:rsidP="009D3FF4">
      <w:pPr>
        <w:spacing w:line="360" w:lineRule="auto"/>
        <w:rPr>
          <w:rFonts w:cstheme="minorHAnsi"/>
          <w:sz w:val="24"/>
          <w:szCs w:val="24"/>
          <w:lang w:val="en-US"/>
        </w:rPr>
      </w:pPr>
    </w:p>
    <w:p w14:paraId="40523299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FF4"/>
    <w:rsid w:val="000B1875"/>
    <w:rsid w:val="00264C10"/>
    <w:rsid w:val="00726E03"/>
    <w:rsid w:val="009542D6"/>
    <w:rsid w:val="009D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BAB10"/>
  <w15:chartTrackingRefBased/>
  <w15:docId w15:val="{F21CA02A-1933-4F6F-9DFA-06E469C5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FF4"/>
    <w:pPr>
      <w:spacing w:line="259" w:lineRule="auto"/>
    </w:pPr>
    <w:rPr>
      <w:kern w:val="0"/>
      <w:sz w:val="22"/>
      <w:szCs w:val="22"/>
      <w:lang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F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F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FF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FF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FF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FF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FF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FF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FF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F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F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F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F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F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F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F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F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F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F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3F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FF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3F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FF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3F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FF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3F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F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F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FF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9D3FF4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9D3FF4"/>
    <w:pPr>
      <w:spacing w:after="0" w:line="240" w:lineRule="auto"/>
    </w:pPr>
    <w:rPr>
      <w:rFonts w:ascii="Times" w:eastAsia="Times New Roman" w:hAnsi="Times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2025-08-06T09:32:00Z</dcterms:created>
  <dcterms:modified xsi:type="dcterms:W3CDTF">2025-08-06T09:33:00Z</dcterms:modified>
</cp:coreProperties>
</file>