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media/image2.svg" ContentType="image/svg"/>
  <Override PartName="/word/media/image5.png" ContentType="image/png"/>
  <Override PartName="/word/media/image3.png" ContentType="image/png"/>
  <Override PartName="/word/media/image4.svg" ContentType="image/svg"/>
  <Override PartName="/word/media/image7.png" ContentType="image/png"/>
  <Override PartName="/word/media/image6.svg" ContentType="image/svg"/>
  <Override PartName="/word/media/image9.png" ContentType="image/png"/>
  <Override PartName="/word/media/image10.svg" ContentType="image/svg"/>
  <Override PartName="/word/media/image8.svg" ContentType="image/sv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Web"/>
        <w:bidi w:val="0"/>
        <w:spacing w:beforeAutospacing="0" w:before="0" w:afterAutospacing="0" w:after="0"/>
        <w:jc w:val="start"/>
        <w:rPr>
          <w:rFonts w:eastAsia="+mn-ea"/>
          <w:b/>
          <w:bCs/>
          <w:color w:val="000000"/>
          <w:kern w:val="2"/>
          <w:sz w:val="22"/>
          <w:szCs w:val="22"/>
          <w:lang w:val="en-GB"/>
        </w:rPr>
      </w:pPr>
      <w:bookmarkStart w:id="0" w:name="_GoBack"/>
      <w:bookmarkEnd w:id="0"/>
      <w:r>
        <w:rPr>
          <w:rFonts w:eastAsia="+mn-ea"/>
          <w:b/>
          <w:bCs/>
          <w:color w:val="000000"/>
          <w:kern w:val="2"/>
          <w:sz w:val="22"/>
          <w:szCs w:val="22"/>
          <w:lang w:val="en-GB"/>
        </w:rPr>
        <w:t>Supplementary material</w:t>
      </w:r>
    </w:p>
    <w:p>
      <w:pPr>
        <w:pStyle w:val="NormalWeb"/>
        <w:bidi w:val="0"/>
        <w:spacing w:beforeAutospacing="0" w:before="0" w:afterAutospacing="0" w:after="0"/>
        <w:jc w:val="start"/>
        <w:rPr>
          <w:rFonts w:eastAsia="+mn-ea"/>
          <w:b/>
          <w:bCs/>
          <w:color w:val="000000"/>
          <w:kern w:val="2"/>
          <w:sz w:val="22"/>
          <w:szCs w:val="22"/>
          <w:lang w:val="en-GB"/>
        </w:rPr>
      </w:pPr>
      <w:r>
        <w:rPr>
          <w:rFonts w:eastAsia="+mn-ea"/>
          <w:b/>
          <w:bCs/>
          <w:color w:val="000000"/>
          <w:kern w:val="2"/>
          <w:sz w:val="22"/>
          <w:szCs w:val="22"/>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9251950" cy="4613910"/>
            <wp:effectExtent l="0" t="0" r="0" b="0"/>
            <wp:wrapSquare wrapText="largest"/>
            <wp:docPr id="1" name="Figura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 title=""/>
                    <pic:cNvPicPr>
                      <a:picLocks noChangeAspect="1" noChangeArrowheads="1"/>
                    </pic:cNvPicPr>
                  </pic:nvPicPr>
                  <pic:blipFill>
                    <a:blip r:embed="rId2">
                      <a:extLst>
                        <a:ext uri="{96DAC541-7B7A-43D3-8B79-37D633B846F1}">
                          <asvg:svgBlip xmlns:asvg="http://schemas.microsoft.com/office/drawing/2016/SVG/main" r:embed="rId3"/>
                        </a:ext>
                      </a:extLst>
                    </a:blip>
                    <a:stretch>
                      <a:fillRect/>
                    </a:stretch>
                  </pic:blipFill>
                  <pic:spPr bwMode="auto">
                    <a:xfrm>
                      <a:off x="0" y="0"/>
                      <a:ext cx="9251950" cy="4613910"/>
                    </a:xfrm>
                    <a:prstGeom prst="rect">
                      <a:avLst/>
                    </a:prstGeom>
                    <a:noFill/>
                  </pic:spPr>
                </pic:pic>
              </a:graphicData>
            </a:graphic>
          </wp:anchor>
        </w:drawing>
      </w:r>
    </w:p>
    <w:p>
      <w:pPr>
        <w:pStyle w:val="Normal"/>
        <w:bidi w:val="0"/>
        <w:jc w:val="both"/>
        <w:rPr>
          <w:sz w:val="18"/>
          <w:szCs w:val="18"/>
        </w:rPr>
      </w:pPr>
      <w:r>
        <w:rPr>
          <w:rFonts w:eastAsia="+mn-ea" w:cs="Times New Roman" w:ascii="Times New Roman" w:hAnsi="Times New Roman"/>
          <w:b/>
          <w:bCs/>
          <w:color w:val="000000"/>
          <w:kern w:val="2"/>
          <w:sz w:val="18"/>
          <w:szCs w:val="18"/>
          <w:lang w:val="en-GB"/>
        </w:rPr>
        <w:tab/>
        <w:t xml:space="preserve">Figure S1 </w:t>
      </w:r>
      <w:r>
        <w:rPr>
          <w:rFonts w:eastAsia="+mn-ea" w:cs="Times New Roman" w:ascii="Times New Roman" w:hAnsi="Times New Roman"/>
          <w:b w:val="false"/>
          <w:bCs w:val="false"/>
          <w:color w:val="000000"/>
          <w:kern w:val="2"/>
          <w:sz w:val="18"/>
          <w:szCs w:val="18"/>
          <w:lang w:val="en-GB"/>
        </w:rPr>
        <w:t>Distribution of ANI values between the genomes used in the phylogeny and the genomes of the presented isolates and closely related species according to GTDB-Tk.</w:t>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t xml:space="preserve">                                                                                                                                                                                                                         </w:t>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drawing>
          <wp:anchor behindDoc="0" distT="0" distB="0" distL="0" distR="0" simplePos="0" locked="0" layoutInCell="0" allowOverlap="1" relativeHeight="4">
            <wp:simplePos x="0" y="0"/>
            <wp:positionH relativeFrom="column">
              <wp:posOffset>671195</wp:posOffset>
            </wp:positionH>
            <wp:positionV relativeFrom="paragraph">
              <wp:posOffset>-107315</wp:posOffset>
            </wp:positionV>
            <wp:extent cx="7873365" cy="5368290"/>
            <wp:effectExtent l="0" t="0" r="0" b="0"/>
            <wp:wrapSquare wrapText="largest"/>
            <wp:docPr id="2" name="Figura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descr="" title=""/>
                    <pic:cNvPicPr>
                      <a:picLocks noChangeAspect="1" noChangeArrowheads="1"/>
                    </pic:cNvPicPr>
                  </pic:nvPicPr>
                  <pic:blipFill>
                    <a:blip r:embed="rId4">
                      <a:extLst>
                        <a:ext uri="{96DAC541-7B7A-43D3-8B79-37D633B846F1}">
                          <asvg:svgBlip xmlns:asvg="http://schemas.microsoft.com/office/drawing/2016/SVG/main" r:embed="rId5"/>
                        </a:ext>
                      </a:extLst>
                    </a:blip>
                    <a:stretch>
                      <a:fillRect/>
                    </a:stretch>
                  </pic:blipFill>
                  <pic:spPr bwMode="auto">
                    <a:xfrm>
                      <a:off x="0" y="0"/>
                      <a:ext cx="7873365" cy="5368290"/>
                    </a:xfrm>
                    <a:prstGeom prst="rect">
                      <a:avLst/>
                    </a:prstGeom>
                    <a:noFill/>
                  </pic:spPr>
                </pic:pic>
              </a:graphicData>
            </a:graphic>
          </wp:anchor>
        </w:drawing>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t xml:space="preserve">                          </w:t>
      </w:r>
    </w:p>
    <w:p>
      <w:pPr>
        <w:pStyle w:val="Normal"/>
        <w:bidi w:val="0"/>
        <w:jc w:val="start"/>
        <w:rPr>
          <w:rFonts w:ascii="Times New Roman" w:hAnsi="Times New Roman" w:eastAsia="Times New Roman" w:cs="Times New Roman"/>
          <w:lang w:val="en-GB"/>
        </w:rPr>
      </w:pPr>
      <w:r>
        <w:rPr/>
        <w:t xml:space="preserve">                                 </w:t>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sz w:val="18"/>
          <w:szCs w:val="18"/>
        </w:rPr>
      </w:pPr>
      <w:r>
        <w:rPr>
          <w:sz w:val="18"/>
          <w:szCs w:val="18"/>
        </w:rPr>
        <w:t xml:space="preserve">                </w:t>
      </w:r>
      <w:r>
        <w:rPr>
          <w:rFonts w:eastAsia="+mn-ea" w:cs="Times New Roman" w:ascii="Times New Roman" w:hAnsi="Times New Roman"/>
          <w:b/>
          <w:bCs/>
          <w:color w:val="000000"/>
          <w:kern w:val="2"/>
          <w:sz w:val="18"/>
          <w:szCs w:val="18"/>
          <w:lang w:val="en-GB"/>
        </w:rPr>
        <w:t>Figure S2</w:t>
      </w:r>
      <w:r>
        <w:rPr>
          <w:rFonts w:eastAsia="+mn-ea" w:cs="Times New Roman" w:ascii="Times New Roman" w:hAnsi="Times New Roman"/>
          <w:b w:val="false"/>
          <w:bCs w:val="false"/>
          <w:color w:val="000000"/>
          <w:kern w:val="2"/>
          <w:sz w:val="18"/>
          <w:szCs w:val="18"/>
          <w:lang w:val="en-GB"/>
        </w:rPr>
        <w:t xml:space="preserve"> In the center, the structure of the predicted class 2 bacteriocin for </w:t>
      </w:r>
      <w:r>
        <w:rPr>
          <w:rFonts w:eastAsia="+mn-ea" w:cs="Times New Roman" w:ascii="Times New Roman" w:hAnsi="Times New Roman"/>
          <w:b w:val="false"/>
          <w:bCs w:val="false"/>
          <w:i/>
          <w:iCs/>
          <w:color w:val="000000"/>
          <w:kern w:val="2"/>
          <w:sz w:val="18"/>
          <w:szCs w:val="18"/>
          <w:lang w:val="en-GB"/>
        </w:rPr>
        <w:t>E. lactis</w:t>
      </w:r>
      <w:r>
        <w:rPr>
          <w:rFonts w:eastAsia="+mn-ea" w:cs="Times New Roman" w:ascii="Times New Roman" w:hAnsi="Times New Roman"/>
          <w:b w:val="false"/>
          <w:bCs w:val="false"/>
          <w:color w:val="000000"/>
          <w:kern w:val="2"/>
          <w:sz w:val="18"/>
          <w:szCs w:val="18"/>
          <w:lang w:val="en-GB"/>
        </w:rPr>
        <w:t xml:space="preserve"> m3d (blue), modeled by AlphaFold, is compared with the experimental structure of enterocin HF obtained by NMR (nuclear magnetic resonance; PDB: 2N4K, yellow) and the predicted structure, also by AlphaFold, of mundticin (purple). At the top, the genomic location of the coding region in E. lactis m3d is shown. At the bottom, the alignment of the three proteins highlights, in green, the experimentally characterized region of enterocin HF; yellow and purple boxes indicate residues shared with enterocin HF and mundticin, respectively.</w:t>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8460105" cy="4633595"/>
            <wp:effectExtent l="0" t="0" r="0" b="0"/>
            <wp:wrapSquare wrapText="largest"/>
            <wp:docPr id="3" name="Figura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 descr="" title=""/>
                    <pic:cNvPicPr>
                      <a:picLocks noChangeAspect="1" noChangeArrowheads="1"/>
                    </pic:cNvPicPr>
                  </pic:nvPicPr>
                  <pic:blipFill>
                    <a:blip r:embed="rId6">
                      <a:extLst>
                        <a:ext uri="{96DAC541-7B7A-43D3-8B79-37D633B846F1}">
                          <asvg:svgBlip xmlns:asvg="http://schemas.microsoft.com/office/drawing/2016/SVG/main" r:embed="rId7"/>
                        </a:ext>
                      </a:extLst>
                    </a:blip>
                    <a:stretch>
                      <a:fillRect/>
                    </a:stretch>
                  </pic:blipFill>
                  <pic:spPr bwMode="auto">
                    <a:xfrm>
                      <a:off x="0" y="0"/>
                      <a:ext cx="8460105" cy="4633595"/>
                    </a:xfrm>
                    <a:prstGeom prst="rect">
                      <a:avLst/>
                    </a:prstGeom>
                    <a:noFill/>
                  </pic:spPr>
                </pic:pic>
              </a:graphicData>
            </a:graphic>
          </wp:anchor>
        </w:drawing>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t xml:space="preserve">                                                                                                                                                                                                                                                 </w:t>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sz w:val="18"/>
          <w:szCs w:val="18"/>
        </w:rPr>
      </w:pPr>
      <w:r>
        <w:rPr>
          <w:rFonts w:eastAsia="+mn-ea" w:cs="Times New Roman" w:ascii="Times New Roman" w:hAnsi="Times New Roman"/>
          <w:b/>
          <w:bCs/>
          <w:color w:val="000000"/>
          <w:kern w:val="2"/>
          <w:sz w:val="18"/>
          <w:szCs w:val="18"/>
          <w:lang w:val="en-GB"/>
        </w:rPr>
        <w:tab/>
        <w:t>Figure S3</w:t>
      </w:r>
      <w:r>
        <w:rPr>
          <w:rFonts w:eastAsia="+mn-ea" w:cs="Times New Roman" w:ascii="Times New Roman" w:hAnsi="Times New Roman"/>
          <w:b w:val="false"/>
          <w:bCs w:val="false"/>
          <w:color w:val="000000"/>
          <w:kern w:val="2"/>
          <w:sz w:val="18"/>
          <w:szCs w:val="18"/>
          <w:lang w:val="en-GB"/>
        </w:rPr>
        <w:t xml:space="preserve"> Alignment between the predicted enterocin HF from our </w:t>
      </w:r>
      <w:r>
        <w:rPr>
          <w:rFonts w:eastAsia="+mn-ea" w:cs="Times New Roman" w:ascii="Times New Roman" w:hAnsi="Times New Roman"/>
          <w:b w:val="false"/>
          <w:bCs w:val="false"/>
          <w:i/>
          <w:iCs/>
          <w:color w:val="000000"/>
          <w:kern w:val="2"/>
          <w:sz w:val="18"/>
          <w:szCs w:val="18"/>
          <w:lang w:val="en-GB"/>
        </w:rPr>
        <w:t>E. lactis</w:t>
      </w:r>
      <w:r>
        <w:rPr>
          <w:rFonts w:eastAsia="+mn-ea" w:cs="Times New Roman" w:ascii="Times New Roman" w:hAnsi="Times New Roman"/>
          <w:b w:val="false"/>
          <w:bCs w:val="false"/>
          <w:color w:val="000000"/>
          <w:kern w:val="2"/>
          <w:sz w:val="18"/>
          <w:szCs w:val="18"/>
          <w:lang w:val="en-GB"/>
        </w:rPr>
        <w:t xml:space="preserve"> isolate (red) and other bacteriocins labeled as enterocins in the remaining genomes of the species. Sequences with more than two identical copies (i.e., 100% identical) were filtered out to improve image clarity.</w:t>
      </w:r>
    </w:p>
    <w:p>
      <w:pPr>
        <w:pStyle w:val="Normal"/>
        <w:bidi w:val="0"/>
        <w:jc w:val="both"/>
        <w:rPr>
          <w:rFonts w:ascii="Times New Roman" w:hAnsi="Times New Roman" w:eastAsia="Times New Roman" w:cs="Times New Roman"/>
          <w:sz w:val="18"/>
          <w:szCs w:val="18"/>
          <w:lang w:val="en-GB"/>
        </w:rPr>
      </w:pPr>
      <w:r>
        <w:rPr>
          <w:rFonts w:eastAsia="Times New Roman" w:cs="Times New Roman" w:ascii="Times New Roman" w:hAnsi="Times New Roman"/>
          <w:sz w:val="18"/>
          <w:szCs w:val="18"/>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8369300" cy="3606800"/>
            <wp:effectExtent l="0" t="0" r="0" b="0"/>
            <wp:wrapSquare wrapText="largest"/>
            <wp:docPr id="4" name="Figura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4" descr="" title=""/>
                    <pic:cNvPicPr>
                      <a:picLocks noChangeAspect="1" noChangeArrowheads="1"/>
                    </pic:cNvPicPr>
                  </pic:nvPicPr>
                  <pic:blipFill>
                    <a:blip r:embed="rId8">
                      <a:extLst>
                        <a:ext uri="{96DAC541-7B7A-43D3-8B79-37D633B846F1}">
                          <asvg:svgBlip xmlns:asvg="http://schemas.microsoft.com/office/drawing/2016/SVG/main" r:embed="rId9"/>
                        </a:ext>
                      </a:extLst>
                    </a:blip>
                    <a:stretch>
                      <a:fillRect/>
                    </a:stretch>
                  </pic:blipFill>
                  <pic:spPr bwMode="auto">
                    <a:xfrm>
                      <a:off x="0" y="0"/>
                      <a:ext cx="8369300" cy="3606800"/>
                    </a:xfrm>
                    <a:prstGeom prst="rect">
                      <a:avLst/>
                    </a:prstGeom>
                    <a:noFill/>
                  </pic:spPr>
                </pic:pic>
              </a:graphicData>
            </a:graphic>
          </wp:anchor>
        </w:drawing>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t xml:space="preserve">                                                                                                                                                                      </w:t>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pPr>
      <w:r>
        <w:rPr>
          <w:rFonts w:eastAsia="+mn-ea" w:cs="Times New Roman" w:ascii="Times New Roman" w:hAnsi="Times New Roman"/>
          <w:b/>
          <w:bCs/>
          <w:color w:val="000000"/>
          <w:kern w:val="2"/>
          <w:sz w:val="22"/>
          <w:szCs w:val="22"/>
          <w:lang w:val="en-GB"/>
        </w:rPr>
        <w:tab/>
      </w:r>
      <w:r>
        <w:rPr>
          <w:rFonts w:eastAsia="+mn-ea" w:cs="Times New Roman" w:ascii="Times New Roman" w:hAnsi="Times New Roman"/>
          <w:b/>
          <w:bCs/>
          <w:color w:val="000000"/>
          <w:kern w:val="2"/>
          <w:sz w:val="18"/>
          <w:szCs w:val="18"/>
          <w:lang w:val="en-GB"/>
        </w:rPr>
        <w:t>Figure S4</w:t>
      </w:r>
      <w:r>
        <w:rPr>
          <w:rFonts w:eastAsia="+mn-ea" w:cs="Times New Roman" w:ascii="Times New Roman" w:hAnsi="Times New Roman"/>
          <w:b w:val="false"/>
          <w:bCs w:val="false"/>
          <w:color w:val="000000"/>
          <w:kern w:val="2"/>
          <w:sz w:val="18"/>
          <w:szCs w:val="18"/>
          <w:lang w:val="en-GB"/>
        </w:rPr>
        <w:t xml:space="preserve"> Displays the genomic features of </w:t>
      </w:r>
      <w:r>
        <w:rPr>
          <w:rFonts w:eastAsia="+mn-ea" w:cs="Times New Roman" w:ascii="Times New Roman" w:hAnsi="Times New Roman"/>
          <w:b w:val="false"/>
          <w:bCs w:val="false"/>
          <w:i/>
          <w:iCs/>
          <w:color w:val="000000"/>
          <w:kern w:val="2"/>
          <w:sz w:val="18"/>
          <w:szCs w:val="18"/>
          <w:lang w:val="en-GB"/>
        </w:rPr>
        <w:t>L. agilis</w:t>
      </w:r>
      <w:r>
        <w:rPr>
          <w:rFonts w:eastAsia="+mn-ea" w:cs="Times New Roman" w:ascii="Times New Roman" w:hAnsi="Times New Roman"/>
          <w:b w:val="false"/>
          <w:bCs w:val="false"/>
          <w:color w:val="000000"/>
          <w:kern w:val="2"/>
          <w:sz w:val="18"/>
          <w:szCs w:val="18"/>
          <w:lang w:val="en-GB"/>
        </w:rPr>
        <w:t xml:space="preserve"> and </w:t>
      </w:r>
      <w:r>
        <w:rPr>
          <w:rFonts w:eastAsia="+mn-ea" w:cs="Times New Roman" w:ascii="Times New Roman" w:hAnsi="Times New Roman"/>
          <w:b w:val="false"/>
          <w:bCs w:val="false"/>
          <w:i/>
          <w:iCs/>
          <w:color w:val="000000"/>
          <w:kern w:val="2"/>
          <w:sz w:val="18"/>
          <w:szCs w:val="18"/>
          <w:lang w:val="en-GB"/>
        </w:rPr>
        <w:t>L. vaginalis</w:t>
      </w:r>
      <w:r>
        <w:rPr>
          <w:rFonts w:eastAsia="+mn-ea" w:cs="Times New Roman" w:ascii="Times New Roman" w:hAnsi="Times New Roman"/>
          <w:b w:val="false"/>
          <w:bCs w:val="false"/>
          <w:color w:val="000000"/>
          <w:kern w:val="2"/>
          <w:sz w:val="18"/>
          <w:szCs w:val="18"/>
          <w:lang w:val="en-GB"/>
        </w:rPr>
        <w:t xml:space="preserve"> based on gene and contig counts across multiple genomes. </w:t>
      </w:r>
      <w:r>
        <w:rPr>
          <w:rFonts w:eastAsia="+mn-ea" w:cs="Times New Roman" w:ascii="Times New Roman" w:hAnsi="Times New Roman"/>
          <w:b/>
          <w:bCs/>
          <w:color w:val="000000"/>
          <w:kern w:val="2"/>
          <w:sz w:val="18"/>
          <w:szCs w:val="18"/>
          <w:lang w:val="en-GB"/>
        </w:rPr>
        <w:t>a</w:t>
      </w:r>
      <w:r>
        <w:rPr>
          <w:rFonts w:eastAsia="+mn-ea" w:cs="Times New Roman" w:ascii="Times New Roman" w:hAnsi="Times New Roman"/>
          <w:b w:val="false"/>
          <w:bCs w:val="false"/>
          <w:color w:val="000000"/>
          <w:kern w:val="2"/>
          <w:sz w:val="18"/>
          <w:szCs w:val="18"/>
          <w:lang w:val="en-GB"/>
        </w:rPr>
        <w:t xml:space="preserve"> The distribution of gene counts in the genomes of </w:t>
      </w:r>
      <w:r>
        <w:rPr>
          <w:rFonts w:eastAsia="+mn-ea" w:cs="Times New Roman" w:ascii="Times New Roman" w:hAnsi="Times New Roman"/>
          <w:b w:val="false"/>
          <w:bCs w:val="false"/>
          <w:i/>
          <w:iCs/>
          <w:color w:val="000000"/>
          <w:kern w:val="2"/>
          <w:sz w:val="18"/>
          <w:szCs w:val="18"/>
          <w:lang w:val="en-GB"/>
        </w:rPr>
        <w:t>L. agilis</w:t>
      </w:r>
      <w:r>
        <w:rPr>
          <w:rFonts w:eastAsia="+mn-ea" w:cs="Times New Roman" w:ascii="Times New Roman" w:hAnsi="Times New Roman"/>
          <w:b w:val="false"/>
          <w:bCs w:val="false"/>
          <w:color w:val="000000"/>
          <w:kern w:val="2"/>
          <w:sz w:val="18"/>
          <w:szCs w:val="18"/>
          <w:lang w:val="en-GB"/>
        </w:rPr>
        <w:t xml:space="preserve"> is shown in the upper graph, while the number of contigs per genome is displayed in the lower graph. Similarly, in </w:t>
      </w:r>
      <w:r>
        <w:rPr>
          <w:rFonts w:eastAsia="+mn-ea" w:cs="Times New Roman" w:ascii="Times New Roman" w:hAnsi="Times New Roman"/>
          <w:b/>
          <w:bCs/>
          <w:color w:val="000000"/>
          <w:kern w:val="2"/>
          <w:sz w:val="18"/>
          <w:szCs w:val="18"/>
          <w:lang w:val="en-GB"/>
        </w:rPr>
        <w:t>b</w:t>
      </w:r>
      <w:r>
        <w:rPr>
          <w:rFonts w:eastAsia="+mn-ea" w:cs="Times New Roman" w:ascii="Times New Roman" w:hAnsi="Times New Roman"/>
          <w:b w:val="false"/>
          <w:bCs w:val="false"/>
          <w:color w:val="000000"/>
          <w:kern w:val="2"/>
          <w:sz w:val="18"/>
          <w:szCs w:val="18"/>
          <w:lang w:val="en-GB"/>
        </w:rPr>
        <w:t xml:space="preserve">, the upper graph represents the distribution of gene counts in the genomes of </w:t>
      </w:r>
      <w:r>
        <w:rPr>
          <w:rFonts w:eastAsia="+mn-ea" w:cs="Times New Roman" w:ascii="Times New Roman" w:hAnsi="Times New Roman"/>
          <w:b w:val="false"/>
          <w:bCs w:val="false"/>
          <w:i/>
          <w:iCs/>
          <w:color w:val="000000"/>
          <w:kern w:val="2"/>
          <w:sz w:val="18"/>
          <w:szCs w:val="18"/>
          <w:lang w:val="en-GB"/>
        </w:rPr>
        <w:t>L. vaginalis</w:t>
      </w:r>
      <w:r>
        <w:rPr>
          <w:rFonts w:eastAsia="+mn-ea" w:cs="Times New Roman" w:ascii="Times New Roman" w:hAnsi="Times New Roman"/>
          <w:b w:val="false"/>
          <w:bCs w:val="false"/>
          <w:color w:val="000000"/>
          <w:kern w:val="2"/>
          <w:sz w:val="18"/>
          <w:szCs w:val="18"/>
          <w:lang w:val="en-GB"/>
        </w:rPr>
        <w:t>, whereas the lower graph illustrates the number of contigs per genome.</w:t>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b w:val="false"/>
          <w:bCs w:val="false"/>
          <w:color w:val="000000"/>
          <w:kern w:val="2"/>
          <w:sz w:val="22"/>
          <w:szCs w:val="22"/>
          <w:lang w:val="en-GB"/>
        </w:rPr>
        <w:t xml:space="preserve">                                                          </w:t>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start"/>
        <w:rPr>
          <w:rFonts w:ascii="Times New Roman" w:hAnsi="Times New Roman" w:eastAsia="Times New Roman" w:cs="Times New Roman"/>
          <w:lang w:val="en-GB"/>
        </w:rPr>
      </w:pPr>
      <w:r>
        <w:rPr>
          <w:rFonts w:eastAsia="Times New Roman" w:cs="Times New Roman" w:ascii="Times New Roman" w:hAnsi="Times New Roman"/>
          <w:lang w:val="en-GB"/>
        </w:rPr>
      </w:r>
    </w:p>
    <w:p>
      <w:pPr>
        <w:pStyle w:val="Normal"/>
        <w:bidi w:val="0"/>
        <w:jc w:val="both"/>
        <w:rPr>
          <w:rFonts w:ascii="Times New Roman" w:hAnsi="Times New Roman" w:eastAsia="+mn-ea" w:cs="Times New Roman"/>
          <w:b/>
          <w:bCs/>
          <w:color w:val="000000"/>
          <w:kern w:val="2"/>
          <w:sz w:val="22"/>
          <w:szCs w:val="22"/>
          <w:lang w:val="en-GB"/>
        </w:rPr>
      </w:pPr>
      <w:r>
        <w:rPr>
          <w:rFonts w:eastAsia="+mn-ea" w:cs="Times New Roman" w:ascii="Times New Roman" w:hAnsi="Times New Roman"/>
          <w:b/>
          <w:bCs/>
          <w:color w:val="000000"/>
          <w:kern w:val="2"/>
          <w:sz w:val="22"/>
          <w:szCs w:val="22"/>
          <w:lang w:val="en-GB"/>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9251950" cy="5561330"/>
            <wp:effectExtent l="0" t="0" r="0" b="0"/>
            <wp:wrapSquare wrapText="largest"/>
            <wp:docPr id="5" name="Figura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5" descr="" title=""/>
                    <pic:cNvPicPr>
                      <a:picLocks noChangeAspect="1" noChangeArrowheads="1"/>
                    </pic:cNvPicPr>
                  </pic:nvPicPr>
                  <pic:blipFill>
                    <a:blip r:embed="rId10">
                      <a:extLst>
                        <a:ext uri="{96DAC541-7B7A-43D3-8B79-37D633B846F1}">
                          <asvg:svgBlip xmlns:asvg="http://schemas.microsoft.com/office/drawing/2016/SVG/main" r:embed="rId11"/>
                        </a:ext>
                      </a:extLst>
                    </a:blip>
                    <a:stretch>
                      <a:fillRect/>
                    </a:stretch>
                  </pic:blipFill>
                  <pic:spPr bwMode="auto">
                    <a:xfrm>
                      <a:off x="0" y="0"/>
                      <a:ext cx="9251950" cy="5561330"/>
                    </a:xfrm>
                    <a:prstGeom prst="rect">
                      <a:avLst/>
                    </a:prstGeom>
                    <a:noFill/>
                  </pic:spPr>
                </pic:pic>
              </a:graphicData>
            </a:graphic>
          </wp:anchor>
        </w:drawing>
      </w:r>
    </w:p>
    <w:p>
      <w:pPr>
        <w:pStyle w:val="Normal"/>
        <w:bidi w:val="0"/>
        <w:jc w:val="both"/>
        <w:rPr/>
      </w:pPr>
      <w:r>
        <w:rPr>
          <w:rFonts w:eastAsia="+mn-ea" w:cs="Times New Roman" w:ascii="Times New Roman" w:hAnsi="Times New Roman"/>
          <w:b/>
          <w:bCs/>
          <w:color w:val="000000"/>
          <w:kern w:val="2"/>
          <w:sz w:val="22"/>
          <w:szCs w:val="22"/>
          <w:lang w:val="en-GB"/>
        </w:rPr>
        <w:tab/>
      </w:r>
      <w:r>
        <w:rPr>
          <w:rFonts w:eastAsia="+mn-ea" w:cs="Times New Roman" w:ascii="Times New Roman" w:hAnsi="Times New Roman"/>
          <w:b/>
          <w:bCs/>
          <w:color w:val="000000"/>
          <w:kern w:val="2"/>
          <w:sz w:val="18"/>
          <w:szCs w:val="18"/>
          <w:lang w:val="en-GB"/>
        </w:rPr>
        <w:t>Figure S5</w:t>
      </w:r>
      <w:r>
        <w:rPr>
          <w:rFonts w:eastAsia="+mn-ea" w:cs="Times New Roman" w:ascii="Times New Roman" w:hAnsi="Times New Roman"/>
          <w:b w:val="false"/>
          <w:bCs w:val="false"/>
          <w:color w:val="000000"/>
          <w:kern w:val="2"/>
          <w:sz w:val="18"/>
          <w:szCs w:val="18"/>
          <w:lang w:val="en-GB"/>
        </w:rPr>
        <w:t xml:space="preserve"> Ramachandran plots generated by PROCHECK from the SAVES v6.1 server for structural quality assessment of the modeled protein. The most favored regions are shown in red, additionally allowed regions in yellow, and marginally allowed regions in beige. The residues in the structure are represented by black dots. </w:t>
      </w:r>
    </w:p>
    <w:p>
      <w:pPr>
        <w:pStyle w:val="Normal"/>
        <w:bidi w:val="0"/>
        <w:jc w:val="both"/>
        <w:rPr/>
      </w:pPr>
      <w:r>
        <w:rPr>
          <w:rFonts w:eastAsia="+mn-ea" w:cs="Times New Roman" w:ascii="Times New Roman" w:hAnsi="Times New Roman"/>
          <w:b w:val="false"/>
          <w:bCs w:val="false"/>
          <w:color w:val="000000"/>
          <w:kern w:val="2"/>
          <w:sz w:val="16"/>
          <w:szCs w:val="16"/>
          <w:lang w:val="en-GB"/>
        </w:rPr>
        <w:t xml:space="preserve">Laskowski RA, MacArthur MW, Moss DS, Thornton JM (1993) PROCHECK – a program to check the stereochemical quality of protein structures. J Appl Crystallogr 26(2):283–291. </w:t>
      </w:r>
      <w:hyperlink r:id="rId12">
        <w:r>
          <w:rPr>
            <w:rStyle w:val="Hyperlink"/>
            <w:rFonts w:eastAsia="+mn-ea" w:cs="Times New Roman" w:ascii="Times New Roman" w:hAnsi="Times New Roman"/>
            <w:b w:val="false"/>
            <w:bCs w:val="false"/>
            <w:color w:val="000000"/>
            <w:kern w:val="2"/>
            <w:sz w:val="16"/>
            <w:szCs w:val="16"/>
            <w:lang w:val="en-GB"/>
          </w:rPr>
          <w:t>https://doi.org/10.1107/S0021889892009944</w:t>
        </w:r>
      </w:hyperlink>
    </w:p>
    <w:sectPr>
      <w:type w:val="nextPage"/>
      <w:pgSz w:orient="landscape" w:w="16838" w:h="11906"/>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Liberation Sans">
    <w:altName w:val="Arial"/>
    <w:charset w:val="01" w:characterSet="utf-8"/>
    <w:family w:val="swiss"/>
    <w:pitch w:val="variable"/>
  </w:font>
  <w:font w:name="Times New Roman">
    <w:charset w:val="01" w:characterSet="utf-8"/>
    <w:family w:val="roman"/>
    <w:pitch w:val="variable"/>
  </w:font>
</w:fonts>
</file>

<file path=word/settings.xml><?xml version="1.0" encoding="utf-8"?>
<w:settings xmlns:w="http://schemas.openxmlformats.org/wordprocessingml/2006/main">
  <w:zoom w:percent="98"/>
  <w:defaultTabStop w:val="709"/>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Noto Sans Devanagari"/>
        <w:kern w:val="2"/>
        <w:sz w:val="24"/>
        <w:szCs w:val="24"/>
        <w:lang w:val="pt-BR" w:eastAsia="zh-CN" w:bidi="hi-IN"/>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Liberation Serif" w:hAnsi="Liberation Serif" w:eastAsia="Noto Serif CJK SC" w:cs="Noto Sans Devanagari"/>
      <w:color w:val="auto"/>
      <w:kern w:val="2"/>
      <w:sz w:val="24"/>
      <w:szCs w:val="24"/>
      <w:lang w:val="pt-BR" w:eastAsia="zh-CN" w:bidi="hi-IN"/>
    </w:rPr>
  </w:style>
  <w:style w:type="character" w:styleId="Hyperlink">
    <w:name w:val="Hyperlink"/>
    <w:rPr>
      <w:color w:val="000080"/>
      <w:u w:val="single"/>
    </w:rPr>
  </w:style>
  <w:style w:type="paragraph" w:styleId="Ttulo">
    <w:name w:val="Título"/>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ndice">
    <w:name w:val="Índice"/>
    <w:basedOn w:val="Normal"/>
    <w:qFormat/>
    <w:pPr>
      <w:suppressLineNumbers/>
    </w:pPr>
    <w:rPr>
      <w:rFonts w:cs="Noto Sans Devanagari"/>
    </w:rPr>
  </w:style>
  <w:style w:type="paragraph" w:styleId="Ttulouser">
    <w:name w:val="Título (user)"/>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ndiceuser">
    <w:name w:val="Índice (user)"/>
    <w:basedOn w:val="Normal"/>
    <w:qFormat/>
    <w:pPr>
      <w:suppressLineNumbers/>
    </w:pPr>
    <w:rPr>
      <w:rFonts w:cs="Noto Sans Devanagari"/>
    </w:rPr>
  </w:style>
  <w:style w:type="paragraph" w:styleId="NormalWeb">
    <w:name w:val="Normal (Web)"/>
    <w:basedOn w:val="Normal"/>
    <w:qFormat/>
    <w:pPr>
      <w:spacing w:lineRule="auto" w:line="240" w:beforeAutospacing="1" w:afterAutospacing="1"/>
    </w:pPr>
    <w:rPr>
      <w:rFonts w:ascii="Times New Roman" w:hAnsi="Times New Roman" w:eastAsia="Times New Roman" w:cs="Times New Roman"/>
      <w:sz w:val="24"/>
      <w:szCs w:val="24"/>
      <w:lang w:eastAsia="es-ES"/>
    </w:rPr>
  </w:style>
  <w:style w:type="paragraph" w:styleId="Cabealhoerodap">
    <w:name w:val="Cabeçalho e rodapé"/>
    <w:basedOn w:val="Normal"/>
    <w:qFormat/>
    <w:pPr>
      <w:suppressLineNumbers/>
      <w:tabs>
        <w:tab w:val="clear" w:pos="709"/>
        <w:tab w:val="center" w:pos="7285" w:leader="none"/>
        <w:tab w:val="right" w:pos="14570" w:leader="none"/>
      </w:tabs>
    </w:pPr>
    <w:rPr/>
  </w:style>
  <w:style w:type="paragraph" w:styleId="Cabealhoerodapuser">
    <w:name w:val="Cabeçalho e rodapé (user)"/>
    <w:basedOn w:val="Normal"/>
    <w:qFormat/>
    <w:pPr/>
    <w:rPr/>
  </w:style>
  <w:style w:type="paragraph" w:styleId="Header">
    <w:name w:val="header"/>
    <w:basedOn w:val="Cabealhoerodap"/>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svg"/><Relationship Id="rId4" Type="http://schemas.openxmlformats.org/officeDocument/2006/relationships/image" Target="media/image3.png"/><Relationship Id="rId5" Type="http://schemas.openxmlformats.org/officeDocument/2006/relationships/image" Target="media/image4.svg"/><Relationship Id="rId6" Type="http://schemas.openxmlformats.org/officeDocument/2006/relationships/image" Target="media/image5.png"/><Relationship Id="rId7" Type="http://schemas.openxmlformats.org/officeDocument/2006/relationships/image" Target="media/image6.svg"/><Relationship Id="rId8" Type="http://schemas.openxmlformats.org/officeDocument/2006/relationships/image" Target="media/image7.png"/><Relationship Id="rId9" Type="http://schemas.openxmlformats.org/officeDocument/2006/relationships/image" Target="media/image8.svg"/><Relationship Id="rId10" Type="http://schemas.openxmlformats.org/officeDocument/2006/relationships/image" Target="media/image9.png"/><Relationship Id="rId11" Type="http://schemas.openxmlformats.org/officeDocument/2006/relationships/image" Target="media/image10.svg"/><Relationship Id="rId12" Type="http://schemas.openxmlformats.org/officeDocument/2006/relationships/hyperlink" Target="https://doi.org/10.1107/S0021889892009944" TargetMode="Externa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339</TotalTime>
  <Application>LibreOffice/25.2.5.2$Linux_X86_64 LibreOffice_project/fb4792146257752f54eab576deb869869b108571</Application>
  <AppVersion>15.0000</AppVersion>
  <Pages>5</Pages>
  <Words>326</Words>
  <Characters>1782</Characters>
  <CharactersWithSpaces>2863</CharactersWithSpaces>
  <Paragraphs>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2025-06-24T12:55:42Z</dcterms:created>
  <dc:creator/>
  <dc:description/>
  <dc:language>pt-BR</dc:language>
  <cp:lastModifiedBy/>
  <dcterms:modified xsi:type="dcterms:W3CDTF">2025-07-17T17:25:47Z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file>