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59824" w14:textId="77777777" w:rsidR="005B7075" w:rsidRDefault="005B7075" w:rsidP="005B7075">
      <w:pPr>
        <w:pStyle w:val="normal11"/>
        <w:jc w:val="both"/>
        <w:rPr>
          <w:rFonts w:ascii="Times New Roman" w:hAnsi="Times New Roman"/>
        </w:rPr>
      </w:pPr>
      <w:r>
        <w:rPr>
          <w:rFonts w:ascii="Times New Roman" w:eastAsia="Times New Roman" w:hAnsi="Times New Roman" w:cs="Times New Roman"/>
          <w:b/>
          <w:sz w:val="24"/>
          <w:szCs w:val="24"/>
        </w:rPr>
        <w:t xml:space="preserve">Fig. S1 </w:t>
      </w:r>
      <w:r>
        <w:rPr>
          <w:rFonts w:ascii="Times New Roman" w:eastAsia="Times New Roman" w:hAnsi="Times New Roman" w:cs="Times New Roman"/>
          <w:sz w:val="24"/>
          <w:szCs w:val="24"/>
        </w:rPr>
        <w:t>Distribution of ANI values between the genomes used in the phylogeny and the genomes of the presented isolates and closely related species according to GTDB-tk.</w:t>
      </w:r>
    </w:p>
    <w:p w14:paraId="188A5D85" w14:textId="77777777" w:rsidR="005B7075" w:rsidRDefault="005B7075" w:rsidP="005B7075">
      <w:pPr>
        <w:pStyle w:val="normal11"/>
        <w:jc w:val="both"/>
        <w:rPr>
          <w:rFonts w:ascii="Times New Roman" w:hAnsi="Times New Roman"/>
        </w:rPr>
      </w:pPr>
      <w:r>
        <w:rPr>
          <w:rFonts w:ascii="Times New Roman" w:eastAsia="Times New Roman" w:hAnsi="Times New Roman" w:cs="Times New Roman"/>
          <w:b/>
          <w:sz w:val="24"/>
          <w:szCs w:val="24"/>
        </w:rPr>
        <w:t xml:space="preserve">Fig. S2 </w:t>
      </w:r>
      <w:r>
        <w:rPr>
          <w:rFonts w:ascii="Times New Roman" w:eastAsia="Times New Roman" w:hAnsi="Times New Roman" w:cs="Times New Roman"/>
          <w:sz w:val="24"/>
          <w:szCs w:val="24"/>
        </w:rPr>
        <w:t xml:space="preserve">In the center, the structure of the predicted class 2 bacteriocin for </w:t>
      </w:r>
      <w:r>
        <w:rPr>
          <w:rFonts w:ascii="Times New Roman" w:eastAsia="Times New Roman" w:hAnsi="Times New Roman" w:cs="Times New Roman"/>
          <w:i/>
          <w:sz w:val="24"/>
          <w:szCs w:val="24"/>
        </w:rPr>
        <w:t>E. lactis</w:t>
      </w:r>
      <w:r>
        <w:rPr>
          <w:rFonts w:ascii="Times New Roman" w:eastAsia="Times New Roman" w:hAnsi="Times New Roman" w:cs="Times New Roman"/>
          <w:sz w:val="24"/>
          <w:szCs w:val="24"/>
        </w:rPr>
        <w:t xml:space="preserve"> m3d (blue), modeled by AlphaFold, is compared with the experimental structure of enterocin HF obtained by NMR (nuclear magnetic resonance; PDB: 2N4K, yellow) and the predicted structure, also by AlphaFold, of mundticin (purple). At the top, the genomic location of the coding region in </w:t>
      </w:r>
      <w:r>
        <w:rPr>
          <w:rFonts w:ascii="Times New Roman" w:eastAsia="Times New Roman" w:hAnsi="Times New Roman" w:cs="Times New Roman"/>
          <w:i/>
          <w:sz w:val="24"/>
          <w:szCs w:val="24"/>
        </w:rPr>
        <w:t>E. lactis</w:t>
      </w:r>
      <w:r>
        <w:rPr>
          <w:rFonts w:ascii="Times New Roman" w:eastAsia="Times New Roman" w:hAnsi="Times New Roman" w:cs="Times New Roman"/>
          <w:sz w:val="24"/>
          <w:szCs w:val="24"/>
        </w:rPr>
        <w:t xml:space="preserve"> m3d is shown. At the bottom, the alignment of the three proteins highlights, in green, the experimentally characterized region of enterocin HF; yellow and purple boxes indicate residues shared with enterocin HF and mundticin, respectively.</w:t>
      </w:r>
    </w:p>
    <w:p w14:paraId="0F3272E3" w14:textId="77777777" w:rsidR="005B7075" w:rsidRDefault="005B7075" w:rsidP="005B7075">
      <w:pPr>
        <w:pStyle w:val="normal11"/>
        <w:jc w:val="both"/>
        <w:rPr>
          <w:rFonts w:ascii="Times New Roman" w:hAnsi="Times New Roman"/>
        </w:rPr>
      </w:pPr>
      <w:r>
        <w:rPr>
          <w:rFonts w:ascii="Times New Roman" w:eastAsia="Times New Roman" w:hAnsi="Times New Roman" w:cs="Times New Roman"/>
          <w:b/>
          <w:sz w:val="24"/>
          <w:szCs w:val="24"/>
        </w:rPr>
        <w:t xml:space="preserve">Fig. S3 </w:t>
      </w:r>
      <w:r>
        <w:rPr>
          <w:rFonts w:ascii="Times New Roman" w:eastAsia="Times New Roman" w:hAnsi="Times New Roman" w:cs="Times New Roman"/>
          <w:sz w:val="24"/>
          <w:szCs w:val="24"/>
        </w:rPr>
        <w:t xml:space="preserve">Alignment between the predicted enterocin HF from our </w:t>
      </w:r>
      <w:r>
        <w:rPr>
          <w:rFonts w:ascii="Times New Roman" w:eastAsia="Times New Roman" w:hAnsi="Times New Roman" w:cs="Times New Roman"/>
          <w:i/>
          <w:sz w:val="24"/>
          <w:szCs w:val="24"/>
        </w:rPr>
        <w:t>E. lactis</w:t>
      </w:r>
      <w:r>
        <w:rPr>
          <w:rFonts w:ascii="Times New Roman" w:eastAsia="Times New Roman" w:hAnsi="Times New Roman" w:cs="Times New Roman"/>
          <w:sz w:val="24"/>
          <w:szCs w:val="24"/>
        </w:rPr>
        <w:t xml:space="preserve"> isolate and other bacteriocins labeled as enterocins in the remaining genomes of the species. Sequences with more than two identical copies (i.e., 100% identical) were filtered out to improve image clarity.</w:t>
      </w:r>
    </w:p>
    <w:p w14:paraId="1D6E3174" w14:textId="77777777" w:rsidR="005B7075" w:rsidRDefault="005B7075" w:rsidP="005B7075">
      <w:pPr>
        <w:pStyle w:val="normal11"/>
        <w:jc w:val="both"/>
        <w:rPr>
          <w:rFonts w:ascii="Times New Roman" w:hAnsi="Times New Roman"/>
        </w:rPr>
      </w:pPr>
      <w:r>
        <w:rPr>
          <w:rFonts w:ascii="Times New Roman" w:eastAsia="Times New Roman" w:hAnsi="Times New Roman" w:cs="Times New Roman"/>
          <w:b/>
          <w:sz w:val="24"/>
          <w:szCs w:val="24"/>
        </w:rPr>
        <w:t>Fig. S4 (a)</w:t>
      </w:r>
      <w:r>
        <w:rPr>
          <w:rFonts w:ascii="Times New Roman" w:eastAsia="Times New Roman" w:hAnsi="Times New Roman" w:cs="Times New Roman"/>
          <w:sz w:val="24"/>
          <w:szCs w:val="24"/>
        </w:rPr>
        <w:t xml:space="preserve"> The distribution of gene counts in the genomes of</w:t>
      </w:r>
      <w:r>
        <w:rPr>
          <w:rFonts w:ascii="Times New Roman" w:eastAsia="Times New Roman" w:hAnsi="Times New Roman" w:cs="Times New Roman"/>
          <w:i/>
          <w:sz w:val="24"/>
          <w:szCs w:val="24"/>
        </w:rPr>
        <w:t xml:space="preserve"> L. agilis</w:t>
      </w:r>
      <w:r>
        <w:rPr>
          <w:rFonts w:ascii="Times New Roman" w:eastAsia="Times New Roman" w:hAnsi="Times New Roman" w:cs="Times New Roman"/>
          <w:sz w:val="24"/>
          <w:szCs w:val="24"/>
        </w:rPr>
        <w:t xml:space="preserve"> is shown in the upper graph, while the number of contigs per genome is displayed in the lower graph. Similarly, in </w:t>
      </w:r>
      <w:r>
        <w:rPr>
          <w:rFonts w:ascii="Times New Roman" w:eastAsia="Times New Roman" w:hAnsi="Times New Roman" w:cs="Times New Roman"/>
          <w:b/>
          <w:sz w:val="24"/>
          <w:szCs w:val="24"/>
        </w:rPr>
        <w:t>(b)</w:t>
      </w:r>
      <w:r>
        <w:rPr>
          <w:rFonts w:ascii="Times New Roman" w:eastAsia="Times New Roman" w:hAnsi="Times New Roman" w:cs="Times New Roman"/>
          <w:sz w:val="24"/>
          <w:szCs w:val="24"/>
        </w:rPr>
        <w:t xml:space="preserve">, the upper graph represents the distribution of gene counts in the genomes of </w:t>
      </w:r>
      <w:r>
        <w:rPr>
          <w:rFonts w:ascii="Times New Roman" w:eastAsia="Times New Roman" w:hAnsi="Times New Roman" w:cs="Times New Roman"/>
          <w:i/>
          <w:sz w:val="24"/>
          <w:szCs w:val="24"/>
        </w:rPr>
        <w:t>L. vaginalis</w:t>
      </w:r>
      <w:r>
        <w:rPr>
          <w:rFonts w:ascii="Times New Roman" w:eastAsia="Times New Roman" w:hAnsi="Times New Roman" w:cs="Times New Roman"/>
          <w:sz w:val="24"/>
          <w:szCs w:val="24"/>
        </w:rPr>
        <w:t>, whereas the lower graph illustrates the number of contigs per genome.</w:t>
      </w:r>
    </w:p>
    <w:p w14:paraId="276BF174" w14:textId="77777777" w:rsidR="005B7075" w:rsidRDefault="005B7075" w:rsidP="005B7075">
      <w:pPr>
        <w:pStyle w:val="normal11"/>
        <w:jc w:val="both"/>
        <w:rPr>
          <w:rFonts w:ascii="Times New Roman" w:hAnsi="Times New Roman"/>
        </w:rPr>
      </w:pPr>
      <w:r>
        <w:rPr>
          <w:rFonts w:ascii="Times New Roman" w:eastAsia="Times New Roman" w:hAnsi="Times New Roman" w:cs="Times New Roman"/>
          <w:b/>
          <w:color w:val="000000"/>
          <w:sz w:val="24"/>
          <w:szCs w:val="24"/>
        </w:rPr>
        <w:t xml:space="preserve">Figure S5 </w:t>
      </w:r>
      <w:r>
        <w:rPr>
          <w:rFonts w:ascii="Times New Roman" w:eastAsia="Times New Roman" w:hAnsi="Times New Roman" w:cs="Times New Roman"/>
          <w:color w:val="000000"/>
          <w:sz w:val="24"/>
          <w:szCs w:val="24"/>
        </w:rPr>
        <w:t>Ramachandran plots generated by PROCHECK from the SAVES v6.1 server for structural quality assessment of the modeled protein. The most favored regions are shown in red, additionally allowed regions in yellow, and marginally allowed regions in beige. The residues in the structure are represented by black dots.</w:t>
      </w:r>
    </w:p>
    <w:p w14:paraId="731ABF76" w14:textId="77777777" w:rsidR="005B7075" w:rsidRDefault="005B7075" w:rsidP="005B7075">
      <w:pPr>
        <w:pStyle w:val="normal11"/>
        <w:jc w:val="both"/>
        <w:rPr>
          <w:rFonts w:ascii="Times New Roman" w:hAnsi="Times New Roman"/>
        </w:rPr>
      </w:pPr>
      <w:r>
        <w:rPr>
          <w:rFonts w:ascii="Times New Roman" w:eastAsia="Times New Roman" w:hAnsi="Times New Roman" w:cs="Times New Roman"/>
          <w:sz w:val="24"/>
          <w:szCs w:val="24"/>
        </w:rPr>
        <w:t xml:space="preserve">                                             </w:t>
      </w:r>
    </w:p>
    <w:p w14:paraId="64300747" w14:textId="77777777" w:rsidR="005B7075" w:rsidRDefault="005B7075" w:rsidP="005B7075">
      <w:pPr>
        <w:pStyle w:val="normal11"/>
        <w:ind w:firstLine="720"/>
        <w:jc w:val="both"/>
        <w:rPr>
          <w:rFonts w:ascii="Times New Roman" w:eastAsia="Times New Roman" w:hAnsi="Times New Roman" w:cs="Times New Roman"/>
          <w:sz w:val="24"/>
          <w:szCs w:val="24"/>
        </w:rPr>
      </w:pPr>
    </w:p>
    <w:p w14:paraId="219420E9" w14:textId="77777777" w:rsidR="005B7075" w:rsidRDefault="005B7075" w:rsidP="005B7075">
      <w:pPr>
        <w:pStyle w:val="normal11"/>
        <w:jc w:val="both"/>
        <w:rPr>
          <w:rFonts w:ascii="Times New Roman" w:hAnsi="Times New Roman"/>
        </w:rPr>
      </w:pPr>
      <w:r>
        <w:rPr>
          <w:rFonts w:ascii="Times New Roman" w:eastAsia="Times New Roman" w:hAnsi="Times New Roman" w:cs="Times New Roman"/>
          <w:b/>
          <w:sz w:val="24"/>
          <w:szCs w:val="24"/>
        </w:rPr>
        <w:t xml:space="preserve">Table. S1 </w:t>
      </w:r>
      <w:r>
        <w:rPr>
          <w:rFonts w:ascii="Times New Roman" w:eastAsia="Times New Roman" w:hAnsi="Times New Roman" w:cs="Times New Roman"/>
          <w:sz w:val="24"/>
          <w:szCs w:val="24"/>
        </w:rPr>
        <w:t>List of genomes obtained from the RefSeq repository for comparative analyses with the sequenced isolates.</w:t>
      </w:r>
    </w:p>
    <w:p w14:paraId="4ABF569F" w14:textId="77777777" w:rsidR="005B7075" w:rsidRDefault="005B7075" w:rsidP="005B7075">
      <w:pPr>
        <w:pStyle w:val="normal11"/>
        <w:jc w:val="both"/>
        <w:rPr>
          <w:rFonts w:ascii="Times New Roman" w:hAnsi="Times New Roman"/>
        </w:rPr>
      </w:pPr>
      <w:r>
        <w:rPr>
          <w:rFonts w:ascii="Times New Roman" w:eastAsia="Times New Roman" w:hAnsi="Times New Roman" w:cs="Times New Roman"/>
          <w:b/>
          <w:sz w:val="24"/>
          <w:szCs w:val="24"/>
        </w:rPr>
        <w:t xml:space="preserve">Table. S2 </w:t>
      </w:r>
      <w:r>
        <w:rPr>
          <w:rFonts w:ascii="Times New Roman" w:eastAsia="Times New Roman" w:hAnsi="Times New Roman" w:cs="Times New Roman"/>
          <w:sz w:val="24"/>
          <w:szCs w:val="24"/>
        </w:rPr>
        <w:t>Genomic features of the sequenced isolates.</w:t>
      </w:r>
    </w:p>
    <w:p w14:paraId="296AF2A5" w14:textId="77777777" w:rsidR="005B7075" w:rsidRDefault="005B7075" w:rsidP="005B7075">
      <w:pPr>
        <w:pStyle w:val="normal11"/>
        <w:jc w:val="both"/>
        <w:rPr>
          <w:rFonts w:ascii="Times New Roman" w:hAnsi="Times New Roman"/>
        </w:rPr>
      </w:pPr>
      <w:r>
        <w:rPr>
          <w:rFonts w:ascii="Times New Roman" w:eastAsia="Times New Roman" w:hAnsi="Times New Roman" w:cs="Times New Roman"/>
          <w:b/>
          <w:sz w:val="24"/>
          <w:szCs w:val="24"/>
        </w:rPr>
        <w:t xml:space="preserve">Table. S3 </w:t>
      </w:r>
      <w:r>
        <w:rPr>
          <w:rFonts w:ascii="Times New Roman" w:eastAsia="Times New Roman" w:hAnsi="Times New Roman" w:cs="Times New Roman"/>
          <w:sz w:val="24"/>
          <w:szCs w:val="24"/>
        </w:rPr>
        <w:t>Comparison of gene presence and absence, identified using ABRICATE for the presented isolates, across the assembled RefSeq genomes.</w:t>
      </w:r>
    </w:p>
    <w:p w14:paraId="06EB7877" w14:textId="77777777" w:rsidR="005B7075" w:rsidRDefault="005B7075" w:rsidP="005B7075">
      <w:pPr>
        <w:pStyle w:val="normal11"/>
        <w:jc w:val="both"/>
        <w:rPr>
          <w:rFonts w:ascii="Times New Roman" w:hAnsi="Times New Roman"/>
        </w:rPr>
      </w:pPr>
      <w:r>
        <w:rPr>
          <w:rFonts w:ascii="Times New Roman" w:eastAsia="Times New Roman" w:hAnsi="Times New Roman" w:cs="Times New Roman"/>
          <w:b/>
          <w:sz w:val="24"/>
          <w:szCs w:val="24"/>
        </w:rPr>
        <w:t xml:space="preserve">Table. S4 </w:t>
      </w:r>
      <w:r>
        <w:rPr>
          <w:rFonts w:ascii="Times New Roman" w:eastAsia="Times New Roman" w:hAnsi="Times New Roman" w:cs="Times New Roman"/>
          <w:sz w:val="24"/>
          <w:szCs w:val="24"/>
        </w:rPr>
        <w:t>Predicted bacteriocins in the consulted RefSeq genomes.</w:t>
      </w:r>
    </w:p>
    <w:p w14:paraId="12791C83" w14:textId="77777777" w:rsidR="005B7075" w:rsidRDefault="005B7075" w:rsidP="005B7075">
      <w:pPr>
        <w:pStyle w:val="normal11"/>
        <w:jc w:val="both"/>
        <w:rPr>
          <w:rFonts w:ascii="Times New Roman" w:hAnsi="Times New Roman"/>
        </w:rPr>
      </w:pPr>
      <w:r>
        <w:rPr>
          <w:rFonts w:ascii="Times New Roman" w:eastAsia="Times New Roman" w:hAnsi="Times New Roman" w:cs="Times New Roman"/>
          <w:b/>
          <w:sz w:val="24"/>
          <w:szCs w:val="24"/>
        </w:rPr>
        <w:t xml:space="preserve">Table. S5 </w:t>
      </w:r>
      <w:r>
        <w:rPr>
          <w:rFonts w:ascii="Times New Roman" w:eastAsia="Times New Roman" w:hAnsi="Times New Roman" w:cs="Times New Roman"/>
          <w:sz w:val="24"/>
          <w:szCs w:val="24"/>
        </w:rPr>
        <w:t xml:space="preserve">Identity and coverage values for the alignments of sequences predicted as enterolysin A in the RefSeq genomes of </w:t>
      </w:r>
      <w:r>
        <w:rPr>
          <w:rFonts w:ascii="Times New Roman" w:eastAsia="Times New Roman" w:hAnsi="Times New Roman" w:cs="Times New Roman"/>
          <w:i/>
          <w:sz w:val="24"/>
          <w:szCs w:val="24"/>
        </w:rPr>
        <w:t>E. lactis</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L. reuteri</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L. vaginalis</w:t>
      </w:r>
      <w:r>
        <w:rPr>
          <w:rFonts w:ascii="Times New Roman" w:eastAsia="Times New Roman" w:hAnsi="Times New Roman" w:cs="Times New Roman"/>
          <w:sz w:val="24"/>
          <w:szCs w:val="24"/>
        </w:rPr>
        <w:t>, along with the reference sequence of this bacteriocin (Q9F8B0/WP_002391269.1).</w:t>
      </w:r>
    </w:p>
    <w:p w14:paraId="4B4798AB" w14:textId="77777777" w:rsidR="005B7075" w:rsidRDefault="005B7075" w:rsidP="005B7075">
      <w:pPr>
        <w:pStyle w:val="normal11"/>
        <w:jc w:val="both"/>
        <w:rPr>
          <w:rFonts w:ascii="Times New Roman" w:hAnsi="Times New Roman"/>
        </w:rPr>
      </w:pPr>
      <w:r>
        <w:rPr>
          <w:rFonts w:ascii="Times New Roman" w:eastAsia="Times New Roman" w:hAnsi="Times New Roman" w:cs="Times New Roman"/>
          <w:b/>
          <w:sz w:val="24"/>
          <w:szCs w:val="24"/>
        </w:rPr>
        <w:t xml:space="preserve">Table. S6 </w:t>
      </w:r>
      <w:r>
        <w:rPr>
          <w:rFonts w:ascii="Times New Roman" w:eastAsia="Times New Roman" w:hAnsi="Times New Roman" w:cs="Times New Roman"/>
          <w:sz w:val="24"/>
          <w:szCs w:val="24"/>
        </w:rPr>
        <w:t xml:space="preserve">Filtered predictions for mundticin in the remaining </w:t>
      </w:r>
      <w:r>
        <w:rPr>
          <w:rFonts w:ascii="Times New Roman" w:eastAsia="Times New Roman" w:hAnsi="Times New Roman" w:cs="Times New Roman"/>
          <w:i/>
          <w:sz w:val="24"/>
          <w:szCs w:val="24"/>
        </w:rPr>
        <w:t>E. lactis</w:t>
      </w:r>
      <w:r>
        <w:rPr>
          <w:rFonts w:ascii="Times New Roman" w:eastAsia="Times New Roman" w:hAnsi="Times New Roman" w:cs="Times New Roman"/>
          <w:sz w:val="24"/>
          <w:szCs w:val="24"/>
        </w:rPr>
        <w:t xml:space="preserve"> genomes.</w:t>
      </w:r>
    </w:p>
    <w:p w14:paraId="14B8B21D" w14:textId="77777777" w:rsidR="005B7075" w:rsidRDefault="005B7075" w:rsidP="005B7075">
      <w:pPr>
        <w:pStyle w:val="normal11"/>
        <w:jc w:val="both"/>
        <w:rPr>
          <w:rFonts w:ascii="Times New Roman" w:hAnsi="Times New Roman"/>
        </w:rPr>
      </w:pPr>
      <w:r>
        <w:rPr>
          <w:rFonts w:ascii="Times New Roman" w:eastAsia="Times New Roman" w:hAnsi="Times New Roman" w:cs="Times New Roman"/>
          <w:b/>
          <w:sz w:val="24"/>
          <w:szCs w:val="24"/>
        </w:rPr>
        <w:t xml:space="preserve">Table. S7 </w:t>
      </w:r>
      <w:r>
        <w:rPr>
          <w:rFonts w:ascii="Times New Roman" w:eastAsia="Times New Roman" w:hAnsi="Times New Roman" w:cs="Times New Roman"/>
          <w:sz w:val="24"/>
          <w:szCs w:val="24"/>
        </w:rPr>
        <w:t>Distribution of predicted CAZy terms for the sequenced isolates.</w:t>
      </w:r>
    </w:p>
    <w:p w14:paraId="0C95BBC9" w14:textId="77777777" w:rsidR="005B7075" w:rsidRDefault="005B7075" w:rsidP="005B7075">
      <w:pPr>
        <w:pStyle w:val="normal11"/>
        <w:jc w:val="both"/>
        <w:rPr>
          <w:rFonts w:ascii="Times New Roman" w:hAnsi="Times New Roman"/>
        </w:rPr>
      </w:pPr>
      <w:r>
        <w:rPr>
          <w:rFonts w:ascii="Times New Roman" w:eastAsia="Times New Roman" w:hAnsi="Times New Roman" w:cs="Times New Roman"/>
          <w:b/>
          <w:sz w:val="24"/>
          <w:szCs w:val="24"/>
        </w:rPr>
        <w:t xml:space="preserve">Table. S8 </w:t>
      </w:r>
      <w:r>
        <w:rPr>
          <w:rFonts w:ascii="Times New Roman" w:eastAsia="Times New Roman" w:hAnsi="Times New Roman" w:cs="Times New Roman"/>
          <w:sz w:val="24"/>
          <w:szCs w:val="24"/>
        </w:rPr>
        <w:t>List of protein domains searched to confirm the performed functional annotations.</w:t>
      </w:r>
    </w:p>
    <w:p w14:paraId="6751B8CD" w14:textId="77777777" w:rsidR="005B7075" w:rsidRDefault="005B7075" w:rsidP="005B7075">
      <w:pPr>
        <w:pStyle w:val="normal11"/>
        <w:jc w:val="both"/>
        <w:rPr>
          <w:rFonts w:ascii="Times New Roman" w:hAnsi="Times New Roman"/>
        </w:rPr>
      </w:pPr>
      <w:r>
        <w:rPr>
          <w:rFonts w:ascii="Times New Roman" w:eastAsia="Times New Roman" w:hAnsi="Times New Roman" w:cs="Times New Roman"/>
          <w:b/>
          <w:sz w:val="24"/>
          <w:szCs w:val="24"/>
        </w:rPr>
        <w:t xml:space="preserve">Table. S9 </w:t>
      </w:r>
      <w:r>
        <w:rPr>
          <w:rFonts w:ascii="Times New Roman" w:eastAsia="Times New Roman" w:hAnsi="Times New Roman" w:cs="Times New Roman"/>
          <w:sz w:val="24"/>
          <w:szCs w:val="24"/>
        </w:rPr>
        <w:t xml:space="preserve">Domains shared among the protein sequences used for structural modeling of the metabolic pathways involved in raffinose metabolism in </w:t>
      </w:r>
      <w:r>
        <w:rPr>
          <w:rFonts w:ascii="Times New Roman" w:eastAsia="Times New Roman" w:hAnsi="Times New Roman" w:cs="Times New Roman"/>
          <w:i/>
          <w:sz w:val="24"/>
          <w:szCs w:val="24"/>
        </w:rPr>
        <w:t>L. agilis</w:t>
      </w:r>
      <w:r>
        <w:rPr>
          <w:rFonts w:ascii="Times New Roman" w:eastAsia="Times New Roman" w:hAnsi="Times New Roman" w:cs="Times New Roman"/>
          <w:sz w:val="24"/>
          <w:szCs w:val="24"/>
        </w:rPr>
        <w:t xml:space="preserve"> and pectin metabolism in </w:t>
      </w:r>
      <w:r>
        <w:rPr>
          <w:rFonts w:ascii="Times New Roman" w:eastAsia="Times New Roman" w:hAnsi="Times New Roman" w:cs="Times New Roman"/>
          <w:i/>
          <w:sz w:val="24"/>
          <w:szCs w:val="24"/>
        </w:rPr>
        <w:t>E. lactis</w:t>
      </w:r>
      <w:r>
        <w:rPr>
          <w:rFonts w:ascii="Times New Roman" w:eastAsia="Times New Roman" w:hAnsi="Times New Roman" w:cs="Times New Roman"/>
          <w:sz w:val="24"/>
          <w:szCs w:val="24"/>
        </w:rPr>
        <w:t>.</w:t>
      </w:r>
    </w:p>
    <w:p w14:paraId="76DED585"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075"/>
    <w:rsid w:val="00011C58"/>
    <w:rsid w:val="0006021D"/>
    <w:rsid w:val="00331A6B"/>
    <w:rsid w:val="005B7075"/>
    <w:rsid w:val="00755780"/>
    <w:rsid w:val="00857596"/>
    <w:rsid w:val="00C025DD"/>
    <w:rsid w:val="00D578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B1304"/>
  <w15:chartTrackingRefBased/>
  <w15:docId w15:val="{9858DF8B-0B1D-44D2-B228-14EB4F423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70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70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70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70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70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70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70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70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70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70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70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70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70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70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70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70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70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7075"/>
    <w:rPr>
      <w:rFonts w:eastAsiaTheme="majorEastAsia" w:cstheme="majorBidi"/>
      <w:color w:val="272727" w:themeColor="text1" w:themeTint="D8"/>
    </w:rPr>
  </w:style>
  <w:style w:type="paragraph" w:styleId="Title">
    <w:name w:val="Title"/>
    <w:basedOn w:val="Normal"/>
    <w:next w:val="Normal"/>
    <w:link w:val="TitleChar"/>
    <w:uiPriority w:val="10"/>
    <w:qFormat/>
    <w:rsid w:val="005B70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70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70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70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7075"/>
    <w:pPr>
      <w:spacing w:before="160"/>
      <w:jc w:val="center"/>
    </w:pPr>
    <w:rPr>
      <w:i/>
      <w:iCs/>
      <w:color w:val="404040" w:themeColor="text1" w:themeTint="BF"/>
    </w:rPr>
  </w:style>
  <w:style w:type="character" w:customStyle="1" w:styleId="QuoteChar">
    <w:name w:val="Quote Char"/>
    <w:basedOn w:val="DefaultParagraphFont"/>
    <w:link w:val="Quote"/>
    <w:uiPriority w:val="29"/>
    <w:rsid w:val="005B7075"/>
    <w:rPr>
      <w:i/>
      <w:iCs/>
      <w:color w:val="404040" w:themeColor="text1" w:themeTint="BF"/>
    </w:rPr>
  </w:style>
  <w:style w:type="paragraph" w:styleId="ListParagraph">
    <w:name w:val="List Paragraph"/>
    <w:basedOn w:val="Normal"/>
    <w:uiPriority w:val="34"/>
    <w:qFormat/>
    <w:rsid w:val="005B7075"/>
    <w:pPr>
      <w:ind w:left="720"/>
      <w:contextualSpacing/>
    </w:pPr>
  </w:style>
  <w:style w:type="character" w:styleId="IntenseEmphasis">
    <w:name w:val="Intense Emphasis"/>
    <w:basedOn w:val="DefaultParagraphFont"/>
    <w:uiPriority w:val="21"/>
    <w:qFormat/>
    <w:rsid w:val="005B7075"/>
    <w:rPr>
      <w:i/>
      <w:iCs/>
      <w:color w:val="0F4761" w:themeColor="accent1" w:themeShade="BF"/>
    </w:rPr>
  </w:style>
  <w:style w:type="paragraph" w:styleId="IntenseQuote">
    <w:name w:val="Intense Quote"/>
    <w:basedOn w:val="Normal"/>
    <w:next w:val="Normal"/>
    <w:link w:val="IntenseQuoteChar"/>
    <w:uiPriority w:val="30"/>
    <w:qFormat/>
    <w:rsid w:val="005B70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7075"/>
    <w:rPr>
      <w:i/>
      <w:iCs/>
      <w:color w:val="0F4761" w:themeColor="accent1" w:themeShade="BF"/>
    </w:rPr>
  </w:style>
  <w:style w:type="character" w:styleId="IntenseReference">
    <w:name w:val="Intense Reference"/>
    <w:basedOn w:val="DefaultParagraphFont"/>
    <w:uiPriority w:val="32"/>
    <w:qFormat/>
    <w:rsid w:val="005B7075"/>
    <w:rPr>
      <w:b/>
      <w:bCs/>
      <w:smallCaps/>
      <w:color w:val="0F4761" w:themeColor="accent1" w:themeShade="BF"/>
      <w:spacing w:val="5"/>
    </w:rPr>
  </w:style>
  <w:style w:type="paragraph" w:customStyle="1" w:styleId="normal11">
    <w:name w:val="normal11"/>
    <w:qFormat/>
    <w:rsid w:val="005B7075"/>
    <w:pPr>
      <w:suppressAutoHyphens/>
      <w:spacing w:after="0" w:line="276" w:lineRule="auto"/>
    </w:pPr>
    <w:rPr>
      <w:rFonts w:ascii="Arial" w:eastAsia="Arial" w:hAnsi="Arial" w:cs="Arial"/>
      <w:kern w:val="0"/>
      <w:sz w:val="22"/>
      <w:szCs w:val="22"/>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425</Words>
  <Characters>2428</Characters>
  <Application>Microsoft Office Word</Application>
  <DocSecurity>0</DocSecurity>
  <Lines>20</Lines>
  <Paragraphs>5</Paragraphs>
  <ScaleCrop>false</ScaleCrop>
  <Company>Springer Nature</Company>
  <LinksUpToDate>false</LinksUpToDate>
  <CharactersWithSpaces>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2025-08-12T11:00:00Z</dcterms:created>
  <dcterms:modified xsi:type="dcterms:W3CDTF">2025-08-12T11:00:00Z</dcterms:modified>
</cp:coreProperties>
</file>