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A52210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Supplementary Figure</w:t>
      </w:r>
    </w:p>
    <w:p w14:paraId="0A18B3BB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4294505" cy="3029585"/>
            <wp:effectExtent l="0" t="0" r="0" b="0"/>
            <wp:docPr id="1537971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7106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2009" cy="30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0B3C068">
      <w:pPr>
        <w:pStyle w:val="2"/>
        <w:rPr>
          <w:rFonts w:ascii="Times New Roman" w:hAnsi="Times New Roman"/>
          <w:sz w:val="24"/>
          <w:szCs w:val="24"/>
        </w:rPr>
      </w:pPr>
      <w:bookmarkStart w:id="0" w:name="_Hlk177577953"/>
      <w:bookmarkEnd w:id="0"/>
      <w:r>
        <w:rPr>
          <w:rFonts w:ascii="Times New Roman" w:hAnsi="Times New Roman"/>
          <w:b/>
          <w:bCs/>
          <w:sz w:val="24"/>
          <w:szCs w:val="24"/>
        </w:rPr>
        <w:t>Supplementary Figure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 </w:t>
      </w:r>
      <w:bookmarkStart w:id="7" w:name="_GoBack"/>
      <w:bookmarkEnd w:id="7"/>
      <w:r>
        <w:rPr>
          <w:rFonts w:ascii="Times New Roman" w:hAnsi="Times New Roman"/>
          <w:b/>
          <w:bCs/>
          <w:sz w:val="24"/>
          <w:szCs w:val="24"/>
        </w:rPr>
        <w:t xml:space="preserve">S1 </w:t>
      </w:r>
      <w:r>
        <w:rPr>
          <w:rFonts w:ascii="Times New Roman" w:hAnsi="Times New Roman"/>
          <w:sz w:val="24"/>
          <w:szCs w:val="24"/>
        </w:rPr>
        <w:t>The Kaplan-Meier survival curves for overall survival in rectal cancer patients from the training cohort and the validation cohort</w:t>
      </w:r>
      <w:r>
        <w:rPr>
          <w:rFonts w:hint="eastAsia"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AE94DD1">
      <w:pPr>
        <w:rPr>
          <w:rFonts w:hint="eastAsia"/>
        </w:rPr>
      </w:pPr>
      <w:r>
        <w:rPr>
          <w:rFonts w:hint="eastAsia"/>
        </w:rPr>
        <w:t xml:space="preserve"> </w:t>
      </w:r>
    </w:p>
    <w:p w14:paraId="235B2478">
      <w:pPr>
        <w:rPr>
          <w:rFonts w:ascii="Times New Roman" w:hAnsi="Times New Roman" w:eastAsia="宋体"/>
          <w:b/>
          <w:bCs/>
          <w:sz w:val="20"/>
          <w:szCs w:val="20"/>
        </w:rPr>
      </w:pPr>
      <w:r>
        <w:rPr>
          <w:rFonts w:hint="eastAsia"/>
        </w:rPr>
        <w:drawing>
          <wp:inline distT="0" distB="0" distL="0" distR="0">
            <wp:extent cx="2953385" cy="2015490"/>
            <wp:effectExtent l="0" t="0" r="0" b="0"/>
            <wp:docPr id="15515522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2257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642" cy="20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b/>
          <w:bCs/>
          <w:sz w:val="20"/>
          <w:szCs w:val="20"/>
        </w:rPr>
        <w:t xml:space="preserve"> </w:t>
      </w:r>
      <w:r>
        <w:rPr>
          <w:rFonts w:ascii="Times New Roman" w:hAnsi="Times New Roman" w:eastAsia="宋体"/>
          <w:b/>
          <w:bCs/>
          <w:sz w:val="20"/>
          <w:szCs w:val="20"/>
        </w:rPr>
        <w:drawing>
          <wp:inline distT="0" distB="0" distL="0" distR="0">
            <wp:extent cx="2929255" cy="2018030"/>
            <wp:effectExtent l="0" t="0" r="0" b="0"/>
            <wp:docPr id="16232306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3064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939" cy="20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C564">
      <w:pPr>
        <w:ind w:firstLine="2520" w:firstLineChars="1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(</w:t>
      </w:r>
      <w:r>
        <w:rPr>
          <w:rFonts w:ascii="Times New Roman" w:hAnsi="Times New Roman" w:eastAsia="宋体"/>
          <w:b/>
          <w:bCs/>
        </w:rPr>
        <w:t>A</w:t>
      </w:r>
      <w:r>
        <w:rPr>
          <w:rFonts w:ascii="Times New Roman" w:hAnsi="Times New Roman" w:eastAsia="宋体"/>
        </w:rPr>
        <w:t xml:space="preserve">)                                         </w:t>
      </w:r>
      <w:r>
        <w:rPr>
          <w:rFonts w:hint="eastAsia" w:ascii="Times New Roman" w:hAnsi="Times New Roman" w:eastAsia="宋体"/>
        </w:rPr>
        <w:t xml:space="preserve">                                            </w:t>
      </w:r>
      <w:r>
        <w:rPr>
          <w:rFonts w:ascii="Times New Roman" w:hAnsi="Times New Roman" w:eastAsia="宋体"/>
        </w:rPr>
        <w:t xml:space="preserve">  (</w:t>
      </w:r>
      <w:r>
        <w:rPr>
          <w:rFonts w:ascii="Times New Roman" w:hAnsi="Times New Roman" w:eastAsia="宋体"/>
          <w:b/>
          <w:bCs/>
        </w:rPr>
        <w:t>B</w:t>
      </w:r>
      <w:r>
        <w:rPr>
          <w:rFonts w:ascii="Times New Roman" w:hAnsi="Times New Roman" w:eastAsia="宋体"/>
        </w:rPr>
        <w:t>)</w:t>
      </w:r>
    </w:p>
    <w:p w14:paraId="6BAB773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2989580" cy="2110740"/>
            <wp:effectExtent l="0" t="0" r="0" b="0"/>
            <wp:docPr id="12982113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11322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899" cy="212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989580" cy="2109470"/>
            <wp:effectExtent l="0" t="0" r="0" b="0"/>
            <wp:docPr id="1732505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050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858" cy="21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D2B2">
      <w:pPr>
        <w:ind w:firstLine="2520" w:firstLineChars="1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(</w:t>
      </w:r>
      <w:r>
        <w:rPr>
          <w:rFonts w:ascii="Times New Roman" w:hAnsi="Times New Roman" w:eastAsia="宋体"/>
          <w:b/>
          <w:bCs/>
        </w:rPr>
        <w:t>C</w:t>
      </w:r>
      <w:r>
        <w:rPr>
          <w:rFonts w:ascii="Times New Roman" w:hAnsi="Times New Roman" w:eastAsia="宋体"/>
        </w:rPr>
        <w:t xml:space="preserve">)                         </w:t>
      </w:r>
      <w:r>
        <w:rPr>
          <w:rFonts w:hint="eastAsia" w:ascii="Times New Roman" w:hAnsi="Times New Roman" w:eastAsia="宋体"/>
        </w:rPr>
        <w:t xml:space="preserve">                                           </w:t>
      </w:r>
      <w:r>
        <w:rPr>
          <w:rFonts w:ascii="Times New Roman" w:hAnsi="Times New Roman" w:eastAsia="宋体"/>
        </w:rPr>
        <w:t xml:space="preserve">                     (</w:t>
      </w:r>
      <w:r>
        <w:rPr>
          <w:rFonts w:ascii="Times New Roman" w:hAnsi="Times New Roman" w:eastAsia="宋体"/>
          <w:b/>
          <w:bCs/>
        </w:rPr>
        <w:t>D</w:t>
      </w:r>
      <w:r>
        <w:rPr>
          <w:rFonts w:ascii="Times New Roman" w:hAnsi="Times New Roman" w:eastAsia="宋体"/>
        </w:rPr>
        <w:t>)</w:t>
      </w:r>
    </w:p>
    <w:p w14:paraId="6987B12E">
      <w:pPr>
        <w:pStyle w:val="2"/>
        <w:rPr>
          <w:rFonts w:ascii="Times New Roman" w:hAnsi="Times New Roman"/>
          <w:sz w:val="24"/>
          <w:szCs w:val="24"/>
        </w:rPr>
      </w:pPr>
      <w:bookmarkStart w:id="1" w:name="_Ref177675543"/>
      <w:bookmarkEnd w:id="1"/>
      <w:r>
        <w:rPr>
          <w:rFonts w:ascii="Times New Roman" w:hAnsi="Times New Roman"/>
          <w:b/>
          <w:bCs/>
          <w:sz w:val="24"/>
          <w:szCs w:val="24"/>
        </w:rPr>
        <w:t>Supplementary Figure S2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Cut-off of NLR (A), PLR (B), MLR(C) and ICPI(D) in patients with rectal cancer.</w:t>
      </w:r>
    </w:p>
    <w:p w14:paraId="15A52C99">
      <w:pPr>
        <w:rPr>
          <w:rFonts w:hint="eastAsia"/>
        </w:rPr>
      </w:pPr>
      <w:r>
        <w:rPr>
          <w:rFonts w:hint="eastAsia"/>
        </w:rPr>
        <w:t xml:space="preserve"> </w:t>
      </w:r>
    </w:p>
    <w:p w14:paraId="7CAC98D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2122805" cy="2122805"/>
            <wp:effectExtent l="0" t="0" r="0" b="0"/>
            <wp:docPr id="11499972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97243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452" cy="215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14550" cy="2120900"/>
            <wp:effectExtent l="0" t="0" r="0" b="0"/>
            <wp:docPr id="18044336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33604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373" cy="21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146300" cy="2150745"/>
            <wp:effectExtent l="0" t="0" r="0" b="0"/>
            <wp:docPr id="19800841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84179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380" cy="21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215E">
      <w:pPr>
        <w:ind w:firstLine="1600" w:firstLineChars="800"/>
        <w:rPr>
          <w:rFonts w:ascii="Times New Roman" w:hAnsi="Times New Roman" w:eastAsia="宋体"/>
          <w:sz w:val="20"/>
          <w:szCs w:val="20"/>
        </w:rPr>
      </w:pPr>
      <w:r>
        <w:rPr>
          <w:rFonts w:ascii="Times New Roman" w:hAnsi="Times New Roman" w:eastAsia="宋体"/>
          <w:sz w:val="20"/>
          <w:szCs w:val="20"/>
        </w:rPr>
        <w:t>(</w:t>
      </w:r>
      <w:r>
        <w:rPr>
          <w:rFonts w:ascii="Times New Roman" w:hAnsi="Times New Roman" w:eastAsia="宋体"/>
          <w:b/>
          <w:bCs/>
          <w:sz w:val="20"/>
          <w:szCs w:val="20"/>
        </w:rPr>
        <w:t>A</w:t>
      </w:r>
      <w:r>
        <w:rPr>
          <w:rFonts w:ascii="Times New Roman" w:hAnsi="Times New Roman" w:eastAsia="宋体"/>
          <w:sz w:val="20"/>
          <w:szCs w:val="20"/>
        </w:rPr>
        <w:t xml:space="preserve">)       </w:t>
      </w:r>
      <w:r>
        <w:rPr>
          <w:rFonts w:hint="eastAsia" w:ascii="Times New Roman" w:hAnsi="Times New Roman" w:eastAsia="宋体"/>
          <w:sz w:val="20"/>
          <w:szCs w:val="20"/>
        </w:rPr>
        <w:t xml:space="preserve">                              </w:t>
      </w:r>
      <w:r>
        <w:rPr>
          <w:rFonts w:ascii="Times New Roman" w:hAnsi="Times New Roman" w:eastAsia="宋体"/>
          <w:sz w:val="20"/>
          <w:szCs w:val="20"/>
        </w:rPr>
        <w:t xml:space="preserve">                  </w:t>
      </w:r>
      <w:r>
        <w:rPr>
          <w:rFonts w:hint="eastAsia" w:ascii="Times New Roman" w:hAnsi="Times New Roman" w:eastAsia="宋体"/>
          <w:sz w:val="20"/>
          <w:szCs w:val="20"/>
        </w:rPr>
        <w:t xml:space="preserve"> </w:t>
      </w:r>
      <w:r>
        <w:rPr>
          <w:rFonts w:ascii="Times New Roman" w:hAnsi="Times New Roman" w:eastAsia="宋体"/>
          <w:sz w:val="20"/>
          <w:szCs w:val="20"/>
        </w:rPr>
        <w:t xml:space="preserve">      (</w:t>
      </w:r>
      <w:r>
        <w:rPr>
          <w:rFonts w:ascii="Times New Roman" w:hAnsi="Times New Roman" w:eastAsia="宋体"/>
          <w:b/>
          <w:bCs/>
          <w:sz w:val="20"/>
          <w:szCs w:val="20"/>
        </w:rPr>
        <w:t>B</w:t>
      </w:r>
      <w:r>
        <w:rPr>
          <w:rFonts w:ascii="Times New Roman" w:hAnsi="Times New Roman" w:eastAsia="宋体"/>
          <w:sz w:val="20"/>
          <w:szCs w:val="20"/>
        </w:rPr>
        <w:t xml:space="preserve">)                          </w:t>
      </w:r>
      <w:r>
        <w:rPr>
          <w:rFonts w:hint="eastAsia" w:ascii="Times New Roman" w:hAnsi="Times New Roman" w:eastAsia="宋体"/>
          <w:sz w:val="20"/>
          <w:szCs w:val="20"/>
        </w:rPr>
        <w:t xml:space="preserve">                            </w:t>
      </w:r>
      <w:r>
        <w:rPr>
          <w:rFonts w:ascii="Times New Roman" w:hAnsi="Times New Roman" w:eastAsia="宋体"/>
          <w:sz w:val="20"/>
          <w:szCs w:val="20"/>
        </w:rPr>
        <w:t xml:space="preserve">     (</w:t>
      </w:r>
      <w:r>
        <w:rPr>
          <w:rFonts w:ascii="Times New Roman" w:hAnsi="Times New Roman" w:eastAsia="宋体"/>
          <w:b/>
          <w:bCs/>
          <w:sz w:val="20"/>
          <w:szCs w:val="20"/>
        </w:rPr>
        <w:t>C</w:t>
      </w:r>
      <w:r>
        <w:rPr>
          <w:rFonts w:ascii="Times New Roman" w:hAnsi="Times New Roman" w:eastAsia="宋体"/>
          <w:sz w:val="20"/>
          <w:szCs w:val="20"/>
        </w:rPr>
        <w:t>)</w:t>
      </w:r>
    </w:p>
    <w:p w14:paraId="0319C6EE">
      <w:pPr>
        <w:pStyle w:val="2"/>
        <w:rPr>
          <w:rFonts w:ascii="Times New Roman" w:hAnsi="Times New Roman"/>
          <w:sz w:val="24"/>
          <w:szCs w:val="24"/>
        </w:rPr>
      </w:pPr>
      <w:bookmarkStart w:id="2" w:name="_Ref177675801"/>
      <w:bookmarkEnd w:id="2"/>
      <w:r>
        <w:rPr>
          <w:rFonts w:ascii="Times New Roman" w:hAnsi="Times New Roman"/>
          <w:b/>
          <w:bCs/>
          <w:sz w:val="24"/>
          <w:szCs w:val="24"/>
        </w:rPr>
        <w:t xml:space="preserve">Supplementary Figure S3 </w:t>
      </w:r>
      <w:r>
        <w:rPr>
          <w:rFonts w:hint="eastAsia" w:ascii="Times New Roman" w:hAnsi="Times New Roman"/>
          <w:sz w:val="24"/>
          <w:szCs w:val="24"/>
        </w:rPr>
        <w:t>The nomogram ROC curves for predicting 1- (A), 3- (B), and 5 (C) OS in patients with rectal cancer in the training cohort.</w:t>
      </w:r>
    </w:p>
    <w:p w14:paraId="0EF13948">
      <w:pPr>
        <w:rPr>
          <w:rFonts w:hint="eastAsia"/>
        </w:rPr>
      </w:pPr>
      <w:r>
        <w:rPr>
          <w:rFonts w:hint="eastAsia"/>
        </w:rPr>
        <w:t xml:space="preserve"> </w:t>
      </w:r>
    </w:p>
    <w:p w14:paraId="572F481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3009265" cy="2714625"/>
            <wp:effectExtent l="0" t="0" r="0" b="0"/>
            <wp:docPr id="17024237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23772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7877" cy="27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3259455" cy="2738755"/>
            <wp:effectExtent l="0" t="0" r="0" b="0"/>
            <wp:docPr id="2099137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3784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794" cy="274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748A">
      <w:pPr>
        <w:ind w:firstLine="2520" w:firstLineChars="1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(</w:t>
      </w:r>
      <w:r>
        <w:rPr>
          <w:rFonts w:ascii="Times New Roman" w:hAnsi="Times New Roman" w:eastAsia="宋体"/>
          <w:b/>
          <w:bCs/>
        </w:rPr>
        <w:t>A</w:t>
      </w:r>
      <w:r>
        <w:rPr>
          <w:rFonts w:ascii="Times New Roman" w:hAnsi="Times New Roman" w:eastAsia="宋体"/>
        </w:rPr>
        <w:t xml:space="preserve">)                                         </w:t>
      </w:r>
      <w:r>
        <w:rPr>
          <w:rFonts w:hint="eastAsia" w:ascii="Times New Roman" w:hAnsi="Times New Roman" w:eastAsia="宋体"/>
        </w:rPr>
        <w:t xml:space="preserve">                                            </w:t>
      </w:r>
      <w:r>
        <w:rPr>
          <w:rFonts w:ascii="Times New Roman" w:hAnsi="Times New Roman" w:eastAsia="宋体"/>
        </w:rPr>
        <w:t xml:space="preserve">  (</w:t>
      </w:r>
      <w:r>
        <w:rPr>
          <w:rFonts w:ascii="Times New Roman" w:hAnsi="Times New Roman" w:eastAsia="宋体"/>
          <w:b/>
          <w:bCs/>
        </w:rPr>
        <w:t>B</w:t>
      </w:r>
      <w:r>
        <w:rPr>
          <w:rFonts w:ascii="Times New Roman" w:hAnsi="Times New Roman" w:eastAsia="宋体"/>
        </w:rPr>
        <w:t>)</w:t>
      </w:r>
    </w:p>
    <w:p w14:paraId="493FAD18">
      <w:pPr>
        <w:pStyle w:val="2"/>
        <w:rPr>
          <w:rFonts w:ascii="Times New Roman" w:hAnsi="Times New Roman"/>
          <w:sz w:val="24"/>
          <w:szCs w:val="24"/>
        </w:rPr>
      </w:pPr>
      <w:bookmarkStart w:id="3" w:name="_Ref177675967"/>
      <w:bookmarkEnd w:id="3"/>
      <w:r>
        <w:rPr>
          <w:rFonts w:ascii="Times New Roman" w:hAnsi="Times New Roman"/>
          <w:b/>
          <w:bCs/>
          <w:sz w:val="24"/>
          <w:szCs w:val="24"/>
        </w:rPr>
        <w:t xml:space="preserve">Supplementary Figure S4 </w:t>
      </w:r>
      <w:r>
        <w:rPr>
          <w:rFonts w:hint="eastAsia" w:ascii="Times New Roman" w:hAnsi="Times New Roman"/>
          <w:sz w:val="24"/>
          <w:szCs w:val="24"/>
        </w:rPr>
        <w:t>The time-dependent ROC curves in the training(A) and validation(B) cohorts.</w:t>
      </w:r>
    </w:p>
    <w:p w14:paraId="2AE05F31"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038350" cy="1628775"/>
            <wp:effectExtent l="0" t="0" r="0" b="0"/>
            <wp:docPr id="18965130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13085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531" cy="16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054860" cy="1628140"/>
            <wp:effectExtent l="0" t="0" r="0" b="0"/>
            <wp:docPr id="17865733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73343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03" cy="16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063115" cy="1624330"/>
            <wp:effectExtent l="0" t="0" r="0" b="0"/>
            <wp:docPr id="203412759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27595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406" cy="16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9CBC">
      <w:pPr>
        <w:ind w:firstLine="1600" w:firstLineChars="800"/>
        <w:rPr>
          <w:rFonts w:ascii="Times New Roman" w:hAnsi="Times New Roman" w:eastAsia="宋体"/>
          <w:sz w:val="20"/>
          <w:szCs w:val="20"/>
        </w:rPr>
      </w:pPr>
      <w:r>
        <w:rPr>
          <w:rFonts w:ascii="Times New Roman" w:hAnsi="Times New Roman" w:eastAsia="宋体"/>
          <w:sz w:val="20"/>
          <w:szCs w:val="20"/>
        </w:rPr>
        <w:t>(</w:t>
      </w:r>
      <w:r>
        <w:rPr>
          <w:rFonts w:ascii="Times New Roman" w:hAnsi="Times New Roman" w:eastAsia="宋体"/>
          <w:b/>
          <w:bCs/>
          <w:sz w:val="20"/>
          <w:szCs w:val="20"/>
        </w:rPr>
        <w:t>A</w:t>
      </w:r>
      <w:r>
        <w:rPr>
          <w:rFonts w:ascii="Times New Roman" w:hAnsi="Times New Roman" w:eastAsia="宋体"/>
          <w:sz w:val="20"/>
          <w:szCs w:val="20"/>
        </w:rPr>
        <w:t xml:space="preserve">)       </w:t>
      </w:r>
      <w:r>
        <w:rPr>
          <w:rFonts w:hint="eastAsia" w:ascii="Times New Roman" w:hAnsi="Times New Roman" w:eastAsia="宋体"/>
          <w:sz w:val="20"/>
          <w:szCs w:val="20"/>
        </w:rPr>
        <w:t xml:space="preserve">                              </w:t>
      </w:r>
      <w:r>
        <w:rPr>
          <w:rFonts w:ascii="Times New Roman" w:hAnsi="Times New Roman" w:eastAsia="宋体"/>
          <w:sz w:val="20"/>
          <w:szCs w:val="20"/>
        </w:rPr>
        <w:t xml:space="preserve">                  </w:t>
      </w:r>
      <w:r>
        <w:rPr>
          <w:rFonts w:hint="eastAsia" w:ascii="Times New Roman" w:hAnsi="Times New Roman" w:eastAsia="宋体"/>
          <w:sz w:val="20"/>
          <w:szCs w:val="20"/>
        </w:rPr>
        <w:t xml:space="preserve"> </w:t>
      </w:r>
      <w:r>
        <w:rPr>
          <w:rFonts w:ascii="Times New Roman" w:hAnsi="Times New Roman" w:eastAsia="宋体"/>
          <w:sz w:val="20"/>
          <w:szCs w:val="20"/>
        </w:rPr>
        <w:t xml:space="preserve">      (</w:t>
      </w:r>
      <w:r>
        <w:rPr>
          <w:rFonts w:ascii="Times New Roman" w:hAnsi="Times New Roman" w:eastAsia="宋体"/>
          <w:b/>
          <w:bCs/>
          <w:sz w:val="20"/>
          <w:szCs w:val="20"/>
        </w:rPr>
        <w:t>B</w:t>
      </w:r>
      <w:r>
        <w:rPr>
          <w:rFonts w:ascii="Times New Roman" w:hAnsi="Times New Roman" w:eastAsia="宋体"/>
          <w:sz w:val="20"/>
          <w:szCs w:val="20"/>
        </w:rPr>
        <w:t xml:space="preserve">)                          </w:t>
      </w:r>
      <w:r>
        <w:rPr>
          <w:rFonts w:hint="eastAsia" w:ascii="Times New Roman" w:hAnsi="Times New Roman" w:eastAsia="宋体"/>
          <w:sz w:val="20"/>
          <w:szCs w:val="20"/>
        </w:rPr>
        <w:t xml:space="preserve">                            </w:t>
      </w:r>
      <w:r>
        <w:rPr>
          <w:rFonts w:ascii="Times New Roman" w:hAnsi="Times New Roman" w:eastAsia="宋体"/>
          <w:sz w:val="20"/>
          <w:szCs w:val="20"/>
        </w:rPr>
        <w:t xml:space="preserve">     (</w:t>
      </w:r>
      <w:r>
        <w:rPr>
          <w:rFonts w:ascii="Times New Roman" w:hAnsi="Times New Roman" w:eastAsia="宋体"/>
          <w:b/>
          <w:bCs/>
          <w:sz w:val="20"/>
          <w:szCs w:val="20"/>
        </w:rPr>
        <w:t>C</w:t>
      </w:r>
      <w:r>
        <w:rPr>
          <w:rFonts w:ascii="Times New Roman" w:hAnsi="Times New Roman" w:eastAsia="宋体"/>
          <w:sz w:val="20"/>
          <w:szCs w:val="20"/>
        </w:rPr>
        <w:t>)</w:t>
      </w:r>
    </w:p>
    <w:p w14:paraId="1E79D282">
      <w:pPr>
        <w:pStyle w:val="2"/>
        <w:rPr>
          <w:rFonts w:hint="eastAsia"/>
          <w:sz w:val="24"/>
          <w:szCs w:val="24"/>
        </w:rPr>
      </w:pPr>
      <w:bookmarkStart w:id="4" w:name="_Ref177675976"/>
      <w:bookmarkEnd w:id="4"/>
      <w:r>
        <w:rPr>
          <w:rFonts w:ascii="Times New Roman" w:hAnsi="Times New Roman"/>
          <w:b/>
          <w:bCs/>
          <w:sz w:val="24"/>
          <w:szCs w:val="24"/>
        </w:rPr>
        <w:t>Supplementary Figure S5</w:t>
      </w:r>
      <w:r>
        <w:rPr>
          <w:rFonts w:ascii="Times New Roman" w:hAnsi="Times New Roman" w:eastAsia="宋体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宋体"/>
          <w:sz w:val="24"/>
          <w:szCs w:val="24"/>
        </w:rPr>
        <w:t>The calibration curves for 1- (</w:t>
      </w:r>
      <w:r>
        <w:rPr>
          <w:rFonts w:hint="eastAsia" w:ascii="Times New Roman" w:hAnsi="Times New Roman" w:eastAsia="宋体"/>
          <w:sz w:val="24"/>
          <w:szCs w:val="24"/>
        </w:rPr>
        <w:t>A</w:t>
      </w:r>
      <w:r>
        <w:rPr>
          <w:rFonts w:ascii="Times New Roman" w:hAnsi="Times New Roman" w:eastAsia="宋体"/>
          <w:sz w:val="24"/>
          <w:szCs w:val="24"/>
        </w:rPr>
        <w:t>), 3- (</w:t>
      </w:r>
      <w:r>
        <w:rPr>
          <w:rFonts w:hint="eastAsia" w:ascii="Times New Roman" w:hAnsi="Times New Roman" w:eastAsia="宋体"/>
          <w:sz w:val="24"/>
          <w:szCs w:val="24"/>
        </w:rPr>
        <w:t>B</w:t>
      </w:r>
      <w:r>
        <w:rPr>
          <w:rFonts w:ascii="Times New Roman" w:hAnsi="Times New Roman" w:eastAsia="宋体"/>
          <w:sz w:val="24"/>
          <w:szCs w:val="24"/>
        </w:rPr>
        <w:t>), and 5-year (</w:t>
      </w:r>
      <w:r>
        <w:rPr>
          <w:rFonts w:hint="eastAsia" w:ascii="Times New Roman" w:hAnsi="Times New Roman" w:eastAsia="宋体"/>
          <w:sz w:val="24"/>
          <w:szCs w:val="24"/>
        </w:rPr>
        <w:t>C</w:t>
      </w:r>
      <w:r>
        <w:rPr>
          <w:rFonts w:ascii="Times New Roman" w:hAnsi="Times New Roman" w:eastAsia="宋体"/>
          <w:sz w:val="24"/>
          <w:szCs w:val="24"/>
        </w:rPr>
        <w:t xml:space="preserve">) OS in the </w:t>
      </w:r>
      <w:r>
        <w:rPr>
          <w:rFonts w:hint="eastAsia" w:ascii="Times New Roman" w:hAnsi="Times New Roman" w:eastAsia="宋体"/>
          <w:sz w:val="24"/>
          <w:szCs w:val="24"/>
        </w:rPr>
        <w:t>training</w:t>
      </w:r>
      <w:r>
        <w:rPr>
          <w:rFonts w:ascii="Times New Roman" w:hAnsi="Times New Roman" w:eastAsia="宋体"/>
          <w:sz w:val="24"/>
          <w:szCs w:val="24"/>
        </w:rPr>
        <w:t xml:space="preserve"> cohort. The solid line indicates the performance of the prediction model, and the closer to the diagonal dashed line, the more accurate the prediction.</w:t>
      </w:r>
    </w:p>
    <w:p w14:paraId="428D829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49D7D1FE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140585" cy="1510665"/>
            <wp:effectExtent l="0" t="0" r="0" b="0"/>
            <wp:docPr id="12055208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20853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5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102485" cy="1509395"/>
            <wp:effectExtent l="0" t="0" r="0" b="0"/>
            <wp:docPr id="9030424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42443" name="图片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088" cy="15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019300" cy="1511300"/>
            <wp:effectExtent l="0" t="0" r="0" b="0"/>
            <wp:docPr id="2520694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69454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675" cy="152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CFC4">
      <w:pPr>
        <w:ind w:firstLine="1600" w:firstLineChars="800"/>
        <w:rPr>
          <w:rFonts w:ascii="Times New Roman" w:hAnsi="Times New Roman" w:eastAsia="宋体"/>
          <w:sz w:val="20"/>
          <w:szCs w:val="20"/>
        </w:rPr>
      </w:pPr>
      <w:r>
        <w:rPr>
          <w:rFonts w:ascii="Times New Roman" w:hAnsi="Times New Roman" w:eastAsia="宋体"/>
          <w:sz w:val="20"/>
          <w:szCs w:val="20"/>
        </w:rPr>
        <w:t>(</w:t>
      </w:r>
      <w:r>
        <w:rPr>
          <w:rFonts w:ascii="Times New Roman" w:hAnsi="Times New Roman" w:eastAsia="宋体"/>
          <w:b/>
          <w:bCs/>
          <w:sz w:val="20"/>
          <w:szCs w:val="20"/>
        </w:rPr>
        <w:t>A</w:t>
      </w:r>
      <w:r>
        <w:rPr>
          <w:rFonts w:ascii="Times New Roman" w:hAnsi="Times New Roman" w:eastAsia="宋体"/>
          <w:sz w:val="20"/>
          <w:szCs w:val="20"/>
        </w:rPr>
        <w:t xml:space="preserve">)       </w:t>
      </w:r>
      <w:r>
        <w:rPr>
          <w:rFonts w:hint="eastAsia" w:ascii="Times New Roman" w:hAnsi="Times New Roman" w:eastAsia="宋体"/>
          <w:sz w:val="20"/>
          <w:szCs w:val="20"/>
        </w:rPr>
        <w:t xml:space="preserve">                              </w:t>
      </w:r>
      <w:r>
        <w:rPr>
          <w:rFonts w:ascii="Times New Roman" w:hAnsi="Times New Roman" w:eastAsia="宋体"/>
          <w:sz w:val="20"/>
          <w:szCs w:val="20"/>
        </w:rPr>
        <w:t xml:space="preserve">                  </w:t>
      </w:r>
      <w:r>
        <w:rPr>
          <w:rFonts w:hint="eastAsia" w:ascii="Times New Roman" w:hAnsi="Times New Roman" w:eastAsia="宋体"/>
          <w:sz w:val="20"/>
          <w:szCs w:val="20"/>
        </w:rPr>
        <w:t xml:space="preserve"> </w:t>
      </w:r>
      <w:r>
        <w:rPr>
          <w:rFonts w:ascii="Times New Roman" w:hAnsi="Times New Roman" w:eastAsia="宋体"/>
          <w:sz w:val="20"/>
          <w:szCs w:val="20"/>
        </w:rPr>
        <w:t xml:space="preserve">      (</w:t>
      </w:r>
      <w:r>
        <w:rPr>
          <w:rFonts w:ascii="Times New Roman" w:hAnsi="Times New Roman" w:eastAsia="宋体"/>
          <w:b/>
          <w:bCs/>
          <w:sz w:val="20"/>
          <w:szCs w:val="20"/>
        </w:rPr>
        <w:t>B</w:t>
      </w:r>
      <w:r>
        <w:rPr>
          <w:rFonts w:ascii="Times New Roman" w:hAnsi="Times New Roman" w:eastAsia="宋体"/>
          <w:sz w:val="20"/>
          <w:szCs w:val="20"/>
        </w:rPr>
        <w:t xml:space="preserve">)                          </w:t>
      </w:r>
      <w:r>
        <w:rPr>
          <w:rFonts w:hint="eastAsia" w:ascii="Times New Roman" w:hAnsi="Times New Roman" w:eastAsia="宋体"/>
          <w:sz w:val="20"/>
          <w:szCs w:val="20"/>
        </w:rPr>
        <w:t xml:space="preserve">                            </w:t>
      </w:r>
      <w:r>
        <w:rPr>
          <w:rFonts w:ascii="Times New Roman" w:hAnsi="Times New Roman" w:eastAsia="宋体"/>
          <w:sz w:val="20"/>
          <w:szCs w:val="20"/>
        </w:rPr>
        <w:t xml:space="preserve">     (</w:t>
      </w:r>
      <w:r>
        <w:rPr>
          <w:rFonts w:ascii="Times New Roman" w:hAnsi="Times New Roman" w:eastAsia="宋体"/>
          <w:b/>
          <w:bCs/>
          <w:sz w:val="20"/>
          <w:szCs w:val="20"/>
        </w:rPr>
        <w:t>C</w:t>
      </w:r>
      <w:r>
        <w:rPr>
          <w:rFonts w:ascii="Times New Roman" w:hAnsi="Times New Roman" w:eastAsia="宋体"/>
          <w:sz w:val="20"/>
          <w:szCs w:val="20"/>
        </w:rPr>
        <w:t>)</w:t>
      </w:r>
    </w:p>
    <w:p w14:paraId="48F291E1">
      <w:pPr>
        <w:pStyle w:val="2"/>
        <w:rPr>
          <w:rFonts w:ascii="Times New Roman" w:hAnsi="Times New Roman"/>
          <w:sz w:val="24"/>
          <w:szCs w:val="24"/>
        </w:rPr>
      </w:pPr>
      <w:bookmarkStart w:id="5" w:name="_Ref177675984"/>
      <w:bookmarkEnd w:id="5"/>
      <w:r>
        <w:rPr>
          <w:rFonts w:ascii="Times New Roman" w:hAnsi="Times New Roman"/>
          <w:b/>
          <w:bCs/>
          <w:sz w:val="24"/>
          <w:szCs w:val="24"/>
        </w:rPr>
        <w:t>Supplementary Figure S6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The DCA curves for 1- (A), 3- (B), and 5-year (C) OS in the training cohort.</w:t>
      </w:r>
    </w:p>
    <w:p w14:paraId="1CD3525C">
      <w:pPr>
        <w:rPr>
          <w:rFonts w:hint="eastAsia"/>
        </w:rPr>
      </w:pPr>
    </w:p>
    <w:p w14:paraId="720B634B">
      <w:pPr>
        <w:rPr>
          <w:rFonts w:hint="eastAsia" w:ascii="等线 Light" w:hAnsi="等线 Light" w:eastAsia="黑体"/>
          <w:sz w:val="20"/>
          <w:szCs w:val="20"/>
        </w:rPr>
      </w:pPr>
      <w:bookmarkStart w:id="6" w:name="_Ref177675469"/>
      <w:r>
        <w:rPr>
          <w:rFonts w:ascii="Times New Roman" w:hAnsi="Times New Roman" w:eastAsia="黑体"/>
          <w:b/>
          <w:bCs/>
          <w:sz w:val="24"/>
          <w:szCs w:val="24"/>
        </w:rPr>
        <w:t>Supplementary Table S</w:t>
      </w:r>
      <w:r>
        <w:rPr>
          <w:rFonts w:ascii="Times New Roman" w:hAnsi="Times New Roman" w:eastAsia="黑体"/>
          <w:b/>
          <w:bCs/>
          <w:sz w:val="24"/>
          <w:szCs w:val="24"/>
        </w:rPr>
        <w:fldChar w:fldCharType="begin"/>
      </w:r>
      <w:r>
        <w:rPr>
          <w:rFonts w:ascii="Times New Roman" w:hAnsi="Times New Roman" w:eastAsia="黑体"/>
          <w:b/>
          <w:bCs/>
          <w:sz w:val="24"/>
          <w:szCs w:val="24"/>
        </w:rPr>
        <w:instrText xml:space="preserve"> SEQ Supplementary_Table_S_ \* ARABIC </w:instrText>
      </w:r>
      <w:r>
        <w:rPr>
          <w:rFonts w:ascii="Times New Roman" w:hAnsi="Times New Roman" w:eastAsia="黑体"/>
          <w:b/>
          <w:bCs/>
          <w:sz w:val="24"/>
          <w:szCs w:val="24"/>
        </w:rPr>
        <w:fldChar w:fldCharType="separate"/>
      </w:r>
      <w:r>
        <w:rPr>
          <w:rFonts w:ascii="Times New Roman" w:hAnsi="Times New Roman" w:eastAsia="黑体"/>
          <w:b/>
          <w:bCs/>
          <w:sz w:val="24"/>
          <w:szCs w:val="24"/>
        </w:rPr>
        <w:t>1</w:t>
      </w:r>
      <w:r>
        <w:rPr>
          <w:rFonts w:ascii="Times New Roman" w:hAnsi="Times New Roman" w:eastAsia="黑体"/>
          <w:b/>
          <w:bCs/>
          <w:sz w:val="24"/>
          <w:szCs w:val="24"/>
        </w:rPr>
        <w:fldChar w:fldCharType="end"/>
      </w:r>
      <w:bookmarkEnd w:id="6"/>
      <w:r>
        <w:rPr>
          <w:rFonts w:ascii="Times New Roman" w:hAnsi="Times New Roman" w:eastAsia="宋体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sz w:val="24"/>
          <w:szCs w:val="24"/>
        </w:rPr>
        <w:t>Baseline data comparison table for surviving and dying patients</w:t>
      </w:r>
    </w:p>
    <w:tbl>
      <w:tblPr>
        <w:tblStyle w:val="6"/>
        <w:tblW w:w="0" w:type="auto"/>
        <w:tblInd w:w="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6"/>
        <w:gridCol w:w="2039"/>
        <w:gridCol w:w="2302"/>
        <w:gridCol w:w="2552"/>
        <w:gridCol w:w="1263"/>
      </w:tblGrid>
      <w:tr w14:paraId="546206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9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9ED2636">
            <w:pPr>
              <w:rPr>
                <w:rFonts w:ascii="Times New Roman" w:hAnsi="Times New Roman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Variables</w:t>
            </w:r>
          </w:p>
        </w:tc>
        <w:tc>
          <w:tcPr>
            <w:tcW w:w="2039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9DFCA18">
            <w:pPr>
              <w:jc w:val="center"/>
              <w:rPr>
                <w:rFonts w:ascii="Times New Roman" w:hAnsi="Times New Roman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Total (n = 357)</w:t>
            </w:r>
          </w:p>
        </w:tc>
        <w:tc>
          <w:tcPr>
            <w:tcW w:w="230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7958EACF">
            <w:pPr>
              <w:jc w:val="center"/>
              <w:rPr>
                <w:rFonts w:ascii="Times New Roman" w:hAnsi="Times New Roman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Survival (n = 239)</w:t>
            </w:r>
          </w:p>
        </w:tc>
        <w:tc>
          <w:tcPr>
            <w:tcW w:w="255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334FD36">
            <w:pPr>
              <w:jc w:val="center"/>
              <w:rPr>
                <w:rFonts w:ascii="Times New Roman" w:hAnsi="Times New Roman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Dead (n = 118)</w:t>
            </w:r>
          </w:p>
        </w:tc>
        <w:tc>
          <w:tcPr>
            <w:tcW w:w="126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2E2DDC2">
            <w:pPr>
              <w:jc w:val="center"/>
              <w:rPr>
                <w:rFonts w:ascii="Times New Roman" w:hAnsi="Times New Roman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P</w:t>
            </w:r>
          </w:p>
        </w:tc>
      </w:tr>
      <w:tr w14:paraId="690A32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tcBorders>
              <w:top w:val="single" w:color="auto" w:sz="12" w:space="0"/>
            </w:tcBorders>
            <w:vAlign w:val="center"/>
          </w:tcPr>
          <w:p w14:paraId="4F9FA6EE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Age, Mean ± SD</w:t>
            </w:r>
          </w:p>
        </w:tc>
        <w:tc>
          <w:tcPr>
            <w:tcW w:w="2039" w:type="dxa"/>
            <w:tcBorders>
              <w:top w:val="single" w:color="auto" w:sz="12" w:space="0"/>
            </w:tcBorders>
            <w:vAlign w:val="center"/>
          </w:tcPr>
          <w:p w14:paraId="3AD3C7D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64.64 ± 11.59</w:t>
            </w:r>
          </w:p>
        </w:tc>
        <w:tc>
          <w:tcPr>
            <w:tcW w:w="2302" w:type="dxa"/>
            <w:tcBorders>
              <w:top w:val="single" w:color="auto" w:sz="12" w:space="0"/>
            </w:tcBorders>
            <w:vAlign w:val="center"/>
          </w:tcPr>
          <w:p w14:paraId="69A537B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63.20 ± 11.13</w:t>
            </w:r>
          </w:p>
        </w:tc>
        <w:tc>
          <w:tcPr>
            <w:tcW w:w="2552" w:type="dxa"/>
            <w:tcBorders>
              <w:top w:val="single" w:color="auto" w:sz="12" w:space="0"/>
            </w:tcBorders>
            <w:vAlign w:val="center"/>
          </w:tcPr>
          <w:p w14:paraId="02589BA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67.56 ± 12.01</w:t>
            </w:r>
          </w:p>
        </w:tc>
        <w:tc>
          <w:tcPr>
            <w:tcW w:w="1263" w:type="dxa"/>
            <w:tcBorders>
              <w:top w:val="single" w:color="auto" w:sz="12" w:space="0"/>
            </w:tcBorders>
            <w:vAlign w:val="center"/>
          </w:tcPr>
          <w:p w14:paraId="1C57A2B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&lt;.001</w:t>
            </w:r>
          </w:p>
        </w:tc>
      </w:tr>
      <w:tr w14:paraId="59693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474FB264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Sex, n(%)</w:t>
            </w:r>
          </w:p>
        </w:tc>
        <w:tc>
          <w:tcPr>
            <w:tcW w:w="2039" w:type="dxa"/>
            <w:vAlign w:val="center"/>
          </w:tcPr>
          <w:p w14:paraId="577B847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38949BE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82E816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6B272FF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0.363</w:t>
            </w:r>
          </w:p>
        </w:tc>
      </w:tr>
      <w:tr w14:paraId="09EA7E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33D0167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Female</w:t>
            </w:r>
          </w:p>
        </w:tc>
        <w:tc>
          <w:tcPr>
            <w:tcW w:w="2039" w:type="dxa"/>
            <w:vAlign w:val="center"/>
          </w:tcPr>
          <w:p w14:paraId="50FB454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139 (38.94)</w:t>
            </w:r>
          </w:p>
        </w:tc>
        <w:tc>
          <w:tcPr>
            <w:tcW w:w="2302" w:type="dxa"/>
            <w:vAlign w:val="center"/>
          </w:tcPr>
          <w:p w14:paraId="529C768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97 (40.59)</w:t>
            </w:r>
          </w:p>
        </w:tc>
        <w:tc>
          <w:tcPr>
            <w:tcW w:w="2552" w:type="dxa"/>
            <w:vAlign w:val="center"/>
          </w:tcPr>
          <w:p w14:paraId="577CD1F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42 (35.59)</w:t>
            </w:r>
          </w:p>
        </w:tc>
        <w:tc>
          <w:tcPr>
            <w:tcW w:w="1263" w:type="dxa"/>
            <w:vAlign w:val="center"/>
          </w:tcPr>
          <w:p w14:paraId="6A8EF8C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1511EA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41035A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Male</w:t>
            </w:r>
          </w:p>
        </w:tc>
        <w:tc>
          <w:tcPr>
            <w:tcW w:w="2039" w:type="dxa"/>
            <w:vAlign w:val="center"/>
          </w:tcPr>
          <w:p w14:paraId="7CE708B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218 (61.06)</w:t>
            </w:r>
          </w:p>
        </w:tc>
        <w:tc>
          <w:tcPr>
            <w:tcW w:w="2302" w:type="dxa"/>
            <w:vAlign w:val="center"/>
          </w:tcPr>
          <w:p w14:paraId="4645D4B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142 (59.41)</w:t>
            </w:r>
          </w:p>
        </w:tc>
        <w:tc>
          <w:tcPr>
            <w:tcW w:w="2552" w:type="dxa"/>
            <w:vAlign w:val="center"/>
          </w:tcPr>
          <w:p w14:paraId="7FFDEC3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76 (64.41)</w:t>
            </w:r>
          </w:p>
        </w:tc>
        <w:tc>
          <w:tcPr>
            <w:tcW w:w="1263" w:type="dxa"/>
            <w:vAlign w:val="center"/>
          </w:tcPr>
          <w:p w14:paraId="4B5B9FE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31DD10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6B670044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Hypertension, n(%)</w:t>
            </w:r>
          </w:p>
        </w:tc>
        <w:tc>
          <w:tcPr>
            <w:tcW w:w="2039" w:type="dxa"/>
            <w:vAlign w:val="center"/>
          </w:tcPr>
          <w:p w14:paraId="698225F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40F758E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C1AB6D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57E61C6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0.385</w:t>
            </w:r>
          </w:p>
        </w:tc>
      </w:tr>
      <w:tr w14:paraId="5CE03B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8CF2AB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39" w:type="dxa"/>
            <w:vAlign w:val="center"/>
          </w:tcPr>
          <w:p w14:paraId="0EA5652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232 (64.99)</w:t>
            </w:r>
          </w:p>
        </w:tc>
        <w:tc>
          <w:tcPr>
            <w:tcW w:w="2302" w:type="dxa"/>
            <w:vAlign w:val="center"/>
          </w:tcPr>
          <w:p w14:paraId="7A263A0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159 (66.53)</w:t>
            </w:r>
          </w:p>
        </w:tc>
        <w:tc>
          <w:tcPr>
            <w:tcW w:w="2552" w:type="dxa"/>
            <w:vAlign w:val="center"/>
          </w:tcPr>
          <w:p w14:paraId="278CBC2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73 (61.86)</w:t>
            </w:r>
          </w:p>
        </w:tc>
        <w:tc>
          <w:tcPr>
            <w:tcW w:w="1263" w:type="dxa"/>
            <w:vAlign w:val="center"/>
          </w:tcPr>
          <w:p w14:paraId="5D1A815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3EA5A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215B2C6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39" w:type="dxa"/>
            <w:vAlign w:val="center"/>
          </w:tcPr>
          <w:p w14:paraId="41C2703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125 (35.01)</w:t>
            </w:r>
          </w:p>
        </w:tc>
        <w:tc>
          <w:tcPr>
            <w:tcW w:w="2302" w:type="dxa"/>
            <w:vAlign w:val="center"/>
          </w:tcPr>
          <w:p w14:paraId="5B58965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80 (33.47)</w:t>
            </w:r>
          </w:p>
        </w:tc>
        <w:tc>
          <w:tcPr>
            <w:tcW w:w="2552" w:type="dxa"/>
            <w:vAlign w:val="center"/>
          </w:tcPr>
          <w:p w14:paraId="708BB08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45 (38.14)</w:t>
            </w:r>
          </w:p>
        </w:tc>
        <w:tc>
          <w:tcPr>
            <w:tcW w:w="1263" w:type="dxa"/>
            <w:vAlign w:val="center"/>
          </w:tcPr>
          <w:p w14:paraId="3A00756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24CBF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733563F7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Diabetes, n(%)</w:t>
            </w:r>
          </w:p>
        </w:tc>
        <w:tc>
          <w:tcPr>
            <w:tcW w:w="2039" w:type="dxa"/>
            <w:vAlign w:val="center"/>
          </w:tcPr>
          <w:p w14:paraId="6248DE7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208B25B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532B6F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55A1371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0.941</w:t>
            </w:r>
          </w:p>
        </w:tc>
      </w:tr>
      <w:tr w14:paraId="2B952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3F7B4F3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39" w:type="dxa"/>
            <w:vAlign w:val="center"/>
          </w:tcPr>
          <w:p w14:paraId="7899C1C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314 (87.96)</w:t>
            </w:r>
          </w:p>
        </w:tc>
        <w:tc>
          <w:tcPr>
            <w:tcW w:w="2302" w:type="dxa"/>
            <w:vAlign w:val="center"/>
          </w:tcPr>
          <w:p w14:paraId="3DAC956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210 (87.87)</w:t>
            </w:r>
          </w:p>
        </w:tc>
        <w:tc>
          <w:tcPr>
            <w:tcW w:w="2552" w:type="dxa"/>
            <w:vAlign w:val="center"/>
          </w:tcPr>
          <w:p w14:paraId="20EBCE8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104 (88.14)</w:t>
            </w:r>
          </w:p>
        </w:tc>
        <w:tc>
          <w:tcPr>
            <w:tcW w:w="1263" w:type="dxa"/>
            <w:vAlign w:val="center"/>
          </w:tcPr>
          <w:p w14:paraId="1160046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4941F8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14C1D98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39" w:type="dxa"/>
            <w:vAlign w:val="center"/>
          </w:tcPr>
          <w:p w14:paraId="6BC36BC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43 (12.04)</w:t>
            </w:r>
          </w:p>
        </w:tc>
        <w:tc>
          <w:tcPr>
            <w:tcW w:w="2302" w:type="dxa"/>
            <w:vAlign w:val="center"/>
          </w:tcPr>
          <w:p w14:paraId="430BB48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29 (12.13)</w:t>
            </w:r>
          </w:p>
        </w:tc>
        <w:tc>
          <w:tcPr>
            <w:tcW w:w="2552" w:type="dxa"/>
            <w:vAlign w:val="center"/>
          </w:tcPr>
          <w:p w14:paraId="331947B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14 (11.86)</w:t>
            </w:r>
          </w:p>
        </w:tc>
        <w:tc>
          <w:tcPr>
            <w:tcW w:w="1263" w:type="dxa"/>
            <w:vAlign w:val="center"/>
          </w:tcPr>
          <w:p w14:paraId="6BE19C9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0C6ADE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2D5A314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ASA grade, n(%)</w:t>
            </w:r>
          </w:p>
        </w:tc>
        <w:tc>
          <w:tcPr>
            <w:tcW w:w="2039" w:type="dxa"/>
            <w:vAlign w:val="center"/>
          </w:tcPr>
          <w:p w14:paraId="58DDEB0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548DCD8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F11783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3C3D080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0.036</w:t>
            </w:r>
          </w:p>
        </w:tc>
      </w:tr>
      <w:tr w14:paraId="647451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7AE7818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E6244B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80 (22.41)</w:t>
            </w:r>
          </w:p>
        </w:tc>
        <w:tc>
          <w:tcPr>
            <w:tcW w:w="2302" w:type="dxa"/>
            <w:vAlign w:val="center"/>
          </w:tcPr>
          <w:p w14:paraId="3AF2B40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55 (23.01)</w:t>
            </w:r>
          </w:p>
        </w:tc>
        <w:tc>
          <w:tcPr>
            <w:tcW w:w="2552" w:type="dxa"/>
            <w:vAlign w:val="center"/>
          </w:tcPr>
          <w:p w14:paraId="0BF1A6C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25 (21.19)</w:t>
            </w:r>
          </w:p>
        </w:tc>
        <w:tc>
          <w:tcPr>
            <w:tcW w:w="1263" w:type="dxa"/>
            <w:vAlign w:val="center"/>
          </w:tcPr>
          <w:p w14:paraId="5097A3D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190E08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5D54898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039" w:type="dxa"/>
            <w:vAlign w:val="center"/>
          </w:tcPr>
          <w:p w14:paraId="0F2CC4A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194 (54.34)</w:t>
            </w:r>
          </w:p>
        </w:tc>
        <w:tc>
          <w:tcPr>
            <w:tcW w:w="2302" w:type="dxa"/>
            <w:vAlign w:val="center"/>
          </w:tcPr>
          <w:p w14:paraId="4382095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138 (57.74)</w:t>
            </w:r>
          </w:p>
        </w:tc>
        <w:tc>
          <w:tcPr>
            <w:tcW w:w="2552" w:type="dxa"/>
            <w:vAlign w:val="center"/>
          </w:tcPr>
          <w:p w14:paraId="6EAE6A4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56 (47.46)</w:t>
            </w:r>
          </w:p>
        </w:tc>
        <w:tc>
          <w:tcPr>
            <w:tcW w:w="1263" w:type="dxa"/>
            <w:vAlign w:val="center"/>
          </w:tcPr>
          <w:p w14:paraId="342F63A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3A5B89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4A768C9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039" w:type="dxa"/>
            <w:vAlign w:val="center"/>
          </w:tcPr>
          <w:p w14:paraId="40FBED7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83 (23.25)</w:t>
            </w:r>
          </w:p>
        </w:tc>
        <w:tc>
          <w:tcPr>
            <w:tcW w:w="2302" w:type="dxa"/>
            <w:vAlign w:val="center"/>
          </w:tcPr>
          <w:p w14:paraId="1BD2F1E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46 (19.25)</w:t>
            </w:r>
          </w:p>
        </w:tc>
        <w:tc>
          <w:tcPr>
            <w:tcW w:w="2552" w:type="dxa"/>
            <w:vAlign w:val="center"/>
          </w:tcPr>
          <w:p w14:paraId="06974A2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37 (31.36)</w:t>
            </w:r>
          </w:p>
        </w:tc>
        <w:tc>
          <w:tcPr>
            <w:tcW w:w="1263" w:type="dxa"/>
            <w:vAlign w:val="center"/>
          </w:tcPr>
          <w:p w14:paraId="7504206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0CE7EE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64C7FF39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pT stage, n(%)</w:t>
            </w:r>
          </w:p>
        </w:tc>
        <w:tc>
          <w:tcPr>
            <w:tcW w:w="2039" w:type="dxa"/>
            <w:vAlign w:val="center"/>
          </w:tcPr>
          <w:p w14:paraId="679726A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2CB241D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D957E6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7B1FC57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0.068</w:t>
            </w:r>
          </w:p>
        </w:tc>
      </w:tr>
      <w:tr w14:paraId="655B8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38A737F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0219C4C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210 (58.82)</w:t>
            </w:r>
          </w:p>
        </w:tc>
        <w:tc>
          <w:tcPr>
            <w:tcW w:w="2302" w:type="dxa"/>
            <w:vAlign w:val="center"/>
          </w:tcPr>
          <w:p w14:paraId="319E26C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136 (56.90)</w:t>
            </w:r>
          </w:p>
        </w:tc>
        <w:tc>
          <w:tcPr>
            <w:tcW w:w="2552" w:type="dxa"/>
            <w:vAlign w:val="center"/>
          </w:tcPr>
          <w:p w14:paraId="1B41C9F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74 (62.71)</w:t>
            </w:r>
          </w:p>
        </w:tc>
        <w:tc>
          <w:tcPr>
            <w:tcW w:w="1263" w:type="dxa"/>
            <w:vAlign w:val="center"/>
          </w:tcPr>
          <w:p w14:paraId="45EE631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04624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4869DF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039" w:type="dxa"/>
            <w:vAlign w:val="center"/>
          </w:tcPr>
          <w:p w14:paraId="3B68043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81 (22.69)</w:t>
            </w:r>
          </w:p>
        </w:tc>
        <w:tc>
          <w:tcPr>
            <w:tcW w:w="2302" w:type="dxa"/>
            <w:vAlign w:val="center"/>
          </w:tcPr>
          <w:p w14:paraId="2075D3B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61 (25.52)</w:t>
            </w:r>
          </w:p>
        </w:tc>
        <w:tc>
          <w:tcPr>
            <w:tcW w:w="2552" w:type="dxa"/>
            <w:vAlign w:val="center"/>
          </w:tcPr>
          <w:p w14:paraId="634826B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20 (16.95)</w:t>
            </w:r>
          </w:p>
        </w:tc>
        <w:tc>
          <w:tcPr>
            <w:tcW w:w="1263" w:type="dxa"/>
            <w:vAlign w:val="center"/>
          </w:tcPr>
          <w:p w14:paraId="6202116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63FDCE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48EAE98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039" w:type="dxa"/>
            <w:vAlign w:val="center"/>
          </w:tcPr>
          <w:p w14:paraId="770D794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50 (14.01)</w:t>
            </w:r>
          </w:p>
        </w:tc>
        <w:tc>
          <w:tcPr>
            <w:tcW w:w="2302" w:type="dxa"/>
            <w:vAlign w:val="center"/>
          </w:tcPr>
          <w:p w14:paraId="5AF3144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35 (14.64)</w:t>
            </w:r>
          </w:p>
        </w:tc>
        <w:tc>
          <w:tcPr>
            <w:tcW w:w="2552" w:type="dxa"/>
            <w:vAlign w:val="center"/>
          </w:tcPr>
          <w:p w14:paraId="3A5CCB9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15 (12.71)</w:t>
            </w:r>
          </w:p>
        </w:tc>
        <w:tc>
          <w:tcPr>
            <w:tcW w:w="1263" w:type="dxa"/>
            <w:vAlign w:val="center"/>
          </w:tcPr>
          <w:p w14:paraId="14FA5E3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26005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1AD9B9E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2039" w:type="dxa"/>
            <w:vAlign w:val="center"/>
          </w:tcPr>
          <w:p w14:paraId="2DBCCA2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16 (4.48)</w:t>
            </w:r>
          </w:p>
        </w:tc>
        <w:tc>
          <w:tcPr>
            <w:tcW w:w="2302" w:type="dxa"/>
            <w:vAlign w:val="center"/>
          </w:tcPr>
          <w:p w14:paraId="3EA4E73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 (2.93)</w:t>
            </w:r>
          </w:p>
        </w:tc>
        <w:tc>
          <w:tcPr>
            <w:tcW w:w="2552" w:type="dxa"/>
            <w:vAlign w:val="center"/>
          </w:tcPr>
          <w:p w14:paraId="574795D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9 (7.63)</w:t>
            </w:r>
          </w:p>
        </w:tc>
        <w:tc>
          <w:tcPr>
            <w:tcW w:w="1263" w:type="dxa"/>
            <w:vAlign w:val="center"/>
          </w:tcPr>
          <w:p w14:paraId="704BC63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2C0EC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76B9079A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pN stage, n(%)</w:t>
            </w:r>
          </w:p>
        </w:tc>
        <w:tc>
          <w:tcPr>
            <w:tcW w:w="2039" w:type="dxa"/>
            <w:vAlign w:val="center"/>
          </w:tcPr>
          <w:p w14:paraId="336593F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5AEAF9E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381ADB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20F32CE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0.005</w:t>
            </w:r>
          </w:p>
        </w:tc>
      </w:tr>
      <w:tr w14:paraId="06C76E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4EE0F0D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2039" w:type="dxa"/>
            <w:vAlign w:val="center"/>
          </w:tcPr>
          <w:p w14:paraId="268521C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230 (64.43)</w:t>
            </w:r>
          </w:p>
        </w:tc>
        <w:tc>
          <w:tcPr>
            <w:tcW w:w="2302" w:type="dxa"/>
            <w:vAlign w:val="center"/>
          </w:tcPr>
          <w:p w14:paraId="5C6CD04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166 (69.46)</w:t>
            </w:r>
          </w:p>
        </w:tc>
        <w:tc>
          <w:tcPr>
            <w:tcW w:w="2552" w:type="dxa"/>
            <w:vAlign w:val="center"/>
          </w:tcPr>
          <w:p w14:paraId="557F854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64 (54.24)</w:t>
            </w:r>
          </w:p>
        </w:tc>
        <w:tc>
          <w:tcPr>
            <w:tcW w:w="1263" w:type="dxa"/>
            <w:vAlign w:val="center"/>
          </w:tcPr>
          <w:p w14:paraId="182962F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3D4A9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2BE5639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A2A263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87 (24.37)</w:t>
            </w:r>
          </w:p>
        </w:tc>
        <w:tc>
          <w:tcPr>
            <w:tcW w:w="2302" w:type="dxa"/>
            <w:vAlign w:val="center"/>
          </w:tcPr>
          <w:p w14:paraId="5E09ED9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54 (22.59)</w:t>
            </w:r>
          </w:p>
        </w:tc>
        <w:tc>
          <w:tcPr>
            <w:tcW w:w="2552" w:type="dxa"/>
            <w:vAlign w:val="center"/>
          </w:tcPr>
          <w:p w14:paraId="3DEBB3B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33 (27.97)</w:t>
            </w:r>
          </w:p>
        </w:tc>
        <w:tc>
          <w:tcPr>
            <w:tcW w:w="1263" w:type="dxa"/>
            <w:vAlign w:val="center"/>
          </w:tcPr>
          <w:p w14:paraId="165B07E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638BD0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70E0C00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039" w:type="dxa"/>
            <w:vAlign w:val="center"/>
          </w:tcPr>
          <w:p w14:paraId="7932E71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40 (11.20)</w:t>
            </w:r>
          </w:p>
        </w:tc>
        <w:tc>
          <w:tcPr>
            <w:tcW w:w="2302" w:type="dxa"/>
            <w:vAlign w:val="center"/>
          </w:tcPr>
          <w:p w14:paraId="30D8399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19 (7.95)</w:t>
            </w:r>
          </w:p>
        </w:tc>
        <w:tc>
          <w:tcPr>
            <w:tcW w:w="2552" w:type="dxa"/>
            <w:vAlign w:val="center"/>
          </w:tcPr>
          <w:p w14:paraId="722646C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21 (17.80)</w:t>
            </w:r>
          </w:p>
        </w:tc>
        <w:tc>
          <w:tcPr>
            <w:tcW w:w="1263" w:type="dxa"/>
            <w:vAlign w:val="center"/>
          </w:tcPr>
          <w:p w14:paraId="4175E98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591CED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5BB7846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TNM stage, n(%)</w:t>
            </w:r>
          </w:p>
        </w:tc>
        <w:tc>
          <w:tcPr>
            <w:tcW w:w="2039" w:type="dxa"/>
            <w:vAlign w:val="center"/>
          </w:tcPr>
          <w:p w14:paraId="0401CE7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5459F46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A012EF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3A72972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0.01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4</w:t>
            </w:r>
          </w:p>
        </w:tc>
      </w:tr>
      <w:tr w14:paraId="29AAA4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45CCAAD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039" w:type="dxa"/>
          </w:tcPr>
          <w:p w14:paraId="57C3B25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187 (52.38)</w:t>
            </w:r>
          </w:p>
        </w:tc>
        <w:tc>
          <w:tcPr>
            <w:tcW w:w="2302" w:type="dxa"/>
          </w:tcPr>
          <w:p w14:paraId="099D3CC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137 (57.32)</w:t>
            </w:r>
          </w:p>
        </w:tc>
        <w:tc>
          <w:tcPr>
            <w:tcW w:w="2552" w:type="dxa"/>
          </w:tcPr>
          <w:p w14:paraId="70304B5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50 (42.37)</w:t>
            </w:r>
          </w:p>
        </w:tc>
        <w:tc>
          <w:tcPr>
            <w:tcW w:w="1263" w:type="dxa"/>
            <w:vAlign w:val="center"/>
          </w:tcPr>
          <w:p w14:paraId="07C8492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1BBAD9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1273965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039" w:type="dxa"/>
          </w:tcPr>
          <w:p w14:paraId="775C254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43 (12.04)</w:t>
            </w:r>
          </w:p>
        </w:tc>
        <w:tc>
          <w:tcPr>
            <w:tcW w:w="2302" w:type="dxa"/>
          </w:tcPr>
          <w:p w14:paraId="2510120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29 (12.13)</w:t>
            </w:r>
          </w:p>
        </w:tc>
        <w:tc>
          <w:tcPr>
            <w:tcW w:w="2552" w:type="dxa"/>
          </w:tcPr>
          <w:p w14:paraId="7490779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14 (11.86)</w:t>
            </w:r>
          </w:p>
        </w:tc>
        <w:tc>
          <w:tcPr>
            <w:tcW w:w="1263" w:type="dxa"/>
            <w:vAlign w:val="center"/>
          </w:tcPr>
          <w:p w14:paraId="654824D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24C5C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6A35D0B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039" w:type="dxa"/>
          </w:tcPr>
          <w:p w14:paraId="2D9513E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127 (35.57)</w:t>
            </w:r>
          </w:p>
        </w:tc>
        <w:tc>
          <w:tcPr>
            <w:tcW w:w="2302" w:type="dxa"/>
          </w:tcPr>
          <w:p w14:paraId="4B29AF2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73 (30.54)</w:t>
            </w:r>
          </w:p>
        </w:tc>
        <w:tc>
          <w:tcPr>
            <w:tcW w:w="2552" w:type="dxa"/>
          </w:tcPr>
          <w:p w14:paraId="19315F6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54 (45.76)</w:t>
            </w:r>
          </w:p>
        </w:tc>
        <w:tc>
          <w:tcPr>
            <w:tcW w:w="1263" w:type="dxa"/>
            <w:vAlign w:val="center"/>
          </w:tcPr>
          <w:p w14:paraId="162501E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703BA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53A16C03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Differentiation type, n(%)</w:t>
            </w:r>
          </w:p>
        </w:tc>
        <w:tc>
          <w:tcPr>
            <w:tcW w:w="2039" w:type="dxa"/>
            <w:vAlign w:val="center"/>
          </w:tcPr>
          <w:p w14:paraId="72B9953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549E4EE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8469BF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27D9F93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&lt;.001</w:t>
            </w:r>
          </w:p>
        </w:tc>
      </w:tr>
      <w:tr w14:paraId="44A52F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3B8DFE6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2039" w:type="dxa"/>
            <w:vAlign w:val="center"/>
          </w:tcPr>
          <w:p w14:paraId="51658F8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18 (5.04)</w:t>
            </w:r>
          </w:p>
        </w:tc>
        <w:tc>
          <w:tcPr>
            <w:tcW w:w="2302" w:type="dxa"/>
            <w:vAlign w:val="center"/>
          </w:tcPr>
          <w:p w14:paraId="4041282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15 (6.28)</w:t>
            </w:r>
          </w:p>
        </w:tc>
        <w:tc>
          <w:tcPr>
            <w:tcW w:w="2552" w:type="dxa"/>
            <w:vAlign w:val="center"/>
          </w:tcPr>
          <w:p w14:paraId="1EAD694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 (2.54)</w:t>
            </w:r>
          </w:p>
        </w:tc>
        <w:tc>
          <w:tcPr>
            <w:tcW w:w="1263" w:type="dxa"/>
            <w:vAlign w:val="center"/>
          </w:tcPr>
          <w:p w14:paraId="7DABD8B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48AA5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100B18C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Middle</w:t>
            </w:r>
          </w:p>
        </w:tc>
        <w:tc>
          <w:tcPr>
            <w:tcW w:w="2039" w:type="dxa"/>
            <w:vAlign w:val="center"/>
          </w:tcPr>
          <w:p w14:paraId="14C3862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291 (81.51)</w:t>
            </w:r>
          </w:p>
        </w:tc>
        <w:tc>
          <w:tcPr>
            <w:tcW w:w="2302" w:type="dxa"/>
            <w:vAlign w:val="center"/>
          </w:tcPr>
          <w:p w14:paraId="2BFF696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204 (85.36)</w:t>
            </w:r>
          </w:p>
        </w:tc>
        <w:tc>
          <w:tcPr>
            <w:tcW w:w="2552" w:type="dxa"/>
            <w:vAlign w:val="center"/>
          </w:tcPr>
          <w:p w14:paraId="007B745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87 (73.73)</w:t>
            </w:r>
          </w:p>
        </w:tc>
        <w:tc>
          <w:tcPr>
            <w:tcW w:w="1263" w:type="dxa"/>
            <w:vAlign w:val="center"/>
          </w:tcPr>
          <w:p w14:paraId="1B2A812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55AB0B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4A455ED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2039" w:type="dxa"/>
            <w:vAlign w:val="center"/>
          </w:tcPr>
          <w:p w14:paraId="625341A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48 (13.45)</w:t>
            </w:r>
          </w:p>
        </w:tc>
        <w:tc>
          <w:tcPr>
            <w:tcW w:w="2302" w:type="dxa"/>
            <w:vAlign w:val="center"/>
          </w:tcPr>
          <w:p w14:paraId="2F0A99A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20 (8.37)</w:t>
            </w:r>
          </w:p>
        </w:tc>
        <w:tc>
          <w:tcPr>
            <w:tcW w:w="2552" w:type="dxa"/>
            <w:vAlign w:val="center"/>
          </w:tcPr>
          <w:p w14:paraId="44B6854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28 (23.73)</w:t>
            </w:r>
          </w:p>
        </w:tc>
        <w:tc>
          <w:tcPr>
            <w:tcW w:w="1263" w:type="dxa"/>
            <w:vAlign w:val="center"/>
          </w:tcPr>
          <w:p w14:paraId="292398D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03AD1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1DE06693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Nerve invasion, n(%)</w:t>
            </w:r>
          </w:p>
        </w:tc>
        <w:tc>
          <w:tcPr>
            <w:tcW w:w="2039" w:type="dxa"/>
            <w:vAlign w:val="center"/>
          </w:tcPr>
          <w:p w14:paraId="44CBE32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5CD7240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48D922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062CE72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&lt;.001</w:t>
            </w:r>
          </w:p>
        </w:tc>
      </w:tr>
      <w:tr w14:paraId="5FE54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23ADE57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39" w:type="dxa"/>
            <w:vAlign w:val="center"/>
          </w:tcPr>
          <w:p w14:paraId="6148EC6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281 (78.71)</w:t>
            </w:r>
          </w:p>
        </w:tc>
        <w:tc>
          <w:tcPr>
            <w:tcW w:w="2302" w:type="dxa"/>
            <w:vAlign w:val="center"/>
          </w:tcPr>
          <w:p w14:paraId="45A32ED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201 (84.10)</w:t>
            </w:r>
          </w:p>
        </w:tc>
        <w:tc>
          <w:tcPr>
            <w:tcW w:w="2552" w:type="dxa"/>
            <w:vAlign w:val="center"/>
          </w:tcPr>
          <w:p w14:paraId="204A04F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80 (67.80)</w:t>
            </w:r>
          </w:p>
        </w:tc>
        <w:tc>
          <w:tcPr>
            <w:tcW w:w="1263" w:type="dxa"/>
            <w:vAlign w:val="center"/>
          </w:tcPr>
          <w:p w14:paraId="52AD5D6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11DFB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7A85BD3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39" w:type="dxa"/>
            <w:vAlign w:val="center"/>
          </w:tcPr>
          <w:p w14:paraId="77B9637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76 (21.29)</w:t>
            </w:r>
          </w:p>
        </w:tc>
        <w:tc>
          <w:tcPr>
            <w:tcW w:w="2302" w:type="dxa"/>
            <w:vAlign w:val="center"/>
          </w:tcPr>
          <w:p w14:paraId="1E2A915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38 (15.90)</w:t>
            </w:r>
          </w:p>
        </w:tc>
        <w:tc>
          <w:tcPr>
            <w:tcW w:w="2552" w:type="dxa"/>
            <w:vAlign w:val="center"/>
          </w:tcPr>
          <w:p w14:paraId="6216BC3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38 (32.20)</w:t>
            </w:r>
          </w:p>
        </w:tc>
        <w:tc>
          <w:tcPr>
            <w:tcW w:w="1263" w:type="dxa"/>
            <w:vAlign w:val="center"/>
          </w:tcPr>
          <w:p w14:paraId="1D3EEB9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41AA0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4D84143E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Vascular invasion, n(%)</w:t>
            </w:r>
          </w:p>
        </w:tc>
        <w:tc>
          <w:tcPr>
            <w:tcW w:w="2039" w:type="dxa"/>
            <w:vAlign w:val="center"/>
          </w:tcPr>
          <w:p w14:paraId="5F09694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071807E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FF41D9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131FAFD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0.001</w:t>
            </w:r>
          </w:p>
        </w:tc>
      </w:tr>
      <w:tr w14:paraId="0E2F8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32B701F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39" w:type="dxa"/>
            <w:vAlign w:val="center"/>
          </w:tcPr>
          <w:p w14:paraId="31D3CB2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298 (83.47)</w:t>
            </w:r>
          </w:p>
        </w:tc>
        <w:tc>
          <w:tcPr>
            <w:tcW w:w="2302" w:type="dxa"/>
            <w:vAlign w:val="center"/>
          </w:tcPr>
          <w:p w14:paraId="25268B1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210 (87.87)</w:t>
            </w:r>
          </w:p>
        </w:tc>
        <w:tc>
          <w:tcPr>
            <w:tcW w:w="2552" w:type="dxa"/>
            <w:vAlign w:val="center"/>
          </w:tcPr>
          <w:p w14:paraId="52B3A47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88 (74.58)</w:t>
            </w:r>
          </w:p>
        </w:tc>
        <w:tc>
          <w:tcPr>
            <w:tcW w:w="1263" w:type="dxa"/>
            <w:vAlign w:val="center"/>
          </w:tcPr>
          <w:p w14:paraId="50BA17C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7AABE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511CCF9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39" w:type="dxa"/>
            <w:vAlign w:val="center"/>
          </w:tcPr>
          <w:p w14:paraId="59550A9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59 (16.53)</w:t>
            </w:r>
          </w:p>
        </w:tc>
        <w:tc>
          <w:tcPr>
            <w:tcW w:w="2302" w:type="dxa"/>
            <w:vAlign w:val="center"/>
          </w:tcPr>
          <w:p w14:paraId="2E84B6F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29 (12.13)</w:t>
            </w:r>
          </w:p>
        </w:tc>
        <w:tc>
          <w:tcPr>
            <w:tcW w:w="2552" w:type="dxa"/>
            <w:vAlign w:val="center"/>
          </w:tcPr>
          <w:p w14:paraId="346C400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30 (25.42)</w:t>
            </w:r>
          </w:p>
        </w:tc>
        <w:tc>
          <w:tcPr>
            <w:tcW w:w="1263" w:type="dxa"/>
            <w:vAlign w:val="center"/>
          </w:tcPr>
          <w:p w14:paraId="37E22B8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0B742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309F8EC8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Tumour size, n(%)</w:t>
            </w:r>
          </w:p>
        </w:tc>
        <w:tc>
          <w:tcPr>
            <w:tcW w:w="2039" w:type="dxa"/>
            <w:vAlign w:val="center"/>
          </w:tcPr>
          <w:p w14:paraId="74355E4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3E6FB36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E421A9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2903A23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0.154</w:t>
            </w:r>
          </w:p>
        </w:tc>
      </w:tr>
      <w:tr w14:paraId="09CEB4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1220BB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≤3cm</w:t>
            </w:r>
          </w:p>
        </w:tc>
        <w:tc>
          <w:tcPr>
            <w:tcW w:w="2039" w:type="dxa"/>
            <w:vAlign w:val="center"/>
          </w:tcPr>
          <w:p w14:paraId="1228066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149 (41.74)</w:t>
            </w:r>
          </w:p>
        </w:tc>
        <w:tc>
          <w:tcPr>
            <w:tcW w:w="2302" w:type="dxa"/>
            <w:vAlign w:val="center"/>
          </w:tcPr>
          <w:p w14:paraId="2489991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106 (44.35)</w:t>
            </w:r>
          </w:p>
        </w:tc>
        <w:tc>
          <w:tcPr>
            <w:tcW w:w="2552" w:type="dxa"/>
            <w:vAlign w:val="center"/>
          </w:tcPr>
          <w:p w14:paraId="4DC31B9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43 (36.44)</w:t>
            </w:r>
          </w:p>
        </w:tc>
        <w:tc>
          <w:tcPr>
            <w:tcW w:w="1263" w:type="dxa"/>
            <w:vAlign w:val="center"/>
          </w:tcPr>
          <w:p w14:paraId="5106B80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7B9B35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59FD77B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＞3cm</w:t>
            </w:r>
          </w:p>
        </w:tc>
        <w:tc>
          <w:tcPr>
            <w:tcW w:w="2039" w:type="dxa"/>
            <w:vAlign w:val="center"/>
          </w:tcPr>
          <w:p w14:paraId="6BE5D9B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208 (58.26)</w:t>
            </w:r>
          </w:p>
        </w:tc>
        <w:tc>
          <w:tcPr>
            <w:tcW w:w="2302" w:type="dxa"/>
            <w:vAlign w:val="center"/>
          </w:tcPr>
          <w:p w14:paraId="6BDDB9C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133 (55.65)</w:t>
            </w:r>
          </w:p>
        </w:tc>
        <w:tc>
          <w:tcPr>
            <w:tcW w:w="2552" w:type="dxa"/>
            <w:vAlign w:val="center"/>
          </w:tcPr>
          <w:p w14:paraId="342C52E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75 (63.56)</w:t>
            </w:r>
          </w:p>
        </w:tc>
        <w:tc>
          <w:tcPr>
            <w:tcW w:w="1263" w:type="dxa"/>
            <w:vAlign w:val="center"/>
          </w:tcPr>
          <w:p w14:paraId="2375DC9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2FFBD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C71FA4F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CEA, n(%)</w:t>
            </w:r>
          </w:p>
        </w:tc>
        <w:tc>
          <w:tcPr>
            <w:tcW w:w="2039" w:type="dxa"/>
            <w:vAlign w:val="center"/>
          </w:tcPr>
          <w:p w14:paraId="0B9C576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07D1044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89EAC3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7A41238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&lt;.001</w:t>
            </w:r>
          </w:p>
        </w:tc>
      </w:tr>
      <w:tr w14:paraId="73247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6AD39CB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≤5 µg/L</w:t>
            </w:r>
          </w:p>
        </w:tc>
        <w:tc>
          <w:tcPr>
            <w:tcW w:w="2039" w:type="dxa"/>
            <w:vAlign w:val="center"/>
          </w:tcPr>
          <w:p w14:paraId="53306EA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228 (63.87)</w:t>
            </w:r>
          </w:p>
        </w:tc>
        <w:tc>
          <w:tcPr>
            <w:tcW w:w="2302" w:type="dxa"/>
            <w:vAlign w:val="center"/>
          </w:tcPr>
          <w:p w14:paraId="0410CF1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180 (75.31)</w:t>
            </w:r>
          </w:p>
        </w:tc>
        <w:tc>
          <w:tcPr>
            <w:tcW w:w="2552" w:type="dxa"/>
            <w:vAlign w:val="center"/>
          </w:tcPr>
          <w:p w14:paraId="13E4519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48 (40.68)</w:t>
            </w:r>
          </w:p>
        </w:tc>
        <w:tc>
          <w:tcPr>
            <w:tcW w:w="1263" w:type="dxa"/>
            <w:vAlign w:val="center"/>
          </w:tcPr>
          <w:p w14:paraId="391B9B6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551BC1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5864C77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＞5 µg/L</w:t>
            </w:r>
          </w:p>
        </w:tc>
        <w:tc>
          <w:tcPr>
            <w:tcW w:w="2039" w:type="dxa"/>
            <w:vAlign w:val="center"/>
          </w:tcPr>
          <w:p w14:paraId="2D44186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129 (36.13)</w:t>
            </w:r>
          </w:p>
        </w:tc>
        <w:tc>
          <w:tcPr>
            <w:tcW w:w="2302" w:type="dxa"/>
            <w:vAlign w:val="center"/>
          </w:tcPr>
          <w:p w14:paraId="28685BB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59 (24.69)</w:t>
            </w:r>
          </w:p>
        </w:tc>
        <w:tc>
          <w:tcPr>
            <w:tcW w:w="2552" w:type="dxa"/>
            <w:vAlign w:val="center"/>
          </w:tcPr>
          <w:p w14:paraId="4694505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70 (59.32)</w:t>
            </w:r>
          </w:p>
        </w:tc>
        <w:tc>
          <w:tcPr>
            <w:tcW w:w="1263" w:type="dxa"/>
            <w:vAlign w:val="center"/>
          </w:tcPr>
          <w:p w14:paraId="42DA8B3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07D9BB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24ED7D79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Surgical time, n(%)</w:t>
            </w:r>
          </w:p>
        </w:tc>
        <w:tc>
          <w:tcPr>
            <w:tcW w:w="2039" w:type="dxa"/>
            <w:vAlign w:val="center"/>
          </w:tcPr>
          <w:p w14:paraId="45F342C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2055B27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2AD82B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257B578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&lt;.001</w:t>
            </w:r>
          </w:p>
        </w:tc>
      </w:tr>
      <w:tr w14:paraId="3E356D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47036E5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≤240 min</w:t>
            </w:r>
          </w:p>
        </w:tc>
        <w:tc>
          <w:tcPr>
            <w:tcW w:w="2039" w:type="dxa"/>
            <w:vAlign w:val="center"/>
          </w:tcPr>
          <w:p w14:paraId="69ACDA0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268 (75.07)</w:t>
            </w:r>
          </w:p>
        </w:tc>
        <w:tc>
          <w:tcPr>
            <w:tcW w:w="2302" w:type="dxa"/>
            <w:vAlign w:val="center"/>
          </w:tcPr>
          <w:p w14:paraId="2735BB0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203 (84.94)</w:t>
            </w:r>
          </w:p>
        </w:tc>
        <w:tc>
          <w:tcPr>
            <w:tcW w:w="2552" w:type="dxa"/>
            <w:vAlign w:val="center"/>
          </w:tcPr>
          <w:p w14:paraId="5355C08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65 (55.08)</w:t>
            </w:r>
          </w:p>
        </w:tc>
        <w:tc>
          <w:tcPr>
            <w:tcW w:w="1263" w:type="dxa"/>
            <w:vAlign w:val="center"/>
          </w:tcPr>
          <w:p w14:paraId="1BC70C7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1A3A78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22BF12C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＞240 min</w:t>
            </w:r>
          </w:p>
        </w:tc>
        <w:tc>
          <w:tcPr>
            <w:tcW w:w="2039" w:type="dxa"/>
            <w:vAlign w:val="center"/>
          </w:tcPr>
          <w:p w14:paraId="1740E59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89 (24.93)</w:t>
            </w:r>
          </w:p>
        </w:tc>
        <w:tc>
          <w:tcPr>
            <w:tcW w:w="2302" w:type="dxa"/>
            <w:vAlign w:val="center"/>
          </w:tcPr>
          <w:p w14:paraId="2FB5992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36 (15.06)</w:t>
            </w:r>
          </w:p>
        </w:tc>
        <w:tc>
          <w:tcPr>
            <w:tcW w:w="2552" w:type="dxa"/>
            <w:vAlign w:val="center"/>
          </w:tcPr>
          <w:p w14:paraId="64C0E38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53 (44.92)</w:t>
            </w:r>
          </w:p>
        </w:tc>
        <w:tc>
          <w:tcPr>
            <w:tcW w:w="1263" w:type="dxa"/>
            <w:vAlign w:val="center"/>
          </w:tcPr>
          <w:p w14:paraId="56E4952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6B4C09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5033215D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Postoperative hospital stay, n(%)</w:t>
            </w:r>
          </w:p>
        </w:tc>
        <w:tc>
          <w:tcPr>
            <w:tcW w:w="2039" w:type="dxa"/>
            <w:vAlign w:val="center"/>
          </w:tcPr>
          <w:p w14:paraId="5493DB4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4751161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CC9CA5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346394B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0.187</w:t>
            </w:r>
          </w:p>
        </w:tc>
      </w:tr>
      <w:tr w14:paraId="726746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5F08794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≤10 days</w:t>
            </w:r>
          </w:p>
        </w:tc>
        <w:tc>
          <w:tcPr>
            <w:tcW w:w="2039" w:type="dxa"/>
            <w:vAlign w:val="center"/>
          </w:tcPr>
          <w:p w14:paraId="632298A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169 (47.34)</w:t>
            </w:r>
          </w:p>
        </w:tc>
        <w:tc>
          <w:tcPr>
            <w:tcW w:w="2302" w:type="dxa"/>
            <w:vAlign w:val="center"/>
          </w:tcPr>
          <w:p w14:paraId="4147070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119 (49.79)</w:t>
            </w:r>
          </w:p>
        </w:tc>
        <w:tc>
          <w:tcPr>
            <w:tcW w:w="2552" w:type="dxa"/>
            <w:vAlign w:val="center"/>
          </w:tcPr>
          <w:p w14:paraId="5CE6430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50 (42.37)</w:t>
            </w:r>
          </w:p>
        </w:tc>
        <w:tc>
          <w:tcPr>
            <w:tcW w:w="1263" w:type="dxa"/>
            <w:vAlign w:val="center"/>
          </w:tcPr>
          <w:p w14:paraId="08A6646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12F960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7F1799D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＞10 days</w:t>
            </w:r>
          </w:p>
        </w:tc>
        <w:tc>
          <w:tcPr>
            <w:tcW w:w="2039" w:type="dxa"/>
            <w:vAlign w:val="center"/>
          </w:tcPr>
          <w:p w14:paraId="4776384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188 (52.66)</w:t>
            </w:r>
          </w:p>
        </w:tc>
        <w:tc>
          <w:tcPr>
            <w:tcW w:w="2302" w:type="dxa"/>
            <w:vAlign w:val="center"/>
          </w:tcPr>
          <w:p w14:paraId="1D5AE8C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120 (50.21)</w:t>
            </w:r>
          </w:p>
        </w:tc>
        <w:tc>
          <w:tcPr>
            <w:tcW w:w="2552" w:type="dxa"/>
            <w:vAlign w:val="center"/>
          </w:tcPr>
          <w:p w14:paraId="43A09EA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68 (57.63)</w:t>
            </w:r>
          </w:p>
        </w:tc>
        <w:tc>
          <w:tcPr>
            <w:tcW w:w="1263" w:type="dxa"/>
            <w:vAlign w:val="center"/>
          </w:tcPr>
          <w:p w14:paraId="03F2C19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2C06C6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3F118E9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Chemotherapy, n(%)</w:t>
            </w:r>
          </w:p>
        </w:tc>
        <w:tc>
          <w:tcPr>
            <w:tcW w:w="2039" w:type="dxa"/>
            <w:vAlign w:val="center"/>
          </w:tcPr>
          <w:p w14:paraId="5355646E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0DFABC3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7140F5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079CF8F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0.038</w:t>
            </w:r>
          </w:p>
        </w:tc>
      </w:tr>
      <w:tr w14:paraId="0460DC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1AF95ED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39" w:type="dxa"/>
            <w:vAlign w:val="center"/>
          </w:tcPr>
          <w:p w14:paraId="6BB7FEC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164 (45.94)</w:t>
            </w:r>
          </w:p>
        </w:tc>
        <w:tc>
          <w:tcPr>
            <w:tcW w:w="2302" w:type="dxa"/>
            <w:vAlign w:val="center"/>
          </w:tcPr>
          <w:p w14:paraId="0CB5D34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119 (49.79)</w:t>
            </w:r>
          </w:p>
        </w:tc>
        <w:tc>
          <w:tcPr>
            <w:tcW w:w="2552" w:type="dxa"/>
            <w:vAlign w:val="center"/>
          </w:tcPr>
          <w:p w14:paraId="3676896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45 (38.14)</w:t>
            </w:r>
          </w:p>
        </w:tc>
        <w:tc>
          <w:tcPr>
            <w:tcW w:w="1263" w:type="dxa"/>
            <w:vAlign w:val="center"/>
          </w:tcPr>
          <w:p w14:paraId="7C81387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16FC3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12FC5EB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39" w:type="dxa"/>
            <w:vAlign w:val="center"/>
          </w:tcPr>
          <w:p w14:paraId="76CA204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193 (54.06)</w:t>
            </w:r>
          </w:p>
        </w:tc>
        <w:tc>
          <w:tcPr>
            <w:tcW w:w="2302" w:type="dxa"/>
            <w:vAlign w:val="center"/>
          </w:tcPr>
          <w:p w14:paraId="4344BAB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120 (50.21)</w:t>
            </w:r>
          </w:p>
        </w:tc>
        <w:tc>
          <w:tcPr>
            <w:tcW w:w="2552" w:type="dxa"/>
            <w:vAlign w:val="center"/>
          </w:tcPr>
          <w:p w14:paraId="3EBC4C4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73 (61.86)</w:t>
            </w:r>
          </w:p>
        </w:tc>
        <w:tc>
          <w:tcPr>
            <w:tcW w:w="1263" w:type="dxa"/>
            <w:vAlign w:val="center"/>
          </w:tcPr>
          <w:p w14:paraId="58C84B4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54F28F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65E37F15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Radiotherapy, n(%)</w:t>
            </w:r>
          </w:p>
        </w:tc>
        <w:tc>
          <w:tcPr>
            <w:tcW w:w="2039" w:type="dxa"/>
            <w:vAlign w:val="center"/>
          </w:tcPr>
          <w:p w14:paraId="638F36D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14:paraId="0838041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801B75A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14:paraId="24E3DF1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0.598</w:t>
            </w:r>
          </w:p>
        </w:tc>
      </w:tr>
      <w:tr w14:paraId="6771A1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786614A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No</w:t>
            </w:r>
          </w:p>
        </w:tc>
        <w:tc>
          <w:tcPr>
            <w:tcW w:w="2039" w:type="dxa"/>
            <w:vAlign w:val="center"/>
          </w:tcPr>
          <w:p w14:paraId="7F330FF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287 (80.39)</w:t>
            </w:r>
          </w:p>
        </w:tc>
        <w:tc>
          <w:tcPr>
            <w:tcW w:w="2302" w:type="dxa"/>
            <w:vAlign w:val="center"/>
          </w:tcPr>
          <w:p w14:paraId="64F8C46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194 (81.17)</w:t>
            </w:r>
          </w:p>
        </w:tc>
        <w:tc>
          <w:tcPr>
            <w:tcW w:w="2552" w:type="dxa"/>
            <w:vAlign w:val="center"/>
          </w:tcPr>
          <w:p w14:paraId="3693BAD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93 (78.81)</w:t>
            </w:r>
          </w:p>
        </w:tc>
        <w:tc>
          <w:tcPr>
            <w:tcW w:w="1263" w:type="dxa"/>
            <w:vAlign w:val="center"/>
          </w:tcPr>
          <w:p w14:paraId="5C73F45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76B81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D59C49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Yes</w:t>
            </w:r>
          </w:p>
        </w:tc>
        <w:tc>
          <w:tcPr>
            <w:tcW w:w="2039" w:type="dxa"/>
            <w:vAlign w:val="center"/>
          </w:tcPr>
          <w:p w14:paraId="47D6A8E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70 (19.61)</w:t>
            </w:r>
          </w:p>
        </w:tc>
        <w:tc>
          <w:tcPr>
            <w:tcW w:w="2302" w:type="dxa"/>
            <w:vAlign w:val="center"/>
          </w:tcPr>
          <w:p w14:paraId="111A383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45 (18.83)</w:t>
            </w:r>
          </w:p>
        </w:tc>
        <w:tc>
          <w:tcPr>
            <w:tcW w:w="2552" w:type="dxa"/>
            <w:vAlign w:val="center"/>
          </w:tcPr>
          <w:p w14:paraId="35EAE2A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25 (21.19)</w:t>
            </w:r>
          </w:p>
        </w:tc>
        <w:tc>
          <w:tcPr>
            <w:tcW w:w="1263" w:type="dxa"/>
            <w:vAlign w:val="center"/>
          </w:tcPr>
          <w:p w14:paraId="0F06109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</w:p>
        </w:tc>
      </w:tr>
      <w:tr w14:paraId="7FCC1C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0F9A3CB1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Platelet, Mean ± SD</w:t>
            </w:r>
          </w:p>
        </w:tc>
        <w:tc>
          <w:tcPr>
            <w:tcW w:w="2039" w:type="dxa"/>
            <w:vAlign w:val="center"/>
          </w:tcPr>
          <w:p w14:paraId="2B171BF5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229.57 ± 71.91</w:t>
            </w:r>
          </w:p>
        </w:tc>
        <w:tc>
          <w:tcPr>
            <w:tcW w:w="2302" w:type="dxa"/>
            <w:vAlign w:val="center"/>
          </w:tcPr>
          <w:p w14:paraId="30984EB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225.64 ± 65.32</w:t>
            </w:r>
          </w:p>
        </w:tc>
        <w:tc>
          <w:tcPr>
            <w:tcW w:w="2552" w:type="dxa"/>
            <w:vAlign w:val="center"/>
          </w:tcPr>
          <w:p w14:paraId="5E0F70C1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237.54 ± 83.44</w:t>
            </w:r>
          </w:p>
        </w:tc>
        <w:tc>
          <w:tcPr>
            <w:tcW w:w="1263" w:type="dxa"/>
            <w:vAlign w:val="center"/>
          </w:tcPr>
          <w:p w14:paraId="11658C8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0.176</w:t>
            </w:r>
          </w:p>
        </w:tc>
      </w:tr>
      <w:tr w14:paraId="4FE5FA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5469CE8A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Monocyte, Mean ± SD</w:t>
            </w:r>
          </w:p>
        </w:tc>
        <w:tc>
          <w:tcPr>
            <w:tcW w:w="2039" w:type="dxa"/>
            <w:vAlign w:val="center"/>
          </w:tcPr>
          <w:p w14:paraId="7A25768C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0.47 ± 0.19</w:t>
            </w:r>
          </w:p>
        </w:tc>
        <w:tc>
          <w:tcPr>
            <w:tcW w:w="2302" w:type="dxa"/>
            <w:vAlign w:val="center"/>
          </w:tcPr>
          <w:p w14:paraId="0A41C0B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0.43 ± 0.16</w:t>
            </w:r>
          </w:p>
        </w:tc>
        <w:tc>
          <w:tcPr>
            <w:tcW w:w="2552" w:type="dxa"/>
            <w:vAlign w:val="center"/>
          </w:tcPr>
          <w:p w14:paraId="178AD6A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0.55 ± 0.22</w:t>
            </w:r>
          </w:p>
        </w:tc>
        <w:tc>
          <w:tcPr>
            <w:tcW w:w="1263" w:type="dxa"/>
            <w:vAlign w:val="center"/>
          </w:tcPr>
          <w:p w14:paraId="445A1BB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&lt;.001</w:t>
            </w:r>
          </w:p>
        </w:tc>
      </w:tr>
      <w:tr w14:paraId="0012E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44D32A3E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Neutrophile, Mean ± SD</w:t>
            </w:r>
          </w:p>
        </w:tc>
        <w:tc>
          <w:tcPr>
            <w:tcW w:w="2039" w:type="dxa"/>
            <w:vAlign w:val="center"/>
          </w:tcPr>
          <w:p w14:paraId="740866F6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3.68 ± 1.30</w:t>
            </w:r>
          </w:p>
        </w:tc>
        <w:tc>
          <w:tcPr>
            <w:tcW w:w="2302" w:type="dxa"/>
            <w:vAlign w:val="center"/>
          </w:tcPr>
          <w:p w14:paraId="0162CE6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3.48 ± 1.19</w:t>
            </w:r>
          </w:p>
        </w:tc>
        <w:tc>
          <w:tcPr>
            <w:tcW w:w="2552" w:type="dxa"/>
            <w:vAlign w:val="center"/>
          </w:tcPr>
          <w:p w14:paraId="4695E42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4.07 ± 1.42</w:t>
            </w:r>
          </w:p>
        </w:tc>
        <w:tc>
          <w:tcPr>
            <w:tcW w:w="1263" w:type="dxa"/>
            <w:vAlign w:val="center"/>
          </w:tcPr>
          <w:p w14:paraId="7F5F24C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&lt;.001</w:t>
            </w:r>
          </w:p>
        </w:tc>
      </w:tr>
      <w:tr w14:paraId="071F8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7007891F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Lymphocyte, Mean ± SD</w:t>
            </w:r>
          </w:p>
        </w:tc>
        <w:tc>
          <w:tcPr>
            <w:tcW w:w="2039" w:type="dxa"/>
            <w:vAlign w:val="center"/>
          </w:tcPr>
          <w:p w14:paraId="6C24505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1.61 ± 0.86</w:t>
            </w:r>
          </w:p>
        </w:tc>
        <w:tc>
          <w:tcPr>
            <w:tcW w:w="2302" w:type="dxa"/>
            <w:vAlign w:val="center"/>
          </w:tcPr>
          <w:p w14:paraId="482A03D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1.63 ± 0.92</w:t>
            </w:r>
          </w:p>
        </w:tc>
        <w:tc>
          <w:tcPr>
            <w:tcW w:w="2552" w:type="dxa"/>
            <w:vAlign w:val="center"/>
          </w:tcPr>
          <w:p w14:paraId="0EE18BC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1.56 ± 0.71</w:t>
            </w:r>
          </w:p>
        </w:tc>
        <w:tc>
          <w:tcPr>
            <w:tcW w:w="1263" w:type="dxa"/>
            <w:vAlign w:val="center"/>
          </w:tcPr>
          <w:p w14:paraId="7DBAECE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0.5</w:t>
            </w:r>
          </w:p>
        </w:tc>
      </w:tr>
      <w:tr w14:paraId="4607B3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60A1CEFF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NLR, M (IQR)</w:t>
            </w:r>
          </w:p>
        </w:tc>
        <w:tc>
          <w:tcPr>
            <w:tcW w:w="2039" w:type="dxa"/>
            <w:vAlign w:val="center"/>
          </w:tcPr>
          <w:p w14:paraId="3A8EF5FD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2.33 (1.75, 3.11)</w:t>
            </w:r>
          </w:p>
        </w:tc>
        <w:tc>
          <w:tcPr>
            <w:tcW w:w="2302" w:type="dxa"/>
            <w:vAlign w:val="center"/>
          </w:tcPr>
          <w:p w14:paraId="197FAD39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2.25 (1.67, 2.91)</w:t>
            </w:r>
          </w:p>
        </w:tc>
        <w:tc>
          <w:tcPr>
            <w:tcW w:w="2552" w:type="dxa"/>
            <w:vAlign w:val="center"/>
          </w:tcPr>
          <w:p w14:paraId="5225340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2.51 (1.91, 3.53)</w:t>
            </w:r>
          </w:p>
        </w:tc>
        <w:tc>
          <w:tcPr>
            <w:tcW w:w="1263" w:type="dxa"/>
            <w:vAlign w:val="center"/>
          </w:tcPr>
          <w:p w14:paraId="7849E5F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0.001</w:t>
            </w:r>
          </w:p>
        </w:tc>
      </w:tr>
      <w:tr w14:paraId="460D8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308505BC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PLR, M (IQR)</w:t>
            </w:r>
          </w:p>
        </w:tc>
        <w:tc>
          <w:tcPr>
            <w:tcW w:w="2039" w:type="dxa"/>
            <w:vAlign w:val="center"/>
          </w:tcPr>
          <w:p w14:paraId="7A39C9DF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146.11 (110.00, 201.11)</w:t>
            </w:r>
          </w:p>
        </w:tc>
        <w:tc>
          <w:tcPr>
            <w:tcW w:w="2302" w:type="dxa"/>
            <w:vAlign w:val="center"/>
          </w:tcPr>
          <w:p w14:paraId="16026248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140.50 (110.00, 192.85)</w:t>
            </w:r>
          </w:p>
        </w:tc>
        <w:tc>
          <w:tcPr>
            <w:tcW w:w="2552" w:type="dxa"/>
            <w:vAlign w:val="center"/>
          </w:tcPr>
          <w:p w14:paraId="748117C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166.33 (111.12, 211.15)</w:t>
            </w:r>
          </w:p>
        </w:tc>
        <w:tc>
          <w:tcPr>
            <w:tcW w:w="1263" w:type="dxa"/>
            <w:vAlign w:val="center"/>
          </w:tcPr>
          <w:p w14:paraId="177A3344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0.13</w:t>
            </w:r>
          </w:p>
        </w:tc>
      </w:tr>
      <w:tr w14:paraId="25371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vAlign w:val="center"/>
          </w:tcPr>
          <w:p w14:paraId="1047E22C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MLR, M(IQR)</w:t>
            </w:r>
          </w:p>
        </w:tc>
        <w:tc>
          <w:tcPr>
            <w:tcW w:w="2039" w:type="dxa"/>
            <w:vAlign w:val="center"/>
          </w:tcPr>
          <w:p w14:paraId="30BC76B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0.29 (0.22, 0.40)</w:t>
            </w:r>
          </w:p>
        </w:tc>
        <w:tc>
          <w:tcPr>
            <w:tcW w:w="2302" w:type="dxa"/>
            <w:vAlign w:val="center"/>
          </w:tcPr>
          <w:p w14:paraId="492253C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0.27 (0.20, 0.36)</w:t>
            </w:r>
          </w:p>
        </w:tc>
        <w:tc>
          <w:tcPr>
            <w:tcW w:w="2552" w:type="dxa"/>
            <w:vAlign w:val="center"/>
          </w:tcPr>
          <w:p w14:paraId="44F57760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0.35 (0.27, 0.46)</w:t>
            </w:r>
          </w:p>
        </w:tc>
        <w:tc>
          <w:tcPr>
            <w:tcW w:w="1263" w:type="dxa"/>
            <w:vAlign w:val="center"/>
          </w:tcPr>
          <w:p w14:paraId="17F1758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&lt;.001</w:t>
            </w:r>
          </w:p>
        </w:tc>
      </w:tr>
      <w:tr w14:paraId="7E69E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  <w:tcBorders>
              <w:bottom w:val="single" w:color="auto" w:sz="12" w:space="0"/>
            </w:tcBorders>
            <w:vAlign w:val="center"/>
          </w:tcPr>
          <w:p w14:paraId="4E5CA7BA">
            <w:pPr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ICPI, Mean ± SD</w:t>
            </w:r>
          </w:p>
        </w:tc>
        <w:tc>
          <w:tcPr>
            <w:tcW w:w="2039" w:type="dxa"/>
            <w:tcBorders>
              <w:bottom w:val="single" w:color="auto" w:sz="12" w:space="0"/>
            </w:tcBorders>
            <w:vAlign w:val="center"/>
          </w:tcPr>
          <w:p w14:paraId="539B744B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2.96 ± 2.82</w:t>
            </w:r>
          </w:p>
        </w:tc>
        <w:tc>
          <w:tcPr>
            <w:tcW w:w="2302" w:type="dxa"/>
            <w:tcBorders>
              <w:bottom w:val="single" w:color="auto" w:sz="12" w:space="0"/>
            </w:tcBorders>
            <w:vAlign w:val="center"/>
          </w:tcPr>
          <w:p w14:paraId="0DC94667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2.32 ± 2.60</w:t>
            </w:r>
          </w:p>
        </w:tc>
        <w:tc>
          <w:tcPr>
            <w:tcW w:w="2552" w:type="dxa"/>
            <w:tcBorders>
              <w:bottom w:val="single" w:color="auto" w:sz="12" w:space="0"/>
            </w:tcBorders>
            <w:vAlign w:val="center"/>
          </w:tcPr>
          <w:p w14:paraId="7D9E9922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4.27 ± 2.79</w:t>
            </w:r>
          </w:p>
        </w:tc>
        <w:tc>
          <w:tcPr>
            <w:tcW w:w="1263" w:type="dxa"/>
            <w:tcBorders>
              <w:bottom w:val="single" w:color="auto" w:sz="12" w:space="0"/>
            </w:tcBorders>
            <w:vAlign w:val="center"/>
          </w:tcPr>
          <w:p w14:paraId="4865A4A3">
            <w:pPr>
              <w:jc w:val="center"/>
              <w:rPr>
                <w:rFonts w:ascii="Times New Roman" w:hAnsi="Times New Roman" w:eastAsia="宋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&lt;.001</w:t>
            </w:r>
          </w:p>
        </w:tc>
      </w:tr>
    </w:tbl>
    <w:p w14:paraId="3F026E61"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  <w:b/>
          <w:bCs/>
          <w:i/>
          <w:iCs/>
        </w:rPr>
        <w:t>ASA</w:t>
      </w:r>
      <w:r>
        <w:rPr>
          <w:rFonts w:hint="eastAsia" w:ascii="Times New Roman" w:hAnsi="Times New Roman" w:eastAsia="宋体"/>
        </w:rPr>
        <w:t xml:space="preserve">: American Society of Anesthesiologists; </w:t>
      </w:r>
      <w:r>
        <w:rPr>
          <w:rFonts w:hint="eastAsia" w:ascii="Times New Roman" w:hAnsi="Times New Roman" w:eastAsia="宋体"/>
          <w:b/>
          <w:bCs/>
          <w:i/>
          <w:iCs/>
        </w:rPr>
        <w:t>NLR</w:t>
      </w:r>
      <w:r>
        <w:rPr>
          <w:rFonts w:hint="eastAsia" w:ascii="Times New Roman" w:hAnsi="Times New Roman" w:eastAsia="宋体"/>
        </w:rPr>
        <w:t xml:space="preserve">: Neutrophil- to- Lymphocyte Ratio; </w:t>
      </w:r>
      <w:r>
        <w:rPr>
          <w:rFonts w:hint="eastAsia" w:ascii="Times New Roman" w:hAnsi="Times New Roman" w:eastAsia="宋体"/>
          <w:b/>
          <w:bCs/>
          <w:i/>
          <w:iCs/>
        </w:rPr>
        <w:t>PLR</w:t>
      </w:r>
      <w:r>
        <w:rPr>
          <w:rFonts w:hint="eastAsia" w:ascii="Times New Roman" w:hAnsi="Times New Roman" w:eastAsia="宋体"/>
        </w:rPr>
        <w:t xml:space="preserve">:  Platelet-Lymphocyte Ratio; </w:t>
      </w:r>
      <w:r>
        <w:rPr>
          <w:rFonts w:hint="eastAsia" w:ascii="Times New Roman" w:hAnsi="Times New Roman" w:eastAsia="宋体"/>
          <w:b/>
          <w:bCs/>
          <w:i/>
          <w:iCs/>
        </w:rPr>
        <w:t>MLR</w:t>
      </w:r>
      <w:r>
        <w:rPr>
          <w:rFonts w:hint="eastAsia" w:ascii="Times New Roman" w:hAnsi="Times New Roman" w:eastAsia="宋体"/>
        </w:rPr>
        <w:t xml:space="preserve">: Monocyte Lymphocyte Ratio; </w:t>
      </w:r>
      <w:r>
        <w:rPr>
          <w:rFonts w:hint="eastAsia" w:ascii="Times New Roman" w:hAnsi="Times New Roman" w:eastAsia="宋体"/>
          <w:b/>
          <w:bCs/>
          <w:i/>
          <w:iCs/>
        </w:rPr>
        <w:t>ICPI</w:t>
      </w:r>
      <w:r>
        <w:rPr>
          <w:rFonts w:hint="eastAsia" w:ascii="Times New Roman" w:hAnsi="Times New Roman" w:eastAsia="宋体"/>
        </w:rPr>
        <w:t xml:space="preserve">: Inflammation-Combined Prognostic Index; </w:t>
      </w:r>
      <w:r>
        <w:rPr>
          <w:rFonts w:hint="eastAsia" w:ascii="Times New Roman" w:hAnsi="Times New Roman" w:eastAsia="宋体"/>
          <w:b/>
          <w:bCs/>
          <w:i/>
          <w:iCs/>
        </w:rPr>
        <w:t xml:space="preserve">TNM </w:t>
      </w:r>
      <w:r>
        <w:rPr>
          <w:rFonts w:hint="eastAsia" w:ascii="Times New Roman" w:hAnsi="Times New Roman" w:eastAsia="宋体"/>
        </w:rPr>
        <w:t xml:space="preserve">stage: The 8th edition of the American Joint Committee on Cancer (AJCC) staging system; </w:t>
      </w:r>
      <w:r>
        <w:rPr>
          <w:rFonts w:hint="eastAsia" w:ascii="Times New Roman" w:hAnsi="Times New Roman" w:eastAsia="宋体"/>
          <w:b/>
          <w:bCs/>
          <w:i/>
          <w:iCs/>
        </w:rPr>
        <w:t>CEA</w:t>
      </w:r>
      <w:r>
        <w:rPr>
          <w:rFonts w:hint="eastAsia" w:ascii="Times New Roman" w:hAnsi="Times New Roman" w:eastAsia="宋体"/>
        </w:rPr>
        <w:t>: carcinoembryonic antigen;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宋体"/>
          <w:b/>
          <w:bCs/>
          <w:i/>
          <w:iCs/>
        </w:rPr>
        <w:t>IQR</w:t>
      </w:r>
      <w:r>
        <w:rPr>
          <w:rFonts w:hint="eastAsia" w:ascii="Times New Roman" w:hAnsi="Times New Roman" w:eastAsia="宋体"/>
        </w:rPr>
        <w:t>: InterQuartile Range;</w:t>
      </w:r>
    </w:p>
    <w:p w14:paraId="5B514765">
      <w:pPr>
        <w:rPr>
          <w:rFonts w:hint="eastAsia"/>
        </w:rPr>
      </w:pPr>
    </w:p>
    <w:sectPr>
      <w:pgSz w:w="11906" w:h="16838"/>
      <w:pgMar w:top="1418" w:right="851" w:bottom="1418" w:left="851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3FC"/>
    <w:rsid w:val="000505A4"/>
    <w:rsid w:val="000C314B"/>
    <w:rsid w:val="00164995"/>
    <w:rsid w:val="001C06F0"/>
    <w:rsid w:val="002155C4"/>
    <w:rsid w:val="00237206"/>
    <w:rsid w:val="002A06C1"/>
    <w:rsid w:val="00481CE4"/>
    <w:rsid w:val="004A7509"/>
    <w:rsid w:val="00502EB6"/>
    <w:rsid w:val="005726F3"/>
    <w:rsid w:val="005A1E67"/>
    <w:rsid w:val="00645359"/>
    <w:rsid w:val="006812C9"/>
    <w:rsid w:val="00684093"/>
    <w:rsid w:val="006F0C81"/>
    <w:rsid w:val="007003FC"/>
    <w:rsid w:val="00710174"/>
    <w:rsid w:val="00770076"/>
    <w:rsid w:val="007A0B92"/>
    <w:rsid w:val="00826C74"/>
    <w:rsid w:val="0087482A"/>
    <w:rsid w:val="008831C2"/>
    <w:rsid w:val="008B77D4"/>
    <w:rsid w:val="008C77FF"/>
    <w:rsid w:val="008E4A0A"/>
    <w:rsid w:val="00912813"/>
    <w:rsid w:val="00A236FC"/>
    <w:rsid w:val="00B20598"/>
    <w:rsid w:val="00BB2454"/>
    <w:rsid w:val="00C56015"/>
    <w:rsid w:val="00D47EF8"/>
    <w:rsid w:val="00DB5847"/>
    <w:rsid w:val="00E14DB0"/>
    <w:rsid w:val="00E26E12"/>
    <w:rsid w:val="00EE03B5"/>
    <w:rsid w:val="00EF79E2"/>
    <w:rsid w:val="439A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微软雅黑 Light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  <w14:ligatures w14:val="standardContextual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99"/>
    <w:rPr>
      <w:rFonts w:ascii="等线 Light" w:hAnsi="等线 Light" w:eastAsia="黑体"/>
      <w:sz w:val="20"/>
      <w:szCs w:val="20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line number"/>
    <w:basedOn w:val="7"/>
    <w:semiHidden/>
    <w:unhideWhenUsed/>
    <w:uiPriority w:val="99"/>
  </w:style>
  <w:style w:type="table" w:customStyle="1" w:styleId="9">
    <w:name w:val="三线表"/>
    <w:basedOn w:val="5"/>
    <w:uiPriority w:val="99"/>
    <w:rPr>
      <w:rFonts w:eastAsia="宋体" w:cs="Times New Roman"/>
      <w:kern w:val="0"/>
      <w:szCs w:val="20"/>
    </w:rPr>
    <w:tblPr>
      <w:tblBorders>
        <w:top w:val="single" w:color="auto" w:sz="4" w:space="0"/>
        <w:bottom w:val="single" w:color="auto" w:sz="4" w:space="0"/>
      </w:tblBorders>
    </w:tblPr>
    <w:tblStylePr w:type="firstRow">
      <w:rPr>
        <w:rFonts w:eastAsia="宋体"/>
        <w:sz w:val="21"/>
      </w:rPr>
      <w:tcPr>
        <w:tcBorders>
          <w:bottom w:val="single" w:color="auto" w:sz="4" w:space="0"/>
        </w:tcBorders>
      </w:tcPr>
    </w:tblStylePr>
  </w:style>
  <w:style w:type="character" w:customStyle="1" w:styleId="10">
    <w:name w:val="页眉 字符"/>
    <w:basedOn w:val="7"/>
    <w:link w:val="4"/>
    <w:qFormat/>
    <w:uiPriority w:val="99"/>
    <w:rPr>
      <w:rFonts w:ascii="等线" w:hAnsi="等线" w:eastAsia="等线" w:cs="Times New Roman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rFonts w:ascii="等线" w:hAnsi="等线" w:eastAsia="等线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682</Words>
  <Characters>3210</Characters>
  <Lines>33</Lines>
  <Paragraphs>9</Paragraphs>
  <TotalTime>9</TotalTime>
  <ScaleCrop>false</ScaleCrop>
  <LinksUpToDate>false</LinksUpToDate>
  <CharactersWithSpaces>4271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2024-12-10T10:25:00Z</dcterms:created>
  <dc:creator>李祥勇</dc:creator>
  <cp:lastModifiedBy>大山</cp:lastModifiedBy>
  <dcterms:modified xsi:type="dcterms:W3CDTF">2025-03-20T14:01:10Z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eyJoZGlkIjoiZWQ0MmEzOWUwYjU2ZmIzM2QxYjIzOTEzYWMwODkxOTYiLCJ1c2VySWQiOiIyODk0NTcwNjkifQ==</vt:lpwstr>
  </property>
  <property fmtid="{D5CDD505-2E9C-101B-9397-08002B2CF9AE}" pid="3" name="KSOProductBuildVer">
    <vt:lpwstr>2052-12.1.0.20305</vt:lpwstr>
  </property>
  <property fmtid="{D5CDD505-2E9C-101B-9397-08002B2CF9AE}" pid="4" name="ICV">
    <vt:lpwstr>69ECF4ABA05C419AA509034F932C3A91_12</vt:lpwstr>
  </property>
</Properties>
</file>