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BA77" w14:textId="77777777" w:rsidR="004A257B" w:rsidRDefault="004A257B" w:rsidP="004A257B">
      <w:pPr>
        <w:spacing w:after="0" w:line="240" w:lineRule="auto"/>
        <w:rPr>
          <w:rFonts w:eastAsia="Times New Roman" w:cs="Times New Roman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2979"/>
        <w:gridCol w:w="991"/>
        <w:gridCol w:w="991"/>
        <w:gridCol w:w="992"/>
        <w:gridCol w:w="993"/>
        <w:gridCol w:w="909"/>
        <w:gridCol w:w="1076"/>
      </w:tblGrid>
      <w:tr w:rsidR="004A257B" w:rsidRPr="0049319A" w14:paraId="0A31B694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9543528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b/>
                <w:bCs/>
                <w:color w:val="000000"/>
                <w:szCs w:val="24"/>
              </w:rPr>
              <w:t>Region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E8815C7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b/>
                <w:bCs/>
                <w:color w:val="000000"/>
                <w:szCs w:val="24"/>
              </w:rPr>
              <w:t>Metric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14:paraId="65B82964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Metric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18C0B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Metric 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1A5E8BA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Metric 4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</w:tcPr>
          <w:p w14:paraId="54DDDC8B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Metric 5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5E62AA72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Metric 6</w:t>
            </w:r>
          </w:p>
        </w:tc>
      </w:tr>
      <w:tr w:rsidR="004A257B" w:rsidRPr="0049319A" w14:paraId="0536D1F4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F31B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Insular Cortex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1426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DB844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2E6F7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35889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87290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8FBC47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4147DF71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2F2C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Inferior Frontal Gyrus; pars triangularis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B60EF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28245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22C7BEB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9A9ABE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92F69F4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B009B04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3F23F2C3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B69B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Postcentral Gyrus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603B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57257E17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631D35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6466D2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1BC98E10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1E5BB463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5F4D9607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F08A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Lateral Occipital Cortex; superior division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C5D5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DAE6535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6D5A2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2850F9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11B75353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1045C1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233E7810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62CF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Lateral Occipital Cortex; inferior division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77FE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3E0081E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4A42D42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6905F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D165EB2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E3BB293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6420C932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BC4E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Juxtapositional Lobule Cortex -formerly Supplementary Motor Cortex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C28C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2F82FE7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528FDA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6588D1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1A3EA5FA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0721872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14AE6ECC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5FB3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Central Opercular Cortex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3C61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0A1833BA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851BEB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8CECCC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7765338F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077F2E8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658CE14C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4AA7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Parietal Operculum Cortex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8CAB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647273D2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D2239F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AD468E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47788D7A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76D85DA1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A257B" w:rsidRPr="0049319A" w14:paraId="6F148224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B88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49319A">
              <w:rPr>
                <w:rFonts w:eastAsia="Times New Roman" w:cs="Times New Roman"/>
                <w:color w:val="000000"/>
                <w:szCs w:val="24"/>
              </w:rPr>
              <w:t xml:space="preserve"> Crus1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41F7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LE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E46673D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F36613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9FDBB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APL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78BCDC3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CC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0058F0A4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</w:tr>
      <w:tr w:rsidR="004A257B" w:rsidRPr="0049319A" w14:paraId="459095CD" w14:textId="77777777" w:rsidTr="00615A72">
        <w:trPr>
          <w:trHeight w:val="300"/>
          <w:jc w:val="center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92A0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Cerebellum</w:t>
            </w:r>
            <w:r w:rsidRPr="0049319A">
              <w:rPr>
                <w:rFonts w:eastAsia="Times New Roman" w:cs="Times New Roman"/>
                <w:color w:val="000000"/>
                <w:szCs w:val="24"/>
              </w:rPr>
              <w:t xml:space="preserve"> 4 5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A313" w14:textId="77777777" w:rsidR="004A257B" w:rsidRPr="0049319A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3166C40E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GE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7C1C3F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9319A">
              <w:rPr>
                <w:rFonts w:eastAsia="Times New Roman" w:cs="Times New Roman"/>
                <w:color w:val="000000"/>
                <w:szCs w:val="24"/>
              </w:rPr>
              <w:t>Cost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and Degree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A546F33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43AAC4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39EFF4D6" w14:textId="77777777" w:rsidR="004A257B" w:rsidRDefault="004A257B" w:rsidP="00615A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BC</w:t>
            </w:r>
          </w:p>
        </w:tc>
      </w:tr>
    </w:tbl>
    <w:p w14:paraId="3C927CD3" w14:textId="77777777" w:rsidR="00E95737" w:rsidRPr="000C1704" w:rsidRDefault="00E95737" w:rsidP="00E95737">
      <w:pPr>
        <w:spacing w:after="0" w:line="240" w:lineRule="auto"/>
        <w:jc w:val="both"/>
        <w:rPr>
          <w:rFonts w:eastAsia="Times New Roman" w:cs="Times New Roman"/>
          <w:i/>
          <w:szCs w:val="24"/>
        </w:rPr>
      </w:pPr>
      <w:r w:rsidRPr="000C1704">
        <w:rPr>
          <w:rFonts w:cs="Times New Roman"/>
          <w:i/>
          <w:szCs w:val="24"/>
        </w:rPr>
        <w:t>Supplementary Table 3. Regions which showed significant left/right difference of connectivity</w:t>
      </w:r>
      <w:r>
        <w:rPr>
          <w:rFonts w:cs="Times New Roman"/>
          <w:i/>
          <w:szCs w:val="24"/>
        </w:rPr>
        <w:t xml:space="preserve"> by graph metrics</w:t>
      </w:r>
      <w:r w:rsidRPr="000C1704">
        <w:rPr>
          <w:rFonts w:cs="Times New Roman"/>
          <w:i/>
          <w:szCs w:val="24"/>
        </w:rPr>
        <w:t xml:space="preserve"> both in the Local and the ADNI dataset</w:t>
      </w:r>
      <w:r>
        <w:rPr>
          <w:rFonts w:cs="Times New Roman"/>
          <w:i/>
          <w:szCs w:val="24"/>
        </w:rPr>
        <w:t>. Data were analysed without Bonferroni correction.</w:t>
      </w:r>
    </w:p>
    <w:p w14:paraId="2276A486" w14:textId="77777777" w:rsidR="00E95737" w:rsidRDefault="00E95737" w:rsidP="004A257B">
      <w:pPr>
        <w:pStyle w:val="Caption"/>
        <w:spacing w:after="0"/>
        <w:rPr>
          <w:rFonts w:cs="Times New Roman"/>
          <w:i w:val="0"/>
          <w:color w:val="auto"/>
          <w:sz w:val="20"/>
          <w:szCs w:val="20"/>
        </w:rPr>
      </w:pPr>
    </w:p>
    <w:p w14:paraId="56CFAE11" w14:textId="556F1B49" w:rsidR="004A257B" w:rsidRPr="000773A5" w:rsidRDefault="00162593" w:rsidP="004A257B">
      <w:pPr>
        <w:pStyle w:val="Caption"/>
        <w:spacing w:after="0"/>
        <w:rPr>
          <w:rFonts w:eastAsia="Times New Roman" w:cs="Times New Roman"/>
          <w:i w:val="0"/>
          <w:color w:val="auto"/>
          <w:sz w:val="20"/>
          <w:szCs w:val="20"/>
        </w:rPr>
      </w:pPr>
      <w:r>
        <w:rPr>
          <w:rFonts w:cs="Times New Roman"/>
          <w:i w:val="0"/>
          <w:color w:val="auto"/>
          <w:sz w:val="20"/>
          <w:szCs w:val="20"/>
        </w:rPr>
        <w:t xml:space="preserve">Abbreviations: </w:t>
      </w:r>
      <w:r w:rsidR="004A257B" w:rsidRPr="000773A5">
        <w:rPr>
          <w:rFonts w:cs="Times New Roman"/>
          <w:i w:val="0"/>
          <w:color w:val="auto"/>
          <w:sz w:val="20"/>
          <w:szCs w:val="20"/>
        </w:rPr>
        <w:t>GE: Global Efficiency, APL: Average Path Length, LE: Local Efficiency, CC: Clustering Coefficient, BC: Betweenness Centrality</w:t>
      </w:r>
    </w:p>
    <w:p w14:paraId="309DCE2A" w14:textId="77777777" w:rsidR="00C62BE8" w:rsidRDefault="00C62BE8"/>
    <w:sectPr w:rsidR="00C62BE8" w:rsidSect="008C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C5"/>
    <w:rsid w:val="00162593"/>
    <w:rsid w:val="001B7F0F"/>
    <w:rsid w:val="004A257B"/>
    <w:rsid w:val="00705F97"/>
    <w:rsid w:val="008C45E4"/>
    <w:rsid w:val="008D207C"/>
    <w:rsid w:val="00A469AC"/>
    <w:rsid w:val="00C62BE8"/>
    <w:rsid w:val="00E95737"/>
    <w:rsid w:val="00FA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1FA9"/>
  <w15:chartTrackingRefBased/>
  <w15:docId w15:val="{73B88200-ADCB-4099-AC97-93EE3B02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7B"/>
    <w:rPr>
      <w:rFonts w:ascii="Times New Roman" w:eastAsia="Calibri" w:hAnsi="Times New Roman" w:cs="Calibri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3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3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3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3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3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3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3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2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3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2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3C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2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3C5"/>
    <w:pPr>
      <w:ind w:left="720"/>
      <w:contextualSpacing/>
    </w:pPr>
    <w:rPr>
      <w:rFonts w:asciiTheme="minorHAnsi" w:eastAsiaTheme="minorHAnsi" w:hAnsiTheme="minorHAnsi" w:cstheme="minorBidi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2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3C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4A257B"/>
    <w:pPr>
      <w:spacing w:after="200" w:line="240" w:lineRule="auto"/>
    </w:pPr>
    <w:rPr>
      <w:i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 Gergő</dc:creator>
  <cp:keywords/>
  <dc:description/>
  <cp:lastModifiedBy>Bolla Gergő</cp:lastModifiedBy>
  <cp:revision>4</cp:revision>
  <dcterms:created xsi:type="dcterms:W3CDTF">2024-12-19T19:32:00Z</dcterms:created>
  <dcterms:modified xsi:type="dcterms:W3CDTF">2024-12-19T20:43:00Z</dcterms:modified>
</cp:coreProperties>
</file>