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1439E" w14:textId="792EB1AD" w:rsidR="007D4A8A" w:rsidRDefault="007D4A8A" w:rsidP="00C526F5">
      <w:pPr>
        <w:spacing w:line="480" w:lineRule="auto"/>
        <w:rPr>
          <w:rFonts w:ascii="Times New Roman" w:hAnsi="Times New Roman" w:cs="Times New Roman"/>
          <w:b/>
          <w:bCs/>
        </w:rPr>
      </w:pPr>
      <w:r w:rsidRPr="007D4A8A">
        <w:rPr>
          <w:rFonts w:ascii="Times New Roman" w:hAnsi="Times New Roman" w:cs="Times New Roman"/>
          <w:b/>
          <w:bCs/>
        </w:rPr>
        <w:t>Supplementa</w:t>
      </w:r>
      <w:r w:rsidR="00975720">
        <w:rPr>
          <w:rFonts w:ascii="Times New Roman" w:hAnsi="Times New Roman" w:cs="Times New Roman"/>
          <w:b/>
          <w:bCs/>
        </w:rPr>
        <w:t>ry D</w:t>
      </w:r>
      <w:r w:rsidRPr="007D4A8A">
        <w:rPr>
          <w:rFonts w:ascii="Times New Roman" w:hAnsi="Times New Roman" w:cs="Times New Roman"/>
          <w:b/>
          <w:bCs/>
        </w:rPr>
        <w:t xml:space="preserve">ata </w:t>
      </w:r>
      <w:r w:rsidR="00975720">
        <w:rPr>
          <w:rFonts w:ascii="Times New Roman" w:hAnsi="Times New Roman" w:cs="Times New Roman"/>
          <w:b/>
          <w:bCs/>
        </w:rPr>
        <w:t>F</w:t>
      </w:r>
      <w:r w:rsidRPr="007D4A8A">
        <w:rPr>
          <w:rFonts w:ascii="Times New Roman" w:hAnsi="Times New Roman" w:cs="Times New Roman"/>
          <w:b/>
          <w:bCs/>
        </w:rPr>
        <w:t>igures</w:t>
      </w:r>
    </w:p>
    <w:p w14:paraId="0001ED74" w14:textId="2CF411D7" w:rsidR="006E1E56" w:rsidRPr="007D4A8A" w:rsidRDefault="006E1E56" w:rsidP="00C526F5">
      <w:pPr>
        <w:spacing w:line="480" w:lineRule="auto"/>
        <w:rPr>
          <w:rFonts w:ascii="Times New Roman" w:hAnsi="Times New Roman" w:cs="Times New Roman"/>
          <w:b/>
          <w:bCs/>
        </w:rPr>
      </w:pPr>
      <w:r>
        <w:rPr>
          <w:rFonts w:ascii="Times New Roman" w:hAnsi="Times New Roman" w:cs="Times New Roman"/>
          <w:b/>
          <w:bCs/>
          <w:noProof/>
        </w:rPr>
        <w:drawing>
          <wp:inline distT="0" distB="0" distL="0" distR="0" wp14:anchorId="2A5D320F" wp14:editId="00111775">
            <wp:extent cx="5943600" cy="5549265"/>
            <wp:effectExtent l="0" t="0" r="0" b="0"/>
            <wp:docPr id="1752736886" name="Picture 4" descr="A graph of a number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36886" name="Picture 4" descr="A graph of a number of cell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549265"/>
                    </a:xfrm>
                    <a:prstGeom prst="rect">
                      <a:avLst/>
                    </a:prstGeom>
                  </pic:spPr>
                </pic:pic>
              </a:graphicData>
            </a:graphic>
          </wp:inline>
        </w:drawing>
      </w:r>
    </w:p>
    <w:p w14:paraId="34617E68" w14:textId="738DE8EF" w:rsidR="006E1E56" w:rsidRDefault="007D4A8A" w:rsidP="009577B1">
      <w:pPr>
        <w:spacing w:line="480" w:lineRule="auto"/>
        <w:rPr>
          <w:rFonts w:ascii="Times New Roman" w:hAnsi="Times New Roman" w:cs="Times New Roman"/>
        </w:rPr>
      </w:pPr>
      <w:r>
        <w:rPr>
          <w:rFonts w:ascii="Times New Roman" w:hAnsi="Times New Roman" w:cs="Times New Roman"/>
          <w:b/>
          <w:bCs/>
        </w:rPr>
        <w:t>Supplementa</w:t>
      </w:r>
      <w:r w:rsidR="00975720">
        <w:rPr>
          <w:rFonts w:ascii="Times New Roman" w:hAnsi="Times New Roman" w:cs="Times New Roman"/>
          <w:b/>
          <w:bCs/>
        </w:rPr>
        <w:t>ry</w:t>
      </w:r>
      <w:r>
        <w:rPr>
          <w:rFonts w:ascii="Times New Roman" w:hAnsi="Times New Roman" w:cs="Times New Roman"/>
          <w:b/>
          <w:bCs/>
        </w:rPr>
        <w:t xml:space="preserve"> Fig</w:t>
      </w:r>
      <w:r w:rsidR="005B4213">
        <w:rPr>
          <w:rFonts w:ascii="Times New Roman" w:hAnsi="Times New Roman" w:cs="Times New Roman"/>
          <w:b/>
          <w:bCs/>
        </w:rPr>
        <w:t>.</w:t>
      </w:r>
      <w:r>
        <w:rPr>
          <w:rFonts w:ascii="Times New Roman" w:hAnsi="Times New Roman" w:cs="Times New Roman"/>
          <w:b/>
          <w:bCs/>
        </w:rPr>
        <w:t xml:space="preserve"> 1</w:t>
      </w:r>
      <w:r w:rsidR="005B4213">
        <w:rPr>
          <w:rFonts w:ascii="Times New Roman" w:hAnsi="Times New Roman" w:cs="Times New Roman"/>
          <w:b/>
          <w:bCs/>
        </w:rPr>
        <w:t>.</w:t>
      </w:r>
      <w:r>
        <w:rPr>
          <w:rFonts w:ascii="Times New Roman" w:hAnsi="Times New Roman" w:cs="Times New Roman"/>
          <w:b/>
          <w:bCs/>
        </w:rPr>
        <w:t xml:space="preserve"> </w:t>
      </w:r>
      <w:r w:rsidR="009577B1">
        <w:rPr>
          <w:rFonts w:ascii="Times New Roman" w:hAnsi="Times New Roman" w:cs="Times New Roman"/>
        </w:rPr>
        <w:t xml:space="preserve">Immunofluorescent quantification of </w:t>
      </w:r>
      <w:proofErr w:type="spellStart"/>
      <w:r w:rsidR="009577B1">
        <w:rPr>
          <w:rFonts w:ascii="Times New Roman" w:hAnsi="Times New Roman" w:cs="Times New Roman"/>
        </w:rPr>
        <w:t>MafB</w:t>
      </w:r>
      <w:proofErr w:type="spellEnd"/>
      <w:r w:rsidR="009577B1">
        <w:rPr>
          <w:rFonts w:ascii="Times New Roman" w:hAnsi="Times New Roman" w:cs="Times New Roman"/>
        </w:rPr>
        <w:t xml:space="preserve"> expression in peri-infarct microglia of WT and CIRP</w:t>
      </w:r>
      <w:r w:rsidR="009577B1" w:rsidRPr="009577B1">
        <w:rPr>
          <w:rFonts w:ascii="Times New Roman" w:hAnsi="Times New Roman" w:cs="Times New Roman"/>
          <w:vertAlign w:val="superscript"/>
        </w:rPr>
        <w:t>-/-</w:t>
      </w:r>
      <w:r w:rsidR="009577B1">
        <w:rPr>
          <w:rFonts w:ascii="Times New Roman" w:hAnsi="Times New Roman" w:cs="Times New Roman"/>
        </w:rPr>
        <w:t xml:space="preserve"> </w:t>
      </w:r>
      <w:proofErr w:type="spellStart"/>
      <w:r w:rsidR="009577B1">
        <w:rPr>
          <w:rFonts w:ascii="Times New Roman" w:hAnsi="Times New Roman" w:cs="Times New Roman"/>
        </w:rPr>
        <w:t>tMCAO</w:t>
      </w:r>
      <w:proofErr w:type="spellEnd"/>
      <w:r w:rsidR="009577B1">
        <w:rPr>
          <w:rFonts w:ascii="Times New Roman" w:hAnsi="Times New Roman" w:cs="Times New Roman"/>
        </w:rPr>
        <w:t xml:space="preserve"> mice.</w:t>
      </w:r>
      <w:r>
        <w:rPr>
          <w:rFonts w:ascii="Times New Roman" w:hAnsi="Times New Roman" w:cs="Times New Roman"/>
        </w:rPr>
        <w:t xml:space="preserve"> </w:t>
      </w:r>
      <w:r>
        <w:rPr>
          <w:rFonts w:ascii="Times New Roman" w:hAnsi="Times New Roman" w:cs="Times New Roman"/>
          <w:b/>
          <w:bCs/>
        </w:rPr>
        <w:t xml:space="preserve">a </w:t>
      </w:r>
      <w:r>
        <w:rPr>
          <w:rFonts w:ascii="Times New Roman" w:hAnsi="Times New Roman" w:cs="Times New Roman"/>
        </w:rPr>
        <w:t xml:space="preserve">Representative confocal images of peri-infarct </w:t>
      </w:r>
      <w:r w:rsidR="004B34BB">
        <w:rPr>
          <w:rFonts w:ascii="Times New Roman" w:hAnsi="Times New Roman" w:cs="Times New Roman"/>
        </w:rPr>
        <w:t xml:space="preserve">brain </w:t>
      </w:r>
      <w:r>
        <w:rPr>
          <w:rFonts w:ascii="Times New Roman" w:hAnsi="Times New Roman" w:cs="Times New Roman"/>
        </w:rPr>
        <w:t xml:space="preserve">tissues in WT </w:t>
      </w:r>
      <w:proofErr w:type="spellStart"/>
      <w:r>
        <w:rPr>
          <w:rFonts w:ascii="Times New Roman" w:hAnsi="Times New Roman" w:cs="Times New Roman"/>
        </w:rPr>
        <w:t>tMCAO</w:t>
      </w:r>
      <w:proofErr w:type="spellEnd"/>
      <w:r>
        <w:rPr>
          <w:rFonts w:ascii="Times New Roman" w:hAnsi="Times New Roman" w:cs="Times New Roman"/>
        </w:rPr>
        <w:t xml:space="preserve"> and CIRP</w:t>
      </w:r>
      <w:r w:rsidRPr="0001026F">
        <w:rPr>
          <w:rFonts w:ascii="Times New Roman" w:hAnsi="Times New Roman" w:cs="Times New Roman"/>
          <w:vertAlign w:val="superscript"/>
        </w:rPr>
        <w:t>-/-</w:t>
      </w:r>
      <w:r>
        <w:rPr>
          <w:rFonts w:ascii="Times New Roman" w:hAnsi="Times New Roman" w:cs="Times New Roman"/>
        </w:rPr>
        <w:t xml:space="preserve"> </w:t>
      </w:r>
      <w:proofErr w:type="spellStart"/>
      <w:r>
        <w:rPr>
          <w:rFonts w:ascii="Times New Roman" w:hAnsi="Times New Roman" w:cs="Times New Roman"/>
        </w:rPr>
        <w:t>tMCAO</w:t>
      </w:r>
      <w:proofErr w:type="spellEnd"/>
      <w:r>
        <w:rPr>
          <w:rFonts w:ascii="Times New Roman" w:hAnsi="Times New Roman" w:cs="Times New Roman"/>
        </w:rPr>
        <w:t xml:space="preserve"> mice, with staining for nuclei (DAPI, blue), microglia (Iba-1, magenta), and </w:t>
      </w:r>
      <w:proofErr w:type="spellStart"/>
      <w:r>
        <w:rPr>
          <w:rFonts w:ascii="Times New Roman" w:hAnsi="Times New Roman" w:cs="Times New Roman"/>
        </w:rPr>
        <w:t>MafB</w:t>
      </w:r>
      <w:proofErr w:type="spellEnd"/>
      <w:r>
        <w:rPr>
          <w:rFonts w:ascii="Times New Roman" w:hAnsi="Times New Roman" w:cs="Times New Roman"/>
        </w:rPr>
        <w:t xml:space="preserve"> (green). Magnification 400x, scale bar, 50 µM. </w:t>
      </w:r>
      <w:r>
        <w:rPr>
          <w:rFonts w:ascii="Times New Roman" w:hAnsi="Times New Roman" w:cs="Times New Roman"/>
          <w:b/>
          <w:bCs/>
        </w:rPr>
        <w:t xml:space="preserve">b </w:t>
      </w:r>
      <w:r>
        <w:rPr>
          <w:rFonts w:ascii="Times New Roman" w:hAnsi="Times New Roman" w:cs="Times New Roman"/>
        </w:rPr>
        <w:t xml:space="preserve">Quantified immunofluorescence intensity measurement of microglial </w:t>
      </w:r>
      <w:proofErr w:type="spellStart"/>
      <w:r>
        <w:rPr>
          <w:rFonts w:ascii="Times New Roman" w:hAnsi="Times New Roman" w:cs="Times New Roman"/>
        </w:rPr>
        <w:t>MafB</w:t>
      </w:r>
      <w:proofErr w:type="spellEnd"/>
      <w:r>
        <w:rPr>
          <w:rFonts w:ascii="Times New Roman" w:hAnsi="Times New Roman" w:cs="Times New Roman"/>
        </w:rPr>
        <w:t xml:space="preserve"> expression</w:t>
      </w:r>
      <w:r w:rsidR="005F47F1">
        <w:rPr>
          <w:rFonts w:ascii="Times New Roman" w:hAnsi="Times New Roman" w:cs="Times New Roman"/>
        </w:rPr>
        <w:t>. (</w:t>
      </w:r>
      <w:r w:rsidR="005F47F1">
        <w:rPr>
          <w:rFonts w:ascii="Times New Roman" w:hAnsi="Times New Roman" w:cs="Times New Roman"/>
          <w:i/>
          <w:iCs/>
        </w:rPr>
        <w:t>n</w:t>
      </w:r>
      <w:r>
        <w:rPr>
          <w:rFonts w:ascii="Times New Roman" w:hAnsi="Times New Roman" w:cs="Times New Roman"/>
        </w:rPr>
        <w:t xml:space="preserve"> = </w:t>
      </w:r>
      <w:r w:rsidR="005F47F1">
        <w:rPr>
          <w:rFonts w:ascii="Times New Roman" w:hAnsi="Times New Roman" w:cs="Times New Roman"/>
        </w:rPr>
        <w:t>5-6</w:t>
      </w:r>
      <w:r>
        <w:rPr>
          <w:rFonts w:ascii="Times New Roman" w:hAnsi="Times New Roman" w:cs="Times New Roman"/>
        </w:rPr>
        <w:t xml:space="preserve">; * </w:t>
      </w:r>
      <w:r w:rsidRPr="005F47F1">
        <w:rPr>
          <w:rFonts w:ascii="Times New Roman" w:hAnsi="Times New Roman" w:cs="Times New Roman"/>
          <w:i/>
          <w:iCs/>
        </w:rPr>
        <w:t>p</w:t>
      </w:r>
      <w:r>
        <w:rPr>
          <w:rFonts w:ascii="Times New Roman" w:hAnsi="Times New Roman" w:cs="Times New Roman"/>
        </w:rPr>
        <w:t xml:space="preserve"> = 0.004</w:t>
      </w:r>
      <w:r w:rsidR="005F47F1">
        <w:rPr>
          <w:rFonts w:ascii="Times New Roman" w:hAnsi="Times New Roman" w:cs="Times New Roman"/>
        </w:rPr>
        <w:t xml:space="preserve">; Unpaired </w:t>
      </w:r>
      <w:r w:rsidR="005F47F1" w:rsidRPr="00503159">
        <w:rPr>
          <w:rFonts w:ascii="Times New Roman" w:hAnsi="Times New Roman" w:cs="Times New Roman"/>
          <w:i/>
          <w:iCs/>
        </w:rPr>
        <w:t>t</w:t>
      </w:r>
      <w:r w:rsidR="006E2C3E">
        <w:rPr>
          <w:rFonts w:ascii="Times New Roman" w:hAnsi="Times New Roman" w:cs="Times New Roman"/>
        </w:rPr>
        <w:t>-</w:t>
      </w:r>
      <w:r w:rsidR="005F47F1">
        <w:rPr>
          <w:rFonts w:ascii="Times New Roman" w:hAnsi="Times New Roman" w:cs="Times New Roman"/>
        </w:rPr>
        <w:t>test</w:t>
      </w:r>
      <w:r>
        <w:rPr>
          <w:rFonts w:ascii="Times New Roman" w:hAnsi="Times New Roman" w:cs="Times New Roman"/>
        </w:rPr>
        <w:t>)</w:t>
      </w:r>
      <w:r w:rsidR="005F47F1">
        <w:rPr>
          <w:rFonts w:ascii="Times New Roman" w:hAnsi="Times New Roman" w:cs="Times New Roman"/>
        </w:rPr>
        <w:t>.</w:t>
      </w:r>
      <w:r w:rsidR="006E1E56">
        <w:rPr>
          <w:rFonts w:ascii="Times New Roman" w:hAnsi="Times New Roman" w:cs="Times New Roman"/>
        </w:rPr>
        <w:br w:type="page"/>
      </w:r>
    </w:p>
    <w:p w14:paraId="7B856CE1" w14:textId="2E901661" w:rsidR="005F47F1" w:rsidRDefault="006E1E56" w:rsidP="00C526F5">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68B75B88" wp14:editId="55F3ABC2">
            <wp:extent cx="5943600" cy="3027045"/>
            <wp:effectExtent l="0" t="0" r="0" b="1905"/>
            <wp:docPr id="12687780" name="Picture 5" descr="A collage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780" name="Picture 5" descr="A collage of cell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027045"/>
                    </a:xfrm>
                    <a:prstGeom prst="rect">
                      <a:avLst/>
                    </a:prstGeom>
                  </pic:spPr>
                </pic:pic>
              </a:graphicData>
            </a:graphic>
          </wp:inline>
        </w:drawing>
      </w:r>
    </w:p>
    <w:p w14:paraId="60A7ACC7" w14:textId="1249D699" w:rsidR="00CC4FFD" w:rsidRDefault="005F47F1" w:rsidP="00C526F5">
      <w:pPr>
        <w:spacing w:line="480" w:lineRule="auto"/>
        <w:rPr>
          <w:rFonts w:ascii="Times New Roman" w:hAnsi="Times New Roman" w:cs="Times New Roman"/>
        </w:rPr>
      </w:pPr>
      <w:r>
        <w:rPr>
          <w:rFonts w:ascii="Times New Roman" w:hAnsi="Times New Roman" w:cs="Times New Roman"/>
          <w:b/>
          <w:bCs/>
        </w:rPr>
        <w:t>Supplementa</w:t>
      </w:r>
      <w:r w:rsidR="00975720">
        <w:rPr>
          <w:rFonts w:ascii="Times New Roman" w:hAnsi="Times New Roman" w:cs="Times New Roman"/>
          <w:b/>
          <w:bCs/>
        </w:rPr>
        <w:t>ry</w:t>
      </w:r>
      <w:r>
        <w:rPr>
          <w:rFonts w:ascii="Times New Roman" w:hAnsi="Times New Roman" w:cs="Times New Roman"/>
          <w:b/>
          <w:bCs/>
        </w:rPr>
        <w:t xml:space="preserve"> Fig</w:t>
      </w:r>
      <w:r w:rsidR="005B4213">
        <w:rPr>
          <w:rFonts w:ascii="Times New Roman" w:hAnsi="Times New Roman" w:cs="Times New Roman"/>
          <w:b/>
          <w:bCs/>
        </w:rPr>
        <w:t>.</w:t>
      </w:r>
      <w:r>
        <w:rPr>
          <w:rFonts w:ascii="Times New Roman" w:hAnsi="Times New Roman" w:cs="Times New Roman"/>
          <w:b/>
          <w:bCs/>
        </w:rPr>
        <w:t xml:space="preserve"> 2</w:t>
      </w:r>
      <w:r w:rsidR="005B4213">
        <w:rPr>
          <w:rFonts w:ascii="Times New Roman" w:hAnsi="Times New Roman" w:cs="Times New Roman"/>
          <w:b/>
          <w:bCs/>
        </w:rPr>
        <w:t xml:space="preserve">. </w:t>
      </w:r>
      <w:proofErr w:type="spellStart"/>
      <w:r w:rsidR="009577B1">
        <w:rPr>
          <w:rFonts w:ascii="Times New Roman" w:hAnsi="Times New Roman" w:cs="Times New Roman"/>
        </w:rPr>
        <w:t>eCIRP</w:t>
      </w:r>
      <w:proofErr w:type="spellEnd"/>
      <w:r w:rsidR="009577B1">
        <w:rPr>
          <w:rFonts w:ascii="Times New Roman" w:hAnsi="Times New Roman" w:cs="Times New Roman"/>
        </w:rPr>
        <w:t xml:space="preserve"> causes </w:t>
      </w:r>
      <w:proofErr w:type="spellStart"/>
      <w:r w:rsidR="009577B1">
        <w:rPr>
          <w:rFonts w:ascii="Times New Roman" w:hAnsi="Times New Roman" w:cs="Times New Roman"/>
        </w:rPr>
        <w:t>efferocytic</w:t>
      </w:r>
      <w:proofErr w:type="spellEnd"/>
      <w:r w:rsidR="009577B1">
        <w:rPr>
          <w:rFonts w:ascii="Times New Roman" w:hAnsi="Times New Roman" w:cs="Times New Roman"/>
        </w:rPr>
        <w:t xml:space="preserve"> dysfunction in primary microglia </w:t>
      </w:r>
      <w:r w:rsidR="009577B1">
        <w:rPr>
          <w:rFonts w:ascii="Times New Roman" w:hAnsi="Times New Roman" w:cs="Times New Roman"/>
          <w:i/>
          <w:iCs/>
        </w:rPr>
        <w:t>in vitro</w:t>
      </w:r>
      <w:r w:rsidR="009577B1">
        <w:rPr>
          <w:rFonts w:ascii="Times New Roman" w:hAnsi="Times New Roman" w:cs="Times New Roman"/>
        </w:rPr>
        <w:t xml:space="preserve">. </w:t>
      </w:r>
      <w:r w:rsidR="009577B1" w:rsidRPr="009577B1">
        <w:rPr>
          <w:rFonts w:ascii="Times New Roman" w:hAnsi="Times New Roman" w:cs="Times New Roman"/>
        </w:rPr>
        <w:t>P</w:t>
      </w:r>
      <w:r>
        <w:rPr>
          <w:rFonts w:ascii="Times New Roman" w:hAnsi="Times New Roman" w:cs="Times New Roman"/>
        </w:rPr>
        <w:t>rimary microglia</w:t>
      </w:r>
      <w:r w:rsidR="009577B1">
        <w:rPr>
          <w:rFonts w:ascii="Times New Roman" w:hAnsi="Times New Roman" w:cs="Times New Roman"/>
        </w:rPr>
        <w:t xml:space="preserve"> were</w:t>
      </w:r>
      <w:r>
        <w:rPr>
          <w:rFonts w:ascii="Times New Roman" w:hAnsi="Times New Roman" w:cs="Times New Roman"/>
        </w:rPr>
        <w:t xml:space="preserve"> treated with PBS or eCIRP (1 µg/mL) for 20</w:t>
      </w:r>
      <w:r w:rsidR="00660A97">
        <w:rPr>
          <w:rFonts w:ascii="Times New Roman" w:hAnsi="Times New Roman" w:cs="Times New Roman"/>
        </w:rPr>
        <w:t xml:space="preserve"> </w:t>
      </w:r>
      <w:r>
        <w:rPr>
          <w:rFonts w:ascii="Times New Roman" w:hAnsi="Times New Roman" w:cs="Times New Roman"/>
        </w:rPr>
        <w:t xml:space="preserve">h. Apoptotic N2a cells were labeled with </w:t>
      </w:r>
      <w:proofErr w:type="spellStart"/>
      <w:r>
        <w:rPr>
          <w:rFonts w:ascii="Times New Roman" w:hAnsi="Times New Roman" w:cs="Times New Roman"/>
        </w:rPr>
        <w:t>Celltracker</w:t>
      </w:r>
      <w:proofErr w:type="spellEnd"/>
      <w:r>
        <w:rPr>
          <w:rFonts w:ascii="Times New Roman" w:hAnsi="Times New Roman" w:cs="Times New Roman"/>
        </w:rPr>
        <w:t xml:space="preserve"> Red and NHS-Biotin, and added to microglia at a ratio of 1:3 </w:t>
      </w:r>
      <w:proofErr w:type="gramStart"/>
      <w:r>
        <w:rPr>
          <w:rFonts w:ascii="Times New Roman" w:hAnsi="Times New Roman" w:cs="Times New Roman"/>
        </w:rPr>
        <w:t>microglia:N</w:t>
      </w:r>
      <w:proofErr w:type="gramEnd"/>
      <w:r>
        <w:rPr>
          <w:rFonts w:ascii="Times New Roman" w:hAnsi="Times New Roman" w:cs="Times New Roman"/>
        </w:rPr>
        <w:t>2a</w:t>
      </w:r>
      <w:r w:rsidR="004B34BB">
        <w:rPr>
          <w:rFonts w:ascii="Times New Roman" w:hAnsi="Times New Roman" w:cs="Times New Roman"/>
        </w:rPr>
        <w:t xml:space="preserve"> cells</w:t>
      </w:r>
      <w:r>
        <w:rPr>
          <w:rFonts w:ascii="Times New Roman" w:hAnsi="Times New Roman" w:cs="Times New Roman"/>
        </w:rPr>
        <w:t>, co-incubated for 1</w:t>
      </w:r>
      <w:r w:rsidR="00660A97">
        <w:rPr>
          <w:rFonts w:ascii="Times New Roman" w:hAnsi="Times New Roman" w:cs="Times New Roman"/>
        </w:rPr>
        <w:t xml:space="preserve"> </w:t>
      </w:r>
      <w:r>
        <w:rPr>
          <w:rFonts w:ascii="Times New Roman" w:hAnsi="Times New Roman" w:cs="Times New Roman"/>
        </w:rPr>
        <w:t>h and washed with PBS. Wells were stained with FITC-Streptavidin, to label only un-</w:t>
      </w:r>
      <w:proofErr w:type="spellStart"/>
      <w:r>
        <w:rPr>
          <w:rFonts w:ascii="Times New Roman" w:hAnsi="Times New Roman" w:cs="Times New Roman"/>
        </w:rPr>
        <w:t>efferocytosed</w:t>
      </w:r>
      <w:proofErr w:type="spellEnd"/>
      <w:r>
        <w:rPr>
          <w:rFonts w:ascii="Times New Roman" w:hAnsi="Times New Roman" w:cs="Times New Roman"/>
        </w:rPr>
        <w:t xml:space="preserve"> (extracellular compartment) N2a cells and fragments and fixed in 4% PFA. Representative confocal images are shown, with staining for nuclei (DAPI, blue), N2a cells (</w:t>
      </w:r>
      <w:proofErr w:type="spellStart"/>
      <w:r>
        <w:rPr>
          <w:rFonts w:ascii="Times New Roman" w:hAnsi="Times New Roman" w:cs="Times New Roman"/>
        </w:rPr>
        <w:t>Celltracker</w:t>
      </w:r>
      <w:proofErr w:type="spellEnd"/>
      <w:r>
        <w:rPr>
          <w:rFonts w:ascii="Times New Roman" w:hAnsi="Times New Roman" w:cs="Times New Roman"/>
        </w:rPr>
        <w:t xml:space="preserve"> Red red), and extracellular N2a cells (Streptavidin, green)</w:t>
      </w:r>
      <w:r w:rsidR="00C526F5">
        <w:rPr>
          <w:rFonts w:ascii="Times New Roman" w:hAnsi="Times New Roman" w:cs="Times New Roman"/>
        </w:rPr>
        <w:t>.</w:t>
      </w:r>
      <w:r>
        <w:rPr>
          <w:rFonts w:ascii="Times New Roman" w:hAnsi="Times New Roman" w:cs="Times New Roman"/>
        </w:rPr>
        <w:t xml:space="preserve"> 630x magnification</w:t>
      </w:r>
      <w:r w:rsidR="00C526F5">
        <w:rPr>
          <w:rFonts w:ascii="Times New Roman" w:hAnsi="Times New Roman" w:cs="Times New Roman"/>
        </w:rPr>
        <w:t xml:space="preserve">, scale bar, 10 µM. </w:t>
      </w:r>
      <w:proofErr w:type="spellStart"/>
      <w:r>
        <w:rPr>
          <w:rFonts w:ascii="Times New Roman" w:hAnsi="Times New Roman" w:cs="Times New Roman"/>
        </w:rPr>
        <w:t>Celltracker</w:t>
      </w:r>
      <w:proofErr w:type="spellEnd"/>
      <w:r>
        <w:rPr>
          <w:rFonts w:ascii="Times New Roman" w:hAnsi="Times New Roman" w:cs="Times New Roman"/>
        </w:rPr>
        <w:t xml:space="preserve"> Red staining without green Streptavidin staining indicates engulfed N2a corpses, </w:t>
      </w:r>
      <w:proofErr w:type="spellStart"/>
      <w:r>
        <w:rPr>
          <w:rFonts w:ascii="Times New Roman" w:hAnsi="Times New Roman" w:cs="Times New Roman"/>
        </w:rPr>
        <w:t>Celltracker</w:t>
      </w:r>
      <w:proofErr w:type="spellEnd"/>
      <w:r>
        <w:rPr>
          <w:rFonts w:ascii="Times New Roman" w:hAnsi="Times New Roman" w:cs="Times New Roman"/>
        </w:rPr>
        <w:t xml:space="preserve"> Red with green Streptavidin staining indicates un-engulfed N2a corpses. Selected efferocytosis events are indicated with arrows, incomplete events are indicated with arrowheads. </w:t>
      </w:r>
    </w:p>
    <w:p w14:paraId="5F23A07C" w14:textId="77777777" w:rsidR="00CC4FFD" w:rsidRDefault="00CC4FFD">
      <w:pPr>
        <w:rPr>
          <w:rFonts w:ascii="Times New Roman" w:hAnsi="Times New Roman" w:cs="Times New Roman"/>
        </w:rPr>
      </w:pPr>
      <w:r>
        <w:rPr>
          <w:rFonts w:ascii="Times New Roman" w:hAnsi="Times New Roman" w:cs="Times New Roman"/>
        </w:rPr>
        <w:br w:type="page"/>
      </w:r>
    </w:p>
    <w:p w14:paraId="2B86DA55" w14:textId="3EB92AB1" w:rsidR="00CC4FFD" w:rsidRDefault="00CC4FFD" w:rsidP="00C526F5">
      <w:pPr>
        <w:spacing w:line="48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6EE871EB" wp14:editId="7B6B8183">
            <wp:extent cx="5742444" cy="2737110"/>
            <wp:effectExtent l="0" t="0" r="0" b="6350"/>
            <wp:docPr id="820685602" name="Picture 1" descr="A graph of a graph of a graph of a graph of a graph of a graph of a graph of a graph of a graph of a graph of a graph of a graph of a graph 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85602" name="Picture 1" descr="A graph of a graph of a graph of a graph of a graph of a graph of a graph of a graph of a graph of a graph of a graph of a graph of a graph of&#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444" cy="2737110"/>
                    </a:xfrm>
                    <a:prstGeom prst="rect">
                      <a:avLst/>
                    </a:prstGeom>
                  </pic:spPr>
                </pic:pic>
              </a:graphicData>
            </a:graphic>
          </wp:inline>
        </w:drawing>
      </w:r>
    </w:p>
    <w:p w14:paraId="0132159E" w14:textId="7B8EAE69" w:rsidR="00CC4FFD" w:rsidRDefault="00C526F5" w:rsidP="00C526F5">
      <w:pPr>
        <w:spacing w:line="480" w:lineRule="auto"/>
        <w:rPr>
          <w:rFonts w:ascii="Times New Roman" w:hAnsi="Times New Roman" w:cs="Times New Roman"/>
        </w:rPr>
      </w:pPr>
      <w:r>
        <w:rPr>
          <w:rFonts w:ascii="Times New Roman" w:hAnsi="Times New Roman" w:cs="Times New Roman"/>
          <w:b/>
          <w:bCs/>
        </w:rPr>
        <w:t>Supplementa</w:t>
      </w:r>
      <w:r w:rsidR="00975720">
        <w:rPr>
          <w:rFonts w:ascii="Times New Roman" w:hAnsi="Times New Roman" w:cs="Times New Roman"/>
          <w:b/>
          <w:bCs/>
        </w:rPr>
        <w:t>ry</w:t>
      </w:r>
      <w:r>
        <w:rPr>
          <w:rFonts w:ascii="Times New Roman" w:hAnsi="Times New Roman" w:cs="Times New Roman"/>
          <w:b/>
          <w:bCs/>
        </w:rPr>
        <w:t xml:space="preserve"> Fig</w:t>
      </w:r>
      <w:r w:rsidR="005B4213">
        <w:rPr>
          <w:rFonts w:ascii="Times New Roman" w:hAnsi="Times New Roman" w:cs="Times New Roman"/>
          <w:b/>
          <w:bCs/>
        </w:rPr>
        <w:t>.</w:t>
      </w:r>
      <w:r>
        <w:rPr>
          <w:rFonts w:ascii="Times New Roman" w:hAnsi="Times New Roman" w:cs="Times New Roman"/>
          <w:b/>
          <w:bCs/>
        </w:rPr>
        <w:t xml:space="preserve"> 3</w:t>
      </w:r>
      <w:r w:rsidR="005B4213">
        <w:rPr>
          <w:rFonts w:ascii="Times New Roman" w:hAnsi="Times New Roman" w:cs="Times New Roman"/>
          <w:b/>
          <w:bCs/>
        </w:rPr>
        <w:t>.</w:t>
      </w:r>
      <w:r>
        <w:rPr>
          <w:rFonts w:ascii="Times New Roman" w:hAnsi="Times New Roman" w:cs="Times New Roman"/>
          <w:b/>
          <w:bCs/>
        </w:rPr>
        <w:t xml:space="preserve"> </w:t>
      </w:r>
      <w:r w:rsidR="009577B1">
        <w:rPr>
          <w:rFonts w:ascii="Times New Roman" w:hAnsi="Times New Roman" w:cs="Times New Roman"/>
        </w:rPr>
        <w:t xml:space="preserve">Primary microglia downregulate MerTK and Rac1 mRNA expression </w:t>
      </w:r>
      <w:r w:rsidR="009577B1">
        <w:rPr>
          <w:rFonts w:ascii="Times New Roman" w:hAnsi="Times New Roman" w:cs="Times New Roman"/>
          <w:i/>
          <w:iCs/>
        </w:rPr>
        <w:t>in vitro</w:t>
      </w:r>
      <w:r w:rsidR="009577B1">
        <w:rPr>
          <w:rFonts w:ascii="Times New Roman" w:hAnsi="Times New Roman" w:cs="Times New Roman"/>
        </w:rPr>
        <w:t xml:space="preserve">. </w:t>
      </w:r>
      <w:r>
        <w:rPr>
          <w:rFonts w:ascii="Times New Roman" w:hAnsi="Times New Roman" w:cs="Times New Roman"/>
        </w:rPr>
        <w:t xml:space="preserve">Gene expression of </w:t>
      </w:r>
      <w:r>
        <w:rPr>
          <w:rFonts w:ascii="Times New Roman" w:hAnsi="Times New Roman" w:cs="Times New Roman"/>
          <w:i/>
          <w:iCs/>
        </w:rPr>
        <w:t>Mertk</w:t>
      </w:r>
      <w:r>
        <w:rPr>
          <w:rFonts w:ascii="Times New Roman" w:hAnsi="Times New Roman" w:cs="Times New Roman"/>
        </w:rPr>
        <w:t xml:space="preserve"> and </w:t>
      </w:r>
      <w:r>
        <w:rPr>
          <w:rFonts w:ascii="Times New Roman" w:hAnsi="Times New Roman" w:cs="Times New Roman"/>
          <w:i/>
          <w:iCs/>
        </w:rPr>
        <w:t>Rac1</w:t>
      </w:r>
      <w:r>
        <w:rPr>
          <w:rFonts w:ascii="Times New Roman" w:hAnsi="Times New Roman" w:cs="Times New Roman"/>
        </w:rPr>
        <w:t xml:space="preserve"> in </w:t>
      </w:r>
      <w:r w:rsidR="008A7790">
        <w:rPr>
          <w:rFonts w:ascii="Times New Roman" w:hAnsi="Times New Roman" w:cs="Times New Roman"/>
        </w:rPr>
        <w:t xml:space="preserve">primary </w:t>
      </w:r>
      <w:r>
        <w:rPr>
          <w:rFonts w:ascii="Times New Roman" w:hAnsi="Times New Roman" w:cs="Times New Roman"/>
        </w:rPr>
        <w:t>microglia treated with PBS or eCIRP (1 µg/mL) for 20</w:t>
      </w:r>
      <w:r w:rsidR="00660A97">
        <w:rPr>
          <w:rFonts w:ascii="Times New Roman" w:hAnsi="Times New Roman" w:cs="Times New Roman"/>
        </w:rPr>
        <w:t xml:space="preserve"> </w:t>
      </w:r>
      <w:r>
        <w:rPr>
          <w:rFonts w:ascii="Times New Roman" w:hAnsi="Times New Roman" w:cs="Times New Roman"/>
        </w:rPr>
        <w:t xml:space="preserve">h. </w:t>
      </w:r>
      <w:r>
        <w:rPr>
          <w:rFonts w:ascii="Times New Roman" w:hAnsi="Times New Roman" w:cs="Times New Roman"/>
          <w:b/>
          <w:bCs/>
        </w:rPr>
        <w:t xml:space="preserve">a </w:t>
      </w:r>
      <w:r>
        <w:rPr>
          <w:rFonts w:ascii="Times New Roman" w:hAnsi="Times New Roman" w:cs="Times New Roman"/>
          <w:i/>
          <w:iCs/>
        </w:rPr>
        <w:t>Mertk</w:t>
      </w:r>
      <w:r>
        <w:rPr>
          <w:rFonts w:ascii="Times New Roman" w:hAnsi="Times New Roman" w:cs="Times New Roman"/>
        </w:rPr>
        <w:t xml:space="preserve"> mRNA expression in microglia. (</w:t>
      </w:r>
      <w:r>
        <w:rPr>
          <w:rFonts w:ascii="Times New Roman" w:hAnsi="Times New Roman" w:cs="Times New Roman"/>
          <w:i/>
          <w:iCs/>
        </w:rPr>
        <w:t>n</w:t>
      </w:r>
      <w:r>
        <w:rPr>
          <w:rFonts w:ascii="Times New Roman" w:hAnsi="Times New Roman" w:cs="Times New Roman"/>
        </w:rPr>
        <w:t xml:space="preserve"> = 11; * </w:t>
      </w:r>
      <w:r w:rsidRPr="005F47F1">
        <w:rPr>
          <w:rFonts w:ascii="Times New Roman" w:hAnsi="Times New Roman" w:cs="Times New Roman"/>
          <w:i/>
          <w:iCs/>
        </w:rPr>
        <w:t>p</w:t>
      </w:r>
      <w:r>
        <w:rPr>
          <w:rFonts w:ascii="Times New Roman" w:hAnsi="Times New Roman" w:cs="Times New Roman"/>
        </w:rPr>
        <w:t xml:space="preserve"> &lt; 0.001; Unpaired </w:t>
      </w:r>
      <w:r w:rsidRPr="00503159">
        <w:rPr>
          <w:rFonts w:ascii="Times New Roman" w:hAnsi="Times New Roman" w:cs="Times New Roman"/>
          <w:i/>
          <w:iCs/>
        </w:rPr>
        <w:t>t</w:t>
      </w:r>
      <w:r w:rsidR="008A7790">
        <w:rPr>
          <w:rFonts w:ascii="Times New Roman" w:hAnsi="Times New Roman" w:cs="Times New Roman"/>
        </w:rPr>
        <w:t>-</w:t>
      </w:r>
      <w:r>
        <w:rPr>
          <w:rFonts w:ascii="Times New Roman" w:hAnsi="Times New Roman" w:cs="Times New Roman"/>
        </w:rPr>
        <w:t xml:space="preserve">test). </w:t>
      </w:r>
      <w:r>
        <w:rPr>
          <w:rFonts w:ascii="Times New Roman" w:hAnsi="Times New Roman" w:cs="Times New Roman"/>
          <w:b/>
          <w:bCs/>
        </w:rPr>
        <w:t xml:space="preserve">b </w:t>
      </w:r>
      <w:r>
        <w:rPr>
          <w:rFonts w:ascii="Times New Roman" w:hAnsi="Times New Roman" w:cs="Times New Roman"/>
          <w:i/>
          <w:iCs/>
        </w:rPr>
        <w:t>Rac1</w:t>
      </w:r>
      <w:r>
        <w:rPr>
          <w:rFonts w:ascii="Times New Roman" w:hAnsi="Times New Roman" w:cs="Times New Roman"/>
        </w:rPr>
        <w:t xml:space="preserve"> mRNA expression in microglia. (</w:t>
      </w:r>
      <w:r>
        <w:rPr>
          <w:rFonts w:ascii="Times New Roman" w:hAnsi="Times New Roman" w:cs="Times New Roman"/>
          <w:i/>
          <w:iCs/>
        </w:rPr>
        <w:t>n</w:t>
      </w:r>
      <w:r>
        <w:rPr>
          <w:rFonts w:ascii="Times New Roman" w:hAnsi="Times New Roman" w:cs="Times New Roman"/>
        </w:rPr>
        <w:t xml:space="preserve"> = 5-6; * </w:t>
      </w:r>
      <w:r w:rsidRPr="005F47F1">
        <w:rPr>
          <w:rFonts w:ascii="Times New Roman" w:hAnsi="Times New Roman" w:cs="Times New Roman"/>
          <w:i/>
          <w:iCs/>
        </w:rPr>
        <w:t>p</w:t>
      </w:r>
      <w:r>
        <w:rPr>
          <w:rFonts w:ascii="Times New Roman" w:hAnsi="Times New Roman" w:cs="Times New Roman"/>
        </w:rPr>
        <w:t xml:space="preserve"> = 0.0173; Unpaired </w:t>
      </w:r>
      <w:r w:rsidRPr="00503159">
        <w:rPr>
          <w:rFonts w:ascii="Times New Roman" w:hAnsi="Times New Roman" w:cs="Times New Roman"/>
          <w:i/>
          <w:iCs/>
        </w:rPr>
        <w:t>t</w:t>
      </w:r>
      <w:r w:rsidR="008A7790">
        <w:rPr>
          <w:rFonts w:ascii="Times New Roman" w:hAnsi="Times New Roman" w:cs="Times New Roman"/>
        </w:rPr>
        <w:t>-</w:t>
      </w:r>
      <w:r>
        <w:rPr>
          <w:rFonts w:ascii="Times New Roman" w:hAnsi="Times New Roman" w:cs="Times New Roman"/>
        </w:rPr>
        <w:t>test).</w:t>
      </w:r>
    </w:p>
    <w:p w14:paraId="6005A7A4" w14:textId="77777777" w:rsidR="00CC4FFD" w:rsidRDefault="00CC4FFD">
      <w:pPr>
        <w:rPr>
          <w:rFonts w:ascii="Times New Roman" w:hAnsi="Times New Roman" w:cs="Times New Roman"/>
        </w:rPr>
      </w:pPr>
      <w:r>
        <w:rPr>
          <w:rFonts w:ascii="Times New Roman" w:hAnsi="Times New Roman" w:cs="Times New Roman"/>
        </w:rPr>
        <w:br w:type="page"/>
      </w:r>
    </w:p>
    <w:p w14:paraId="16ADA07F" w14:textId="195CE8DF" w:rsidR="00C526F5" w:rsidRDefault="00CC4FFD" w:rsidP="00C526F5">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1C5E67FD" wp14:editId="0225B3B3">
            <wp:extent cx="2622809" cy="2534417"/>
            <wp:effectExtent l="0" t="0" r="6350" b="0"/>
            <wp:docPr id="1580445634" name="Picture 3" descr="A graph of a graph showing a number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45634" name="Picture 3" descr="A graph of a graph showing a number of cell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2809" cy="2534417"/>
                    </a:xfrm>
                    <a:prstGeom prst="rect">
                      <a:avLst/>
                    </a:prstGeom>
                  </pic:spPr>
                </pic:pic>
              </a:graphicData>
            </a:graphic>
          </wp:inline>
        </w:drawing>
      </w:r>
    </w:p>
    <w:p w14:paraId="17106378" w14:textId="7640DEA2" w:rsidR="00C526F5" w:rsidRDefault="00C526F5" w:rsidP="00C526F5">
      <w:pPr>
        <w:spacing w:line="480" w:lineRule="auto"/>
        <w:rPr>
          <w:rFonts w:ascii="Times New Roman" w:hAnsi="Times New Roman" w:cs="Times New Roman"/>
        </w:rPr>
      </w:pPr>
      <w:r>
        <w:rPr>
          <w:rFonts w:ascii="Times New Roman" w:hAnsi="Times New Roman" w:cs="Times New Roman"/>
          <w:b/>
          <w:bCs/>
        </w:rPr>
        <w:t>Supplementa</w:t>
      </w:r>
      <w:r w:rsidR="00975720">
        <w:rPr>
          <w:rFonts w:ascii="Times New Roman" w:hAnsi="Times New Roman" w:cs="Times New Roman"/>
          <w:b/>
          <w:bCs/>
        </w:rPr>
        <w:t>ry</w:t>
      </w:r>
      <w:r>
        <w:rPr>
          <w:rFonts w:ascii="Times New Roman" w:hAnsi="Times New Roman" w:cs="Times New Roman"/>
          <w:b/>
          <w:bCs/>
        </w:rPr>
        <w:t xml:space="preserve"> Fig</w:t>
      </w:r>
      <w:r w:rsidR="005B4213">
        <w:rPr>
          <w:rFonts w:ascii="Times New Roman" w:hAnsi="Times New Roman" w:cs="Times New Roman"/>
          <w:b/>
          <w:bCs/>
        </w:rPr>
        <w:t>.</w:t>
      </w:r>
      <w:r>
        <w:rPr>
          <w:rFonts w:ascii="Times New Roman" w:hAnsi="Times New Roman" w:cs="Times New Roman"/>
          <w:b/>
          <w:bCs/>
        </w:rPr>
        <w:t xml:space="preserve"> 4</w:t>
      </w:r>
      <w:r w:rsidR="005B4213">
        <w:rPr>
          <w:rFonts w:ascii="Times New Roman" w:hAnsi="Times New Roman" w:cs="Times New Roman"/>
          <w:b/>
          <w:bCs/>
        </w:rPr>
        <w:t>.</w:t>
      </w:r>
      <w:r>
        <w:rPr>
          <w:rFonts w:ascii="Times New Roman" w:hAnsi="Times New Roman" w:cs="Times New Roman"/>
          <w:b/>
          <w:bCs/>
        </w:rPr>
        <w:t xml:space="preserve"> </w:t>
      </w:r>
      <w:r w:rsidR="009577B1">
        <w:rPr>
          <w:rFonts w:ascii="Times New Roman" w:hAnsi="Times New Roman" w:cs="Times New Roman"/>
        </w:rPr>
        <w:t xml:space="preserve">C1q expression in primary microglia is suppressed in response to eCIRP </w:t>
      </w:r>
      <w:r w:rsidR="009577B1">
        <w:rPr>
          <w:rFonts w:ascii="Times New Roman" w:hAnsi="Times New Roman" w:cs="Times New Roman"/>
          <w:i/>
          <w:iCs/>
        </w:rPr>
        <w:t>in vitro</w:t>
      </w:r>
      <w:r w:rsidR="009577B1">
        <w:rPr>
          <w:rFonts w:ascii="Times New Roman" w:hAnsi="Times New Roman" w:cs="Times New Roman"/>
        </w:rPr>
        <w:t xml:space="preserve">. </w:t>
      </w:r>
      <w:r>
        <w:rPr>
          <w:rFonts w:ascii="Times New Roman" w:hAnsi="Times New Roman" w:cs="Times New Roman"/>
        </w:rPr>
        <w:t xml:space="preserve">Gene expression of </w:t>
      </w:r>
      <w:r>
        <w:rPr>
          <w:rFonts w:ascii="Times New Roman" w:hAnsi="Times New Roman" w:cs="Times New Roman"/>
          <w:i/>
          <w:iCs/>
        </w:rPr>
        <w:t>C1q</w:t>
      </w:r>
      <w:r w:rsidR="00660A97">
        <w:rPr>
          <w:rFonts w:ascii="Times New Roman" w:hAnsi="Times New Roman" w:cs="Times New Roman"/>
          <w:i/>
          <w:iCs/>
        </w:rPr>
        <w:t>α</w:t>
      </w:r>
      <w:r>
        <w:rPr>
          <w:rFonts w:ascii="Times New Roman" w:hAnsi="Times New Roman" w:cs="Times New Roman"/>
        </w:rPr>
        <w:t xml:space="preserve"> in </w:t>
      </w:r>
      <w:r w:rsidR="008A7790">
        <w:rPr>
          <w:rFonts w:ascii="Times New Roman" w:hAnsi="Times New Roman" w:cs="Times New Roman"/>
        </w:rPr>
        <w:t xml:space="preserve">primary </w:t>
      </w:r>
      <w:r>
        <w:rPr>
          <w:rFonts w:ascii="Times New Roman" w:hAnsi="Times New Roman" w:cs="Times New Roman"/>
        </w:rPr>
        <w:t>microglia treated with indicated doses of eCIRP for 20</w:t>
      </w:r>
      <w:r w:rsidR="00660A97">
        <w:rPr>
          <w:rFonts w:ascii="Times New Roman" w:hAnsi="Times New Roman" w:cs="Times New Roman"/>
        </w:rPr>
        <w:t xml:space="preserve"> </w:t>
      </w:r>
      <w:r>
        <w:rPr>
          <w:rFonts w:ascii="Times New Roman" w:hAnsi="Times New Roman" w:cs="Times New Roman"/>
        </w:rPr>
        <w:t>h. (</w:t>
      </w:r>
      <w:r w:rsidRPr="00C526F5">
        <w:rPr>
          <w:rFonts w:ascii="Times New Roman" w:hAnsi="Times New Roman" w:cs="Times New Roman"/>
          <w:i/>
          <w:iCs/>
        </w:rPr>
        <w:t>n</w:t>
      </w:r>
      <w:r>
        <w:rPr>
          <w:rFonts w:ascii="Times New Roman" w:hAnsi="Times New Roman" w:cs="Times New Roman"/>
        </w:rPr>
        <w:t xml:space="preserve"> = 5-6; * </w:t>
      </w:r>
      <w:r>
        <w:rPr>
          <w:rFonts w:ascii="Times New Roman" w:hAnsi="Times New Roman" w:cs="Times New Roman"/>
          <w:i/>
          <w:iCs/>
        </w:rPr>
        <w:t xml:space="preserve">p </w:t>
      </w:r>
      <w:r>
        <w:rPr>
          <w:rFonts w:ascii="Times New Roman" w:hAnsi="Times New Roman" w:cs="Times New Roman"/>
        </w:rPr>
        <w:t>&lt; 0.0001 vs. 0 µg/mL eCIRP; one-way ANOVA, Tukey’s multiple comparisons test).</w:t>
      </w:r>
    </w:p>
    <w:p w14:paraId="090EFD8F" w14:textId="1F2209D4" w:rsidR="00C526F5" w:rsidRDefault="00C526F5">
      <w:pPr>
        <w:rPr>
          <w:rFonts w:ascii="Times New Roman" w:hAnsi="Times New Roman" w:cs="Times New Roman"/>
        </w:rPr>
      </w:pPr>
      <w:r>
        <w:rPr>
          <w:rFonts w:ascii="Times New Roman" w:hAnsi="Times New Roman" w:cs="Times New Roman"/>
        </w:rPr>
        <w:br w:type="page"/>
      </w:r>
    </w:p>
    <w:p w14:paraId="77DFCA4D" w14:textId="246144F7" w:rsidR="00C526F5" w:rsidRDefault="006E1E56" w:rsidP="00C526F5">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429F8043" wp14:editId="0C0FD1E3">
            <wp:extent cx="4739650" cy="3723140"/>
            <wp:effectExtent l="0" t="0" r="3810" b="0"/>
            <wp:docPr id="1697053946" name="Picture 6"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53946" name="Picture 6" descr="A close-up of a grap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39650" cy="3723140"/>
                    </a:xfrm>
                    <a:prstGeom prst="rect">
                      <a:avLst/>
                    </a:prstGeom>
                  </pic:spPr>
                </pic:pic>
              </a:graphicData>
            </a:graphic>
          </wp:inline>
        </w:drawing>
      </w:r>
    </w:p>
    <w:p w14:paraId="7CF61689" w14:textId="329F4224" w:rsidR="009513A3" w:rsidRDefault="009513A3" w:rsidP="00C526F5">
      <w:pPr>
        <w:spacing w:line="480" w:lineRule="auto"/>
        <w:rPr>
          <w:rFonts w:ascii="Times New Roman" w:hAnsi="Times New Roman" w:cs="Times New Roman"/>
        </w:rPr>
      </w:pPr>
      <w:r>
        <w:rPr>
          <w:rFonts w:ascii="Times New Roman" w:hAnsi="Times New Roman" w:cs="Times New Roman"/>
          <w:b/>
          <w:bCs/>
        </w:rPr>
        <w:t>Supplementa</w:t>
      </w:r>
      <w:r w:rsidR="00975720">
        <w:rPr>
          <w:rFonts w:ascii="Times New Roman" w:hAnsi="Times New Roman" w:cs="Times New Roman"/>
          <w:b/>
          <w:bCs/>
        </w:rPr>
        <w:t>ry</w:t>
      </w:r>
      <w:r>
        <w:rPr>
          <w:rFonts w:ascii="Times New Roman" w:hAnsi="Times New Roman" w:cs="Times New Roman"/>
          <w:b/>
          <w:bCs/>
        </w:rPr>
        <w:t xml:space="preserve"> Fig</w:t>
      </w:r>
      <w:r w:rsidR="005B4213">
        <w:rPr>
          <w:rFonts w:ascii="Times New Roman" w:hAnsi="Times New Roman" w:cs="Times New Roman"/>
          <w:b/>
          <w:bCs/>
        </w:rPr>
        <w:t>.</w:t>
      </w:r>
      <w:r>
        <w:rPr>
          <w:rFonts w:ascii="Times New Roman" w:hAnsi="Times New Roman" w:cs="Times New Roman"/>
          <w:b/>
          <w:bCs/>
        </w:rPr>
        <w:t xml:space="preserve"> 5</w:t>
      </w:r>
      <w:r w:rsidR="005B4213">
        <w:rPr>
          <w:rFonts w:ascii="Times New Roman" w:hAnsi="Times New Roman" w:cs="Times New Roman"/>
          <w:b/>
          <w:bCs/>
        </w:rPr>
        <w:t>.</w:t>
      </w:r>
      <w:r>
        <w:rPr>
          <w:rFonts w:ascii="Times New Roman" w:hAnsi="Times New Roman" w:cs="Times New Roman"/>
          <w:b/>
          <w:bCs/>
        </w:rPr>
        <w:t xml:space="preserve"> </w:t>
      </w:r>
      <w:r w:rsidR="009577B1">
        <w:rPr>
          <w:rFonts w:ascii="Times New Roman" w:hAnsi="Times New Roman" w:cs="Times New Roman"/>
        </w:rPr>
        <w:t xml:space="preserve">miR-155 mimic downregulated </w:t>
      </w:r>
      <w:proofErr w:type="spellStart"/>
      <w:r w:rsidR="009577B1">
        <w:rPr>
          <w:rFonts w:ascii="Times New Roman" w:hAnsi="Times New Roman" w:cs="Times New Roman"/>
        </w:rPr>
        <w:t>MafB</w:t>
      </w:r>
      <w:proofErr w:type="spellEnd"/>
      <w:r w:rsidR="009577B1">
        <w:rPr>
          <w:rFonts w:ascii="Times New Roman" w:hAnsi="Times New Roman" w:cs="Times New Roman"/>
        </w:rPr>
        <w:t xml:space="preserve"> expression in immortalized murine microglia. </w:t>
      </w:r>
      <w:r>
        <w:rPr>
          <w:rFonts w:ascii="Times New Roman" w:hAnsi="Times New Roman" w:cs="Times New Roman"/>
        </w:rPr>
        <w:t xml:space="preserve">Representative Western blot and quantification of BV-2 cells (murine microglial cell line) treated with PBS or eCIRP (1 µg/mL) as well as cells transfected with a miR-155 mimic. </w:t>
      </w:r>
    </w:p>
    <w:p w14:paraId="4416FD75" w14:textId="511FF0C7" w:rsidR="009513A3" w:rsidRDefault="009513A3" w:rsidP="00350833">
      <w:pPr>
        <w:rPr>
          <w:rFonts w:ascii="Times New Roman" w:hAnsi="Times New Roman" w:cs="Times New Roman"/>
        </w:rPr>
      </w:pPr>
    </w:p>
    <w:p w14:paraId="7DA5E229" w14:textId="77777777" w:rsidR="001770D8" w:rsidRDefault="001770D8" w:rsidP="00350833">
      <w:pPr>
        <w:rPr>
          <w:rFonts w:ascii="Times New Roman" w:hAnsi="Times New Roman" w:cs="Times New Roman"/>
        </w:rPr>
      </w:pPr>
    </w:p>
    <w:p w14:paraId="0311D10F" w14:textId="77777777" w:rsidR="001770D8" w:rsidRDefault="001770D8" w:rsidP="00350833">
      <w:pPr>
        <w:rPr>
          <w:rFonts w:ascii="Times New Roman" w:hAnsi="Times New Roman" w:cs="Times New Roman"/>
        </w:rPr>
      </w:pPr>
    </w:p>
    <w:p w14:paraId="29669B28" w14:textId="77777777" w:rsidR="001770D8" w:rsidRDefault="001770D8" w:rsidP="00350833">
      <w:pPr>
        <w:rPr>
          <w:rFonts w:ascii="Times New Roman" w:hAnsi="Times New Roman" w:cs="Times New Roman"/>
        </w:rPr>
      </w:pPr>
    </w:p>
    <w:p w14:paraId="23F0F9F6" w14:textId="77777777" w:rsidR="001770D8" w:rsidRDefault="001770D8" w:rsidP="00350833">
      <w:pPr>
        <w:rPr>
          <w:rFonts w:ascii="Times New Roman" w:hAnsi="Times New Roman" w:cs="Times New Roman"/>
        </w:rPr>
      </w:pPr>
    </w:p>
    <w:p w14:paraId="423A573D" w14:textId="77777777" w:rsidR="001770D8" w:rsidRDefault="001770D8" w:rsidP="00350833">
      <w:pPr>
        <w:rPr>
          <w:rFonts w:ascii="Times New Roman" w:hAnsi="Times New Roman" w:cs="Times New Roman"/>
        </w:rPr>
      </w:pPr>
    </w:p>
    <w:p w14:paraId="31DB5A42" w14:textId="77777777" w:rsidR="001770D8" w:rsidRDefault="001770D8" w:rsidP="00350833">
      <w:pPr>
        <w:rPr>
          <w:rFonts w:ascii="Times New Roman" w:hAnsi="Times New Roman" w:cs="Times New Roman"/>
        </w:rPr>
      </w:pPr>
    </w:p>
    <w:p w14:paraId="0D4B4C12" w14:textId="77777777" w:rsidR="001770D8" w:rsidRDefault="001770D8" w:rsidP="00350833">
      <w:pPr>
        <w:rPr>
          <w:rFonts w:ascii="Times New Roman" w:hAnsi="Times New Roman" w:cs="Times New Roman"/>
        </w:rPr>
      </w:pPr>
    </w:p>
    <w:p w14:paraId="72FBB105" w14:textId="77777777" w:rsidR="001770D8" w:rsidRDefault="001770D8" w:rsidP="00350833">
      <w:pPr>
        <w:rPr>
          <w:rFonts w:ascii="Times New Roman" w:hAnsi="Times New Roman" w:cs="Times New Roman"/>
        </w:rPr>
      </w:pPr>
    </w:p>
    <w:p w14:paraId="2119931A" w14:textId="77777777" w:rsidR="001770D8" w:rsidRDefault="001770D8" w:rsidP="00350833">
      <w:pPr>
        <w:rPr>
          <w:rFonts w:ascii="Times New Roman" w:hAnsi="Times New Roman" w:cs="Times New Roman"/>
        </w:rPr>
      </w:pPr>
    </w:p>
    <w:p w14:paraId="6678C268" w14:textId="77777777" w:rsidR="001770D8" w:rsidRDefault="001770D8" w:rsidP="001770D8">
      <w:pPr>
        <w:spacing w:line="480" w:lineRule="auto"/>
        <w:rPr>
          <w:rFonts w:ascii="Times New Roman" w:hAnsi="Times New Roman" w:cs="Times New Roman"/>
          <w:b/>
          <w:bCs/>
        </w:rPr>
      </w:pPr>
      <w:r>
        <w:rPr>
          <w:rFonts w:ascii="Times New Roman" w:hAnsi="Times New Roman" w:cs="Times New Roman"/>
          <w:b/>
          <w:bCs/>
        </w:rPr>
        <w:t>Supplementary Methods</w:t>
      </w:r>
    </w:p>
    <w:p w14:paraId="41C6F0D0" w14:textId="77777777" w:rsidR="001770D8" w:rsidRDefault="001770D8" w:rsidP="001770D8">
      <w:pPr>
        <w:spacing w:line="480" w:lineRule="auto"/>
        <w:rPr>
          <w:rFonts w:ascii="Times New Roman" w:hAnsi="Times New Roman" w:cs="Times New Roman"/>
        </w:rPr>
      </w:pPr>
      <w:r>
        <w:rPr>
          <w:rFonts w:ascii="Times New Roman" w:hAnsi="Times New Roman" w:cs="Times New Roman"/>
          <w:b/>
          <w:bCs/>
        </w:rPr>
        <w:t xml:space="preserve">Immunofluorescence microscopy for </w:t>
      </w:r>
      <w:proofErr w:type="spellStart"/>
      <w:r>
        <w:rPr>
          <w:rFonts w:ascii="Times New Roman" w:hAnsi="Times New Roman" w:cs="Times New Roman"/>
          <w:b/>
          <w:bCs/>
        </w:rPr>
        <w:t>MafB</w:t>
      </w:r>
      <w:proofErr w:type="spellEnd"/>
      <w:r>
        <w:rPr>
          <w:rFonts w:ascii="Times New Roman" w:hAnsi="Times New Roman" w:cs="Times New Roman"/>
          <w:b/>
          <w:bCs/>
        </w:rPr>
        <w:t xml:space="preserve"> expression</w:t>
      </w:r>
      <w:r>
        <w:rPr>
          <w:rFonts w:ascii="Times New Roman" w:hAnsi="Times New Roman" w:cs="Times New Roman"/>
        </w:rPr>
        <w:t>:</w:t>
      </w:r>
    </w:p>
    <w:p w14:paraId="08113E06" w14:textId="77777777" w:rsidR="001770D8" w:rsidRDefault="001770D8" w:rsidP="001770D8">
      <w:pPr>
        <w:spacing w:line="480" w:lineRule="auto"/>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tMCAO</w:t>
      </w:r>
      <w:proofErr w:type="spellEnd"/>
      <w:r>
        <w:rPr>
          <w:rFonts w:ascii="Times New Roman" w:hAnsi="Times New Roman" w:cs="Times New Roman"/>
        </w:rPr>
        <w:t xml:space="preserve"> model, tissue processing and immunofluorescence staining, and analysis were conducted as described in the main text Methods. Antibody staining was carried out using the same protocol as MerTK staining. Tissues were stained with primary antibodies </w:t>
      </w:r>
      <w:r w:rsidRPr="001D26CF">
        <w:rPr>
          <w:rFonts w:ascii="Times New Roman" w:hAnsi="Times New Roman" w:cs="Times New Roman"/>
        </w:rPr>
        <w:t>rabbit anti-</w:t>
      </w:r>
      <w:proofErr w:type="spellStart"/>
      <w:r w:rsidRPr="001D26CF">
        <w:rPr>
          <w:rFonts w:ascii="Times New Roman" w:hAnsi="Times New Roman" w:cs="Times New Roman"/>
        </w:rPr>
        <w:t>MafB</w:t>
      </w:r>
      <w:proofErr w:type="spellEnd"/>
      <w:r w:rsidRPr="001D26CF">
        <w:rPr>
          <w:rFonts w:ascii="Times New Roman" w:hAnsi="Times New Roman" w:cs="Times New Roman"/>
        </w:rPr>
        <w:t xml:space="preserve"> (1:</w:t>
      </w:r>
      <w:r>
        <w:rPr>
          <w:rFonts w:ascii="Times New Roman" w:hAnsi="Times New Roman" w:cs="Times New Roman"/>
        </w:rPr>
        <w:t>200</w:t>
      </w:r>
      <w:r w:rsidRPr="001D26CF">
        <w:rPr>
          <w:rFonts w:ascii="Times New Roman" w:hAnsi="Times New Roman" w:cs="Times New Roman"/>
        </w:rPr>
        <w:t>; Bethyl labs, catalog no. A700-046)</w:t>
      </w:r>
      <w:r>
        <w:rPr>
          <w:rFonts w:ascii="Times New Roman" w:hAnsi="Times New Roman" w:cs="Times New Roman"/>
        </w:rPr>
        <w:t xml:space="preserve"> and goat</w:t>
      </w:r>
      <w:r w:rsidRPr="001D26CF">
        <w:rPr>
          <w:rFonts w:ascii="Times New Roman" w:hAnsi="Times New Roman" w:cs="Times New Roman"/>
        </w:rPr>
        <w:t xml:space="preserve"> anti-mouse Iba-1 (1:500; Novus Biologicals, catalog no. NB100-1028)</w:t>
      </w:r>
      <w:r>
        <w:rPr>
          <w:rFonts w:ascii="Times New Roman" w:hAnsi="Times New Roman" w:cs="Times New Roman"/>
        </w:rPr>
        <w:t>, and secondary antibodies</w:t>
      </w:r>
      <w:r w:rsidRPr="00133C62">
        <w:rPr>
          <w:rFonts w:ascii="Times New Roman" w:hAnsi="Times New Roman" w:cs="Times New Roman"/>
        </w:rPr>
        <w:t xml:space="preserve"> </w:t>
      </w:r>
      <w:r w:rsidRPr="001D26CF">
        <w:rPr>
          <w:rFonts w:ascii="Times New Roman" w:hAnsi="Times New Roman" w:cs="Times New Roman"/>
        </w:rPr>
        <w:t>Alexa Fluor</w:t>
      </w:r>
      <w:r>
        <w:rPr>
          <w:rFonts w:ascii="Times New Roman" w:hAnsi="Times New Roman" w:cs="Times New Roman"/>
        </w:rPr>
        <w:t xml:space="preserve"> 488 donkey anti-rabbit </w:t>
      </w:r>
      <w:r w:rsidRPr="001D26CF">
        <w:rPr>
          <w:rFonts w:ascii="Times New Roman" w:hAnsi="Times New Roman" w:cs="Times New Roman"/>
        </w:rPr>
        <w:t xml:space="preserve">(1:500; Invitrogen, catalog no. </w:t>
      </w:r>
      <w:r>
        <w:rPr>
          <w:rFonts w:ascii="Times New Roman" w:hAnsi="Times New Roman" w:cs="Times New Roman"/>
        </w:rPr>
        <w:t>A21206). Peri-infarct regions of b</w:t>
      </w:r>
      <w:r w:rsidRPr="001D26CF">
        <w:rPr>
          <w:rFonts w:ascii="Times New Roman" w:hAnsi="Times New Roman" w:cs="Times New Roman"/>
        </w:rPr>
        <w:t>rain tissues were imaged on a Zeiss LSM880 scanning confocal microscope (Carl Zeiss Imaging, Germany)</w:t>
      </w:r>
      <w:r>
        <w:rPr>
          <w:rFonts w:ascii="Times New Roman" w:hAnsi="Times New Roman" w:cs="Times New Roman"/>
        </w:rPr>
        <w:t xml:space="preserve"> using a 40x objective. Image analysis was conducted using NIH ImageJ. </w:t>
      </w:r>
      <w:r w:rsidRPr="001D26CF">
        <w:rPr>
          <w:rFonts w:ascii="Times New Roman" w:hAnsi="Times New Roman" w:cs="Times New Roman"/>
        </w:rPr>
        <w:t>Z-stack images were converted into maximum intensity project</w:t>
      </w:r>
      <w:r>
        <w:rPr>
          <w:rFonts w:ascii="Times New Roman" w:hAnsi="Times New Roman" w:cs="Times New Roman"/>
        </w:rPr>
        <w:t>ions</w:t>
      </w:r>
      <w:r w:rsidRPr="001D26CF">
        <w:rPr>
          <w:rFonts w:ascii="Times New Roman" w:hAnsi="Times New Roman" w:cs="Times New Roman"/>
        </w:rPr>
        <w:t xml:space="preserve">, threshold function was used on the Iba-1 channel to create microglia ROIs, and ROIs were applied to </w:t>
      </w:r>
      <w:proofErr w:type="spellStart"/>
      <w:r w:rsidRPr="001D26CF">
        <w:rPr>
          <w:rFonts w:ascii="Times New Roman" w:hAnsi="Times New Roman" w:cs="Times New Roman"/>
        </w:rPr>
        <w:t>M</w:t>
      </w:r>
      <w:r>
        <w:rPr>
          <w:rFonts w:ascii="Times New Roman" w:hAnsi="Times New Roman" w:cs="Times New Roman"/>
        </w:rPr>
        <w:t>afB</w:t>
      </w:r>
      <w:proofErr w:type="spellEnd"/>
      <w:r w:rsidRPr="001D26CF">
        <w:rPr>
          <w:rFonts w:ascii="Times New Roman" w:hAnsi="Times New Roman" w:cs="Times New Roman"/>
        </w:rPr>
        <w:t xml:space="preserve"> channel to measure integrated density of </w:t>
      </w:r>
      <w:proofErr w:type="spellStart"/>
      <w:r w:rsidRPr="001D26CF">
        <w:rPr>
          <w:rFonts w:ascii="Times New Roman" w:hAnsi="Times New Roman" w:cs="Times New Roman"/>
        </w:rPr>
        <w:t>M</w:t>
      </w:r>
      <w:r>
        <w:rPr>
          <w:rFonts w:ascii="Times New Roman" w:hAnsi="Times New Roman" w:cs="Times New Roman"/>
        </w:rPr>
        <w:t>afB</w:t>
      </w:r>
      <w:proofErr w:type="spellEnd"/>
      <w:r>
        <w:rPr>
          <w:rFonts w:ascii="Times New Roman" w:hAnsi="Times New Roman" w:cs="Times New Roman"/>
        </w:rPr>
        <w:t xml:space="preserve"> </w:t>
      </w:r>
      <w:r w:rsidRPr="001D26CF">
        <w:rPr>
          <w:rFonts w:ascii="Times New Roman" w:hAnsi="Times New Roman" w:cs="Times New Roman"/>
        </w:rPr>
        <w:t>staining</w:t>
      </w:r>
      <w:r>
        <w:rPr>
          <w:rFonts w:ascii="Times New Roman" w:hAnsi="Times New Roman" w:cs="Times New Roman"/>
        </w:rPr>
        <w:t xml:space="preserve"> in each ROI. Results are reported in arbitrary fluorescence units (AU).</w:t>
      </w:r>
    </w:p>
    <w:p w14:paraId="18851338" w14:textId="77777777" w:rsidR="001770D8" w:rsidRDefault="001770D8" w:rsidP="001770D8">
      <w:pPr>
        <w:spacing w:line="480" w:lineRule="auto"/>
        <w:rPr>
          <w:rFonts w:ascii="Times New Roman" w:hAnsi="Times New Roman" w:cs="Times New Roman"/>
          <w:b/>
          <w:bCs/>
        </w:rPr>
      </w:pPr>
      <w:r>
        <w:rPr>
          <w:rFonts w:ascii="Times New Roman" w:hAnsi="Times New Roman" w:cs="Times New Roman"/>
          <w:b/>
          <w:bCs/>
          <w:i/>
          <w:iCs/>
        </w:rPr>
        <w:t xml:space="preserve">In vitro </w:t>
      </w:r>
      <w:r>
        <w:rPr>
          <w:rFonts w:ascii="Times New Roman" w:hAnsi="Times New Roman" w:cs="Times New Roman"/>
          <w:b/>
          <w:bCs/>
        </w:rPr>
        <w:t>efferocytosis imaging assay:</w:t>
      </w:r>
    </w:p>
    <w:p w14:paraId="443F172C" w14:textId="77777777" w:rsidR="001770D8" w:rsidRDefault="001770D8" w:rsidP="001770D8">
      <w:pPr>
        <w:spacing w:line="480" w:lineRule="auto"/>
        <w:rPr>
          <w:rFonts w:ascii="Times New Roman" w:hAnsi="Times New Roman" w:cs="Times New Roman"/>
        </w:rPr>
      </w:pPr>
      <w:r>
        <w:rPr>
          <w:rFonts w:ascii="Times New Roman" w:hAnsi="Times New Roman" w:cs="Times New Roman"/>
        </w:rPr>
        <w:t>Method was adapted from previously described protocol</w:t>
      </w:r>
      <w:r w:rsidRPr="00616EBF">
        <w:rPr>
          <w:rFonts w:ascii="Times New Roman" w:eastAsia="Times New Roman" w:hAnsi="Times New Roman" w:cs="Times New Roman"/>
          <w:vertAlign w:val="superscript"/>
        </w:rPr>
        <w:t>1</w:t>
      </w:r>
      <w:r>
        <w:rPr>
          <w:rFonts w:ascii="Times New Roman" w:hAnsi="Times New Roman" w:cs="Times New Roman"/>
        </w:rPr>
        <w:t xml:space="preserve">, with modifications detailed below. Primary microglia were seeded onto poly-D-lysine pre-coated 8-well chamber slides (Mattek, catalog no. </w:t>
      </w:r>
      <w:r w:rsidRPr="00B53CA4">
        <w:rPr>
          <w:rFonts w:ascii="Times New Roman" w:hAnsi="Times New Roman" w:cs="Times New Roman"/>
        </w:rPr>
        <w:t>CCS-8</w:t>
      </w:r>
      <w:r>
        <w:rPr>
          <w:rFonts w:ascii="Times New Roman" w:hAnsi="Times New Roman" w:cs="Times New Roman"/>
        </w:rPr>
        <w:t xml:space="preserve">) and treated with PBS or 1 µg/mL </w:t>
      </w:r>
      <w:proofErr w:type="spellStart"/>
      <w:r>
        <w:rPr>
          <w:rFonts w:ascii="Times New Roman" w:hAnsi="Times New Roman" w:cs="Times New Roman"/>
        </w:rPr>
        <w:t>eCIRP</w:t>
      </w:r>
      <w:proofErr w:type="spellEnd"/>
      <w:r>
        <w:rPr>
          <w:rFonts w:ascii="Times New Roman" w:hAnsi="Times New Roman" w:cs="Times New Roman"/>
        </w:rPr>
        <w:t xml:space="preserve"> for 20 h. Cell death was induced in N2a cells via</w:t>
      </w:r>
      <w:r w:rsidRPr="001D26CF">
        <w:rPr>
          <w:rFonts w:ascii="Times New Roman" w:hAnsi="Times New Roman" w:cs="Times New Roman"/>
        </w:rPr>
        <w:t xml:space="preserve"> exposure to 600 J/m</w:t>
      </w:r>
      <w:r w:rsidRPr="001D26CF">
        <w:rPr>
          <w:rFonts w:ascii="Times New Roman" w:hAnsi="Times New Roman" w:cs="Times New Roman"/>
          <w:vertAlign w:val="superscript"/>
        </w:rPr>
        <w:t>2</w:t>
      </w:r>
      <w:r w:rsidRPr="001D26CF">
        <w:rPr>
          <w:rFonts w:ascii="Times New Roman" w:hAnsi="Times New Roman" w:cs="Times New Roman"/>
        </w:rPr>
        <w:t xml:space="preserve"> </w:t>
      </w:r>
      <w:r>
        <w:rPr>
          <w:rFonts w:ascii="Times New Roman" w:hAnsi="Times New Roman" w:cs="Times New Roman"/>
        </w:rPr>
        <w:t xml:space="preserve">UV irradiation </w:t>
      </w:r>
      <w:r w:rsidRPr="001D26CF">
        <w:rPr>
          <w:rFonts w:ascii="Times New Roman" w:hAnsi="Times New Roman" w:cs="Times New Roman"/>
        </w:rPr>
        <w:t>24</w:t>
      </w:r>
      <w:r>
        <w:rPr>
          <w:rFonts w:ascii="Times New Roman" w:hAnsi="Times New Roman" w:cs="Times New Roman"/>
        </w:rPr>
        <w:t xml:space="preserve"> </w:t>
      </w:r>
      <w:r w:rsidRPr="001D26CF">
        <w:rPr>
          <w:rFonts w:ascii="Times New Roman" w:hAnsi="Times New Roman" w:cs="Times New Roman"/>
        </w:rPr>
        <w:t>h prior to staining and co-incubation with microglia.</w:t>
      </w:r>
      <w:r>
        <w:rPr>
          <w:rFonts w:ascii="Times New Roman" w:hAnsi="Times New Roman" w:cs="Times New Roman"/>
        </w:rPr>
        <w:t xml:space="preserve"> N2a cells were stained with </w:t>
      </w:r>
      <w:proofErr w:type="spellStart"/>
      <w:r>
        <w:rPr>
          <w:rFonts w:ascii="Times New Roman" w:hAnsi="Times New Roman" w:cs="Times New Roman"/>
        </w:rPr>
        <w:t>CellTracker</w:t>
      </w:r>
      <w:proofErr w:type="spellEnd"/>
      <w:r>
        <w:rPr>
          <w:rFonts w:ascii="Times New Roman" w:hAnsi="Times New Roman" w:cs="Times New Roman"/>
        </w:rPr>
        <w:t xml:space="preserve"> Red CMTPX (Invitrogen, catalog no. C32552) per manufacturer’s protocol, and EZ-Link</w:t>
      </w:r>
      <w:r w:rsidRPr="00C921BF">
        <w:rPr>
          <w:rFonts w:ascii="Times New Roman" w:hAnsi="Times New Roman" w:cs="Times New Roman"/>
        </w:rPr>
        <w:t>™ NHS-Biotin</w:t>
      </w:r>
      <w:r>
        <w:rPr>
          <w:rFonts w:ascii="Times New Roman" w:hAnsi="Times New Roman" w:cs="Times New Roman"/>
        </w:rPr>
        <w:t xml:space="preserve"> (</w:t>
      </w:r>
      <w:proofErr w:type="spellStart"/>
      <w:r w:rsidRPr="00C921BF">
        <w:rPr>
          <w:rFonts w:ascii="Times New Roman" w:hAnsi="Times New Roman" w:cs="Times New Roman"/>
        </w:rPr>
        <w:t>Thermo</w:t>
      </w:r>
      <w:proofErr w:type="spellEnd"/>
      <w:r w:rsidRPr="00C921BF">
        <w:rPr>
          <w:rFonts w:ascii="Times New Roman" w:hAnsi="Times New Roman" w:cs="Times New Roman"/>
        </w:rPr>
        <w:t xml:space="preserve"> Scientific</w:t>
      </w:r>
      <w:r>
        <w:rPr>
          <w:rFonts w:ascii="Times New Roman" w:hAnsi="Times New Roman" w:cs="Times New Roman"/>
        </w:rPr>
        <w:t xml:space="preserve">, catalog no. 20217) prior to co-incubation. N2a cells were added to adherent microglia </w:t>
      </w:r>
      <w:r>
        <w:rPr>
          <w:rFonts w:ascii="Times New Roman" w:hAnsi="Times New Roman" w:cs="Times New Roman"/>
        </w:rPr>
        <w:lastRenderedPageBreak/>
        <w:t>at a ratio of 1:3 (microglia effector: N2a prey cells) and incubated for 1 h, washed with PBS, and stained with FITC-streptavidin (</w:t>
      </w:r>
      <w:proofErr w:type="spellStart"/>
      <w:r w:rsidRPr="00C921BF">
        <w:rPr>
          <w:rFonts w:ascii="Times New Roman" w:hAnsi="Times New Roman" w:cs="Times New Roman"/>
        </w:rPr>
        <w:t>Thermo</w:t>
      </w:r>
      <w:proofErr w:type="spellEnd"/>
      <w:r w:rsidRPr="00C921BF">
        <w:rPr>
          <w:rFonts w:ascii="Times New Roman" w:hAnsi="Times New Roman" w:cs="Times New Roman"/>
        </w:rPr>
        <w:t xml:space="preserve"> Scientific</w:t>
      </w:r>
      <w:r>
        <w:rPr>
          <w:rFonts w:ascii="Times New Roman" w:hAnsi="Times New Roman" w:cs="Times New Roman"/>
        </w:rPr>
        <w:t>, catalog no</w:t>
      </w:r>
      <w:r w:rsidRPr="000A7F6F">
        <w:rPr>
          <w:rFonts w:ascii="Times New Roman" w:hAnsi="Times New Roman" w:cs="Times New Roman"/>
        </w:rPr>
        <w:t xml:space="preserve"> SA1001</w:t>
      </w:r>
      <w:r>
        <w:rPr>
          <w:rFonts w:ascii="Times New Roman" w:hAnsi="Times New Roman" w:cs="Times New Roman"/>
        </w:rPr>
        <w:t xml:space="preserve">) and fixed in 4% PFA and stained with DAPI. Cells were imaged using </w:t>
      </w:r>
      <w:r w:rsidRPr="001D26CF">
        <w:rPr>
          <w:rFonts w:ascii="Times New Roman" w:hAnsi="Times New Roman" w:cs="Times New Roman"/>
        </w:rPr>
        <w:t>LSM880 scanning confocal microscope (Carl Zeiss Imaging, Germany)</w:t>
      </w:r>
      <w:r>
        <w:rPr>
          <w:rFonts w:ascii="Times New Roman" w:hAnsi="Times New Roman" w:cs="Times New Roman"/>
        </w:rPr>
        <w:t xml:space="preserve"> with 63x objective. Qualitative image analysis was carried out in NIH ImageJ with internalized efferocytosis cargo defined as </w:t>
      </w:r>
      <w:proofErr w:type="spellStart"/>
      <w:r>
        <w:rPr>
          <w:rFonts w:ascii="Times New Roman" w:hAnsi="Times New Roman" w:cs="Times New Roman"/>
        </w:rPr>
        <w:t>CellTracker</w:t>
      </w:r>
      <w:proofErr w:type="spellEnd"/>
      <w:r>
        <w:rPr>
          <w:rFonts w:ascii="Times New Roman" w:hAnsi="Times New Roman" w:cs="Times New Roman"/>
        </w:rPr>
        <w:t xml:space="preserve"> Red positive and FITC-streptavidin negative.</w:t>
      </w:r>
    </w:p>
    <w:p w14:paraId="4368C5EE" w14:textId="77777777" w:rsidR="001770D8" w:rsidRDefault="001770D8" w:rsidP="001770D8">
      <w:pPr>
        <w:spacing w:line="480" w:lineRule="auto"/>
        <w:rPr>
          <w:rFonts w:ascii="Times New Roman" w:hAnsi="Times New Roman" w:cs="Times New Roman"/>
          <w:b/>
          <w:bCs/>
        </w:rPr>
      </w:pPr>
      <w:r>
        <w:rPr>
          <w:rFonts w:ascii="Times New Roman" w:hAnsi="Times New Roman" w:cs="Times New Roman"/>
          <w:b/>
          <w:bCs/>
        </w:rPr>
        <w:t>miR-155 mimic transfection of BV-2 cells:</w:t>
      </w:r>
    </w:p>
    <w:p w14:paraId="257E1839" w14:textId="77777777" w:rsidR="001770D8" w:rsidRDefault="001770D8" w:rsidP="001770D8">
      <w:pPr>
        <w:spacing w:line="480" w:lineRule="auto"/>
        <w:rPr>
          <w:rFonts w:ascii="Times New Roman" w:hAnsi="Times New Roman" w:cs="Times New Roman"/>
        </w:rPr>
      </w:pPr>
      <w:r>
        <w:rPr>
          <w:rFonts w:ascii="Times New Roman" w:hAnsi="Times New Roman" w:cs="Times New Roman"/>
        </w:rPr>
        <w:t>Mouse microglial cell line BV-2 cells were generously provided by Dr. Phillipe Marambaud (Feinstein Institutes for Medical Research, Manhasset, NY) as previously described</w:t>
      </w:r>
      <w:r w:rsidRPr="00616EBF">
        <w:rPr>
          <w:rFonts w:ascii="Times New Roman" w:eastAsia="Times New Roman" w:hAnsi="Times New Roman" w:cs="Times New Roman"/>
          <w:vertAlign w:val="superscript"/>
        </w:rPr>
        <w:t>2</w:t>
      </w:r>
      <w:r>
        <w:rPr>
          <w:rFonts w:ascii="Times New Roman" w:hAnsi="Times New Roman" w:cs="Times New Roman"/>
        </w:rPr>
        <w:t xml:space="preserve">. BV-2 cells were cultured in the same manner described in main text methods, maintained in completed DMEM (without </w:t>
      </w:r>
      <w:proofErr w:type="spellStart"/>
      <w:r>
        <w:rPr>
          <w:rFonts w:ascii="Times New Roman" w:hAnsi="Times New Roman" w:cs="Times New Roman"/>
        </w:rPr>
        <w:t>rmGM</w:t>
      </w:r>
      <w:proofErr w:type="spellEnd"/>
      <w:r>
        <w:rPr>
          <w:rFonts w:ascii="Times New Roman" w:hAnsi="Times New Roman" w:cs="Times New Roman"/>
        </w:rPr>
        <w:t>-CSF) and seeded for experiments at a density of 1 x 10</w:t>
      </w:r>
      <w:r w:rsidRPr="0062714C">
        <w:rPr>
          <w:rFonts w:ascii="Times New Roman" w:hAnsi="Times New Roman" w:cs="Times New Roman"/>
          <w:vertAlign w:val="superscript"/>
        </w:rPr>
        <w:t>5</w:t>
      </w:r>
      <w:r>
        <w:rPr>
          <w:rFonts w:ascii="Times New Roman" w:hAnsi="Times New Roman" w:cs="Times New Roman"/>
        </w:rPr>
        <w:t xml:space="preserve"> cells/well overnight prior to transfection. BV-2 cells were left transfected with </w:t>
      </w:r>
      <w:proofErr w:type="spellStart"/>
      <w:r>
        <w:rPr>
          <w:rFonts w:ascii="Times New Roman" w:hAnsi="Times New Roman" w:cs="Times New Roman"/>
        </w:rPr>
        <w:t>HiPerFect</w:t>
      </w:r>
      <w:proofErr w:type="spellEnd"/>
      <w:r>
        <w:rPr>
          <w:rFonts w:ascii="Times New Roman" w:hAnsi="Times New Roman" w:cs="Times New Roman"/>
        </w:rPr>
        <w:t xml:space="preserve"> Transfection reagent (Qiagen, catalog no. </w:t>
      </w:r>
      <w:r w:rsidRPr="0062714C">
        <w:rPr>
          <w:rFonts w:ascii="Times New Roman" w:hAnsi="Times New Roman" w:cs="Times New Roman"/>
        </w:rPr>
        <w:t>301704</w:t>
      </w:r>
      <w:r>
        <w:rPr>
          <w:rFonts w:ascii="Times New Roman" w:hAnsi="Times New Roman" w:cs="Times New Roman"/>
        </w:rPr>
        <w:t xml:space="preserve">) mixed with </w:t>
      </w:r>
      <w:r w:rsidRPr="0062714C">
        <w:rPr>
          <w:rFonts w:ascii="Times New Roman" w:hAnsi="Times New Roman" w:cs="Times New Roman"/>
        </w:rPr>
        <w:t xml:space="preserve">mmu-miR-155-5p </w:t>
      </w:r>
      <w:proofErr w:type="spellStart"/>
      <w:r w:rsidRPr="0062714C">
        <w:rPr>
          <w:rFonts w:ascii="Times New Roman" w:hAnsi="Times New Roman" w:cs="Times New Roman"/>
        </w:rPr>
        <w:t>miRCURY</w:t>
      </w:r>
      <w:proofErr w:type="spellEnd"/>
      <w:r w:rsidRPr="0062714C">
        <w:rPr>
          <w:rFonts w:ascii="Times New Roman" w:hAnsi="Times New Roman" w:cs="Times New Roman"/>
        </w:rPr>
        <w:t xml:space="preserve"> LNA miRNA Mimic</w:t>
      </w:r>
      <w:r>
        <w:rPr>
          <w:rFonts w:ascii="Times New Roman" w:hAnsi="Times New Roman" w:cs="Times New Roman"/>
        </w:rPr>
        <w:t xml:space="preserve"> (Qiagen </w:t>
      </w:r>
      <w:proofErr w:type="spellStart"/>
      <w:r>
        <w:rPr>
          <w:rFonts w:ascii="Times New Roman" w:hAnsi="Times New Roman" w:cs="Times New Roman"/>
        </w:rPr>
        <w:t>Geneglobe</w:t>
      </w:r>
      <w:proofErr w:type="spellEnd"/>
      <w:r>
        <w:rPr>
          <w:rFonts w:ascii="Times New Roman" w:hAnsi="Times New Roman" w:cs="Times New Roman"/>
        </w:rPr>
        <w:t xml:space="preserve">, catalog no. </w:t>
      </w:r>
      <w:r w:rsidRPr="0062714C">
        <w:rPr>
          <w:rFonts w:ascii="Times New Roman" w:hAnsi="Times New Roman" w:cs="Times New Roman"/>
        </w:rPr>
        <w:t>YM00470919-ADB</w:t>
      </w:r>
      <w:r>
        <w:rPr>
          <w:rFonts w:ascii="Times New Roman" w:hAnsi="Times New Roman" w:cs="Times New Roman"/>
        </w:rPr>
        <w:t xml:space="preserve">) or left un-transfected for 24 h. After 24 h un-transfected cells were treated with PBS or 1 µg/mL </w:t>
      </w:r>
      <w:proofErr w:type="spellStart"/>
      <w:r>
        <w:rPr>
          <w:rFonts w:ascii="Times New Roman" w:hAnsi="Times New Roman" w:cs="Times New Roman"/>
        </w:rPr>
        <w:t>eCIRP</w:t>
      </w:r>
      <w:proofErr w:type="spellEnd"/>
      <w:r>
        <w:rPr>
          <w:rFonts w:ascii="Times New Roman" w:hAnsi="Times New Roman" w:cs="Times New Roman"/>
        </w:rPr>
        <w:t xml:space="preserve"> for 20 h. Cells were lysed for protein content and Western Blots for </w:t>
      </w:r>
      <w:proofErr w:type="spellStart"/>
      <w:r>
        <w:rPr>
          <w:rFonts w:ascii="Times New Roman" w:hAnsi="Times New Roman" w:cs="Times New Roman"/>
        </w:rPr>
        <w:t>MafB</w:t>
      </w:r>
      <w:proofErr w:type="spellEnd"/>
      <w:r>
        <w:rPr>
          <w:rFonts w:ascii="Times New Roman" w:hAnsi="Times New Roman" w:cs="Times New Roman"/>
        </w:rPr>
        <w:t xml:space="preserve"> and β-actin were carried out as described in main text methods.</w:t>
      </w:r>
      <w:r>
        <w:rPr>
          <w:rFonts w:ascii="Times New Roman" w:hAnsi="Times New Roman" w:cs="Times New Roman"/>
        </w:rPr>
        <w:br w:type="page"/>
      </w:r>
    </w:p>
    <w:p w14:paraId="71741799" w14:textId="77777777" w:rsidR="001770D8" w:rsidRDefault="001770D8" w:rsidP="001770D8">
      <w:pPr>
        <w:spacing w:line="480" w:lineRule="auto"/>
        <w:rPr>
          <w:rFonts w:ascii="Times New Roman" w:hAnsi="Times New Roman" w:cs="Times New Roman"/>
        </w:rPr>
      </w:pPr>
    </w:p>
    <w:p w14:paraId="0DBA4112" w14:textId="7A2FCDDD" w:rsidR="001770D8" w:rsidRDefault="001770D8" w:rsidP="001770D8">
      <w:pPr>
        <w:rPr>
          <w:rFonts w:ascii="Times New Roman" w:hAnsi="Times New Roman" w:cs="Times New Roman"/>
          <w:b/>
          <w:bCs/>
        </w:rPr>
      </w:pPr>
      <w:r>
        <w:rPr>
          <w:rFonts w:ascii="Times New Roman" w:hAnsi="Times New Roman" w:cs="Times New Roman"/>
          <w:b/>
          <w:bCs/>
        </w:rPr>
        <w:t>Supplementary References</w:t>
      </w:r>
    </w:p>
    <w:p w14:paraId="3D5F0603" w14:textId="77777777" w:rsidR="001770D8" w:rsidRPr="00616EBF" w:rsidRDefault="001770D8" w:rsidP="001770D8">
      <w:pPr>
        <w:pStyle w:val="Bibliography2"/>
        <w:numPr>
          <w:ilvl w:val="0"/>
          <w:numId w:val="2"/>
        </w:numPr>
        <w:spacing w:line="480" w:lineRule="auto"/>
      </w:pPr>
      <w:r w:rsidRPr="00616EBF">
        <w:t xml:space="preserve">Taruc, K., Yin, C., Wootton, D. G. &amp; Heit, B. Quantification of </w:t>
      </w:r>
      <w:r>
        <w:t>e</w:t>
      </w:r>
      <w:r w:rsidRPr="00616EBF">
        <w:t xml:space="preserve">fferocytosis by </w:t>
      </w:r>
      <w:r>
        <w:t>s</w:t>
      </w:r>
      <w:r w:rsidRPr="00616EBF">
        <w:t xml:space="preserve">ingle-cell </w:t>
      </w:r>
      <w:r>
        <w:t>f</w:t>
      </w:r>
      <w:r w:rsidRPr="00616EBF">
        <w:t xml:space="preserve">luorescence </w:t>
      </w:r>
      <w:r>
        <w:t>m</w:t>
      </w:r>
      <w:r w:rsidRPr="00616EBF">
        <w:t xml:space="preserve">icroscopy. </w:t>
      </w:r>
      <w:r w:rsidRPr="00616EBF">
        <w:rPr>
          <w:i/>
          <w:iCs/>
        </w:rPr>
        <w:t>J. Vis. Exp.</w:t>
      </w:r>
      <w:r w:rsidRPr="00616EBF">
        <w:t xml:space="preserve"> (2018) doi:10.3791/58149.</w:t>
      </w:r>
    </w:p>
    <w:p w14:paraId="01767CF5" w14:textId="77777777" w:rsidR="001770D8" w:rsidRPr="00616EBF" w:rsidRDefault="001770D8" w:rsidP="001770D8">
      <w:pPr>
        <w:pStyle w:val="Bibliography2"/>
        <w:numPr>
          <w:ilvl w:val="0"/>
          <w:numId w:val="2"/>
        </w:numPr>
        <w:spacing w:line="480" w:lineRule="auto"/>
      </w:pPr>
      <w:r w:rsidRPr="00616EBF">
        <w:t xml:space="preserve">Sharma, A., Brenner, M., Jacob, A., Marambaud, P. &amp; Wang, P. Extracellular CIRP </w:t>
      </w:r>
      <w:r>
        <w:t>a</w:t>
      </w:r>
      <w:r w:rsidRPr="00616EBF">
        <w:t xml:space="preserve">ctivates the IL-6Rα/STAT3/Cdk5 </w:t>
      </w:r>
      <w:r>
        <w:t>p</w:t>
      </w:r>
      <w:r w:rsidRPr="00616EBF">
        <w:t xml:space="preserve">athway in </w:t>
      </w:r>
      <w:r>
        <w:t>n</w:t>
      </w:r>
      <w:r w:rsidRPr="00616EBF">
        <w:t xml:space="preserve">eurons. </w:t>
      </w:r>
      <w:r w:rsidRPr="00616EBF">
        <w:rPr>
          <w:i/>
          <w:iCs/>
        </w:rPr>
        <w:t xml:space="preserve">Mol. </w:t>
      </w:r>
      <w:proofErr w:type="spellStart"/>
      <w:r w:rsidRPr="00616EBF">
        <w:rPr>
          <w:i/>
          <w:iCs/>
        </w:rPr>
        <w:t>Neurobiol</w:t>
      </w:r>
      <w:proofErr w:type="spellEnd"/>
      <w:r w:rsidRPr="00616EBF">
        <w:rPr>
          <w:i/>
          <w:iCs/>
        </w:rPr>
        <w:t>.</w:t>
      </w:r>
      <w:r w:rsidRPr="00616EBF">
        <w:t xml:space="preserve"> </w:t>
      </w:r>
      <w:r w:rsidRPr="00616EBF">
        <w:rPr>
          <w:b/>
          <w:bCs/>
        </w:rPr>
        <w:t>58</w:t>
      </w:r>
      <w:r w:rsidRPr="00616EBF">
        <w:t>, 3628–3640 (2021).</w:t>
      </w:r>
    </w:p>
    <w:p w14:paraId="39A46AA4" w14:textId="77777777" w:rsidR="001770D8" w:rsidRPr="009513A3" w:rsidRDefault="001770D8" w:rsidP="001770D8">
      <w:pPr>
        <w:spacing w:line="480" w:lineRule="auto"/>
        <w:ind w:left="720" w:hanging="720"/>
        <w:rPr>
          <w:rFonts w:ascii="Times New Roman" w:hAnsi="Times New Roman" w:cs="Times New Roman"/>
        </w:rPr>
      </w:pPr>
    </w:p>
    <w:p w14:paraId="73E12134" w14:textId="6911AF23" w:rsidR="001770D8" w:rsidRDefault="001770D8" w:rsidP="00350833">
      <w:pPr>
        <w:rPr>
          <w:rFonts w:ascii="Times New Roman" w:hAnsi="Times New Roman" w:cs="Times New Roman"/>
        </w:rPr>
      </w:pPr>
    </w:p>
    <w:sectPr w:rsidR="001770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32539F"/>
    <w:multiLevelType w:val="hybridMultilevel"/>
    <w:tmpl w:val="A06034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7694627E"/>
    <w:multiLevelType w:val="hybridMultilevel"/>
    <w:tmpl w:val="A16E96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74768440">
    <w:abstractNumId w:val="1"/>
  </w:num>
  <w:num w:numId="2" w16cid:durableId="215777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A8A"/>
    <w:rsid w:val="000A439E"/>
    <w:rsid w:val="000A7F6F"/>
    <w:rsid w:val="00133C62"/>
    <w:rsid w:val="001770D8"/>
    <w:rsid w:val="001A7D7A"/>
    <w:rsid w:val="001C5212"/>
    <w:rsid w:val="001E1526"/>
    <w:rsid w:val="00212F31"/>
    <w:rsid w:val="002B7B0E"/>
    <w:rsid w:val="0032402D"/>
    <w:rsid w:val="00341107"/>
    <w:rsid w:val="00350833"/>
    <w:rsid w:val="004A05DF"/>
    <w:rsid w:val="004B34BB"/>
    <w:rsid w:val="004F607B"/>
    <w:rsid w:val="00503159"/>
    <w:rsid w:val="005B4213"/>
    <w:rsid w:val="005D1BF8"/>
    <w:rsid w:val="005F47F1"/>
    <w:rsid w:val="00600F4B"/>
    <w:rsid w:val="00616EBF"/>
    <w:rsid w:val="0062714C"/>
    <w:rsid w:val="00660A97"/>
    <w:rsid w:val="006713EE"/>
    <w:rsid w:val="00675FDE"/>
    <w:rsid w:val="00677196"/>
    <w:rsid w:val="006E1E56"/>
    <w:rsid w:val="006E2C3E"/>
    <w:rsid w:val="00700B3D"/>
    <w:rsid w:val="0074072A"/>
    <w:rsid w:val="0077661B"/>
    <w:rsid w:val="007D4A8A"/>
    <w:rsid w:val="008A7790"/>
    <w:rsid w:val="008B589F"/>
    <w:rsid w:val="00914138"/>
    <w:rsid w:val="00943580"/>
    <w:rsid w:val="009513A3"/>
    <w:rsid w:val="009577B1"/>
    <w:rsid w:val="00975720"/>
    <w:rsid w:val="009D0FE1"/>
    <w:rsid w:val="00A75CBB"/>
    <w:rsid w:val="00B53CA4"/>
    <w:rsid w:val="00C40910"/>
    <w:rsid w:val="00C526F5"/>
    <w:rsid w:val="00C538FC"/>
    <w:rsid w:val="00C921BF"/>
    <w:rsid w:val="00CC4FFD"/>
    <w:rsid w:val="00CE4AAB"/>
    <w:rsid w:val="00DF1088"/>
    <w:rsid w:val="00E0733F"/>
    <w:rsid w:val="00F134C1"/>
    <w:rsid w:val="00F7284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CD7D6"/>
  <w15:chartTrackingRefBased/>
  <w15:docId w15:val="{8F66962A-7955-4601-9BD9-9D52692E3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4A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4A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4A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4A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4A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4A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4A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4A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4A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4A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4A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4A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4A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4A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4A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4A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4A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4A8A"/>
    <w:rPr>
      <w:rFonts w:eastAsiaTheme="majorEastAsia" w:cstheme="majorBidi"/>
      <w:color w:val="272727" w:themeColor="text1" w:themeTint="D8"/>
    </w:rPr>
  </w:style>
  <w:style w:type="paragraph" w:styleId="Title">
    <w:name w:val="Title"/>
    <w:basedOn w:val="Normal"/>
    <w:next w:val="Normal"/>
    <w:link w:val="TitleChar"/>
    <w:uiPriority w:val="10"/>
    <w:qFormat/>
    <w:rsid w:val="007D4A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4A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4A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4A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4A8A"/>
    <w:pPr>
      <w:spacing w:before="160"/>
      <w:jc w:val="center"/>
    </w:pPr>
    <w:rPr>
      <w:i/>
      <w:iCs/>
      <w:color w:val="404040" w:themeColor="text1" w:themeTint="BF"/>
    </w:rPr>
  </w:style>
  <w:style w:type="character" w:customStyle="1" w:styleId="QuoteChar">
    <w:name w:val="Quote Char"/>
    <w:basedOn w:val="DefaultParagraphFont"/>
    <w:link w:val="Quote"/>
    <w:uiPriority w:val="29"/>
    <w:rsid w:val="007D4A8A"/>
    <w:rPr>
      <w:i/>
      <w:iCs/>
      <w:color w:val="404040" w:themeColor="text1" w:themeTint="BF"/>
    </w:rPr>
  </w:style>
  <w:style w:type="paragraph" w:styleId="ListParagraph">
    <w:name w:val="List Paragraph"/>
    <w:basedOn w:val="Normal"/>
    <w:uiPriority w:val="34"/>
    <w:qFormat/>
    <w:rsid w:val="007D4A8A"/>
    <w:pPr>
      <w:ind w:left="720"/>
      <w:contextualSpacing/>
    </w:pPr>
  </w:style>
  <w:style w:type="character" w:styleId="IntenseEmphasis">
    <w:name w:val="Intense Emphasis"/>
    <w:basedOn w:val="DefaultParagraphFont"/>
    <w:uiPriority w:val="21"/>
    <w:qFormat/>
    <w:rsid w:val="007D4A8A"/>
    <w:rPr>
      <w:i/>
      <w:iCs/>
      <w:color w:val="0F4761" w:themeColor="accent1" w:themeShade="BF"/>
    </w:rPr>
  </w:style>
  <w:style w:type="paragraph" w:styleId="IntenseQuote">
    <w:name w:val="Intense Quote"/>
    <w:basedOn w:val="Normal"/>
    <w:next w:val="Normal"/>
    <w:link w:val="IntenseQuoteChar"/>
    <w:uiPriority w:val="30"/>
    <w:qFormat/>
    <w:rsid w:val="007D4A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4A8A"/>
    <w:rPr>
      <w:i/>
      <w:iCs/>
      <w:color w:val="0F4761" w:themeColor="accent1" w:themeShade="BF"/>
    </w:rPr>
  </w:style>
  <w:style w:type="character" w:styleId="IntenseReference">
    <w:name w:val="Intense Reference"/>
    <w:basedOn w:val="DefaultParagraphFont"/>
    <w:uiPriority w:val="32"/>
    <w:qFormat/>
    <w:rsid w:val="007D4A8A"/>
    <w:rPr>
      <w:b/>
      <w:bCs/>
      <w:smallCaps/>
      <w:color w:val="0F4761" w:themeColor="accent1" w:themeShade="BF"/>
      <w:spacing w:val="5"/>
    </w:rPr>
  </w:style>
  <w:style w:type="character" w:styleId="PlaceholderText">
    <w:name w:val="Placeholder Text"/>
    <w:basedOn w:val="DefaultParagraphFont"/>
    <w:uiPriority w:val="99"/>
    <w:semiHidden/>
    <w:rsid w:val="00C921BF"/>
    <w:rPr>
      <w:color w:val="666666"/>
    </w:rPr>
  </w:style>
  <w:style w:type="paragraph" w:customStyle="1" w:styleId="Bibliography1">
    <w:name w:val="Bibliography1"/>
    <w:basedOn w:val="Normal"/>
    <w:rsid w:val="00C921BF"/>
    <w:pPr>
      <w:spacing w:before="100" w:beforeAutospacing="1" w:after="100" w:afterAutospacing="1" w:line="240" w:lineRule="auto"/>
    </w:pPr>
    <w:rPr>
      <w:rFonts w:ascii="Times New Roman" w:eastAsiaTheme="minorEastAsia" w:hAnsi="Times New Roman" w:cs="Times New Roman"/>
      <w:kern w:val="0"/>
      <w14:ligatures w14:val="none"/>
    </w:rPr>
  </w:style>
  <w:style w:type="character" w:styleId="CommentReference">
    <w:name w:val="annotation reference"/>
    <w:basedOn w:val="DefaultParagraphFont"/>
    <w:uiPriority w:val="99"/>
    <w:semiHidden/>
    <w:unhideWhenUsed/>
    <w:rsid w:val="006E2C3E"/>
    <w:rPr>
      <w:sz w:val="16"/>
      <w:szCs w:val="16"/>
    </w:rPr>
  </w:style>
  <w:style w:type="paragraph" w:styleId="CommentText">
    <w:name w:val="annotation text"/>
    <w:basedOn w:val="Normal"/>
    <w:link w:val="CommentTextChar"/>
    <w:uiPriority w:val="99"/>
    <w:semiHidden/>
    <w:unhideWhenUsed/>
    <w:rsid w:val="006E2C3E"/>
    <w:pPr>
      <w:spacing w:line="240" w:lineRule="auto"/>
    </w:pPr>
    <w:rPr>
      <w:sz w:val="20"/>
      <w:szCs w:val="20"/>
    </w:rPr>
  </w:style>
  <w:style w:type="character" w:customStyle="1" w:styleId="CommentTextChar">
    <w:name w:val="Comment Text Char"/>
    <w:basedOn w:val="DefaultParagraphFont"/>
    <w:link w:val="CommentText"/>
    <w:uiPriority w:val="99"/>
    <w:semiHidden/>
    <w:rsid w:val="006E2C3E"/>
    <w:rPr>
      <w:sz w:val="20"/>
      <w:szCs w:val="20"/>
    </w:rPr>
  </w:style>
  <w:style w:type="paragraph" w:styleId="CommentSubject">
    <w:name w:val="annotation subject"/>
    <w:basedOn w:val="CommentText"/>
    <w:next w:val="CommentText"/>
    <w:link w:val="CommentSubjectChar"/>
    <w:uiPriority w:val="99"/>
    <w:semiHidden/>
    <w:unhideWhenUsed/>
    <w:rsid w:val="006E2C3E"/>
    <w:rPr>
      <w:b/>
      <w:bCs/>
    </w:rPr>
  </w:style>
  <w:style w:type="character" w:customStyle="1" w:styleId="CommentSubjectChar">
    <w:name w:val="Comment Subject Char"/>
    <w:basedOn w:val="CommentTextChar"/>
    <w:link w:val="CommentSubject"/>
    <w:uiPriority w:val="99"/>
    <w:semiHidden/>
    <w:rsid w:val="006E2C3E"/>
    <w:rPr>
      <w:b/>
      <w:bCs/>
      <w:sz w:val="20"/>
      <w:szCs w:val="20"/>
    </w:rPr>
  </w:style>
  <w:style w:type="paragraph" w:styleId="Revision">
    <w:name w:val="Revision"/>
    <w:hidden/>
    <w:uiPriority w:val="99"/>
    <w:semiHidden/>
    <w:rsid w:val="006E2C3E"/>
    <w:pPr>
      <w:spacing w:after="0" w:line="240" w:lineRule="auto"/>
    </w:pPr>
  </w:style>
  <w:style w:type="paragraph" w:customStyle="1" w:styleId="Bibliography2">
    <w:name w:val="Bibliography2"/>
    <w:basedOn w:val="Normal"/>
    <w:rsid w:val="00616EBF"/>
    <w:pPr>
      <w:spacing w:before="100" w:beforeAutospacing="1" w:after="100" w:afterAutospacing="1" w:line="240" w:lineRule="auto"/>
    </w:pPr>
    <w:rPr>
      <w:rFonts w:ascii="Times New Roman" w:eastAsiaTheme="minorEastAsia"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20512">
      <w:bodyDiv w:val="1"/>
      <w:marLeft w:val="0"/>
      <w:marRight w:val="0"/>
      <w:marTop w:val="0"/>
      <w:marBottom w:val="0"/>
      <w:divBdr>
        <w:top w:val="none" w:sz="0" w:space="0" w:color="auto"/>
        <w:left w:val="none" w:sz="0" w:space="0" w:color="auto"/>
        <w:bottom w:val="none" w:sz="0" w:space="0" w:color="auto"/>
        <w:right w:val="none" w:sz="0" w:space="0" w:color="auto"/>
      </w:divBdr>
    </w:div>
    <w:div w:id="91782073">
      <w:bodyDiv w:val="1"/>
      <w:marLeft w:val="0"/>
      <w:marRight w:val="0"/>
      <w:marTop w:val="0"/>
      <w:marBottom w:val="0"/>
      <w:divBdr>
        <w:top w:val="none" w:sz="0" w:space="0" w:color="auto"/>
        <w:left w:val="none" w:sz="0" w:space="0" w:color="auto"/>
        <w:bottom w:val="none" w:sz="0" w:space="0" w:color="auto"/>
        <w:right w:val="none" w:sz="0" w:space="0" w:color="auto"/>
      </w:divBdr>
    </w:div>
    <w:div w:id="256059923">
      <w:bodyDiv w:val="1"/>
      <w:marLeft w:val="0"/>
      <w:marRight w:val="0"/>
      <w:marTop w:val="0"/>
      <w:marBottom w:val="0"/>
      <w:divBdr>
        <w:top w:val="none" w:sz="0" w:space="0" w:color="auto"/>
        <w:left w:val="none" w:sz="0" w:space="0" w:color="auto"/>
        <w:bottom w:val="none" w:sz="0" w:space="0" w:color="auto"/>
        <w:right w:val="none" w:sz="0" w:space="0" w:color="auto"/>
      </w:divBdr>
    </w:div>
    <w:div w:id="337658738">
      <w:bodyDiv w:val="1"/>
      <w:marLeft w:val="0"/>
      <w:marRight w:val="0"/>
      <w:marTop w:val="0"/>
      <w:marBottom w:val="0"/>
      <w:divBdr>
        <w:top w:val="none" w:sz="0" w:space="0" w:color="auto"/>
        <w:left w:val="none" w:sz="0" w:space="0" w:color="auto"/>
        <w:bottom w:val="none" w:sz="0" w:space="0" w:color="auto"/>
        <w:right w:val="none" w:sz="0" w:space="0" w:color="auto"/>
      </w:divBdr>
    </w:div>
    <w:div w:id="358822615">
      <w:bodyDiv w:val="1"/>
      <w:marLeft w:val="0"/>
      <w:marRight w:val="0"/>
      <w:marTop w:val="0"/>
      <w:marBottom w:val="0"/>
      <w:divBdr>
        <w:top w:val="none" w:sz="0" w:space="0" w:color="auto"/>
        <w:left w:val="none" w:sz="0" w:space="0" w:color="auto"/>
        <w:bottom w:val="none" w:sz="0" w:space="0" w:color="auto"/>
        <w:right w:val="none" w:sz="0" w:space="0" w:color="auto"/>
      </w:divBdr>
    </w:div>
    <w:div w:id="401024295">
      <w:bodyDiv w:val="1"/>
      <w:marLeft w:val="0"/>
      <w:marRight w:val="0"/>
      <w:marTop w:val="0"/>
      <w:marBottom w:val="0"/>
      <w:divBdr>
        <w:top w:val="none" w:sz="0" w:space="0" w:color="auto"/>
        <w:left w:val="none" w:sz="0" w:space="0" w:color="auto"/>
        <w:bottom w:val="none" w:sz="0" w:space="0" w:color="auto"/>
        <w:right w:val="none" w:sz="0" w:space="0" w:color="auto"/>
      </w:divBdr>
    </w:div>
    <w:div w:id="515853179">
      <w:bodyDiv w:val="1"/>
      <w:marLeft w:val="0"/>
      <w:marRight w:val="0"/>
      <w:marTop w:val="0"/>
      <w:marBottom w:val="0"/>
      <w:divBdr>
        <w:top w:val="none" w:sz="0" w:space="0" w:color="auto"/>
        <w:left w:val="none" w:sz="0" w:space="0" w:color="auto"/>
        <w:bottom w:val="none" w:sz="0" w:space="0" w:color="auto"/>
        <w:right w:val="none" w:sz="0" w:space="0" w:color="auto"/>
      </w:divBdr>
    </w:div>
    <w:div w:id="778834046">
      <w:bodyDiv w:val="1"/>
      <w:marLeft w:val="0"/>
      <w:marRight w:val="0"/>
      <w:marTop w:val="0"/>
      <w:marBottom w:val="0"/>
      <w:divBdr>
        <w:top w:val="none" w:sz="0" w:space="0" w:color="auto"/>
        <w:left w:val="none" w:sz="0" w:space="0" w:color="auto"/>
        <w:bottom w:val="none" w:sz="0" w:space="0" w:color="auto"/>
        <w:right w:val="none" w:sz="0" w:space="0" w:color="auto"/>
      </w:divBdr>
    </w:div>
    <w:div w:id="787775318">
      <w:bodyDiv w:val="1"/>
      <w:marLeft w:val="0"/>
      <w:marRight w:val="0"/>
      <w:marTop w:val="0"/>
      <w:marBottom w:val="0"/>
      <w:divBdr>
        <w:top w:val="none" w:sz="0" w:space="0" w:color="auto"/>
        <w:left w:val="none" w:sz="0" w:space="0" w:color="auto"/>
        <w:bottom w:val="none" w:sz="0" w:space="0" w:color="auto"/>
        <w:right w:val="none" w:sz="0" w:space="0" w:color="auto"/>
      </w:divBdr>
    </w:div>
    <w:div w:id="798302060">
      <w:bodyDiv w:val="1"/>
      <w:marLeft w:val="0"/>
      <w:marRight w:val="0"/>
      <w:marTop w:val="0"/>
      <w:marBottom w:val="0"/>
      <w:divBdr>
        <w:top w:val="none" w:sz="0" w:space="0" w:color="auto"/>
        <w:left w:val="none" w:sz="0" w:space="0" w:color="auto"/>
        <w:bottom w:val="none" w:sz="0" w:space="0" w:color="auto"/>
        <w:right w:val="none" w:sz="0" w:space="0" w:color="auto"/>
      </w:divBdr>
    </w:div>
    <w:div w:id="893077419">
      <w:bodyDiv w:val="1"/>
      <w:marLeft w:val="0"/>
      <w:marRight w:val="0"/>
      <w:marTop w:val="0"/>
      <w:marBottom w:val="0"/>
      <w:divBdr>
        <w:top w:val="none" w:sz="0" w:space="0" w:color="auto"/>
        <w:left w:val="none" w:sz="0" w:space="0" w:color="auto"/>
        <w:bottom w:val="none" w:sz="0" w:space="0" w:color="auto"/>
        <w:right w:val="none" w:sz="0" w:space="0" w:color="auto"/>
      </w:divBdr>
    </w:div>
    <w:div w:id="912619905">
      <w:bodyDiv w:val="1"/>
      <w:marLeft w:val="0"/>
      <w:marRight w:val="0"/>
      <w:marTop w:val="0"/>
      <w:marBottom w:val="0"/>
      <w:divBdr>
        <w:top w:val="none" w:sz="0" w:space="0" w:color="auto"/>
        <w:left w:val="none" w:sz="0" w:space="0" w:color="auto"/>
        <w:bottom w:val="none" w:sz="0" w:space="0" w:color="auto"/>
        <w:right w:val="none" w:sz="0" w:space="0" w:color="auto"/>
      </w:divBdr>
    </w:div>
    <w:div w:id="1091051722">
      <w:bodyDiv w:val="1"/>
      <w:marLeft w:val="0"/>
      <w:marRight w:val="0"/>
      <w:marTop w:val="0"/>
      <w:marBottom w:val="0"/>
      <w:divBdr>
        <w:top w:val="none" w:sz="0" w:space="0" w:color="auto"/>
        <w:left w:val="none" w:sz="0" w:space="0" w:color="auto"/>
        <w:bottom w:val="none" w:sz="0" w:space="0" w:color="auto"/>
        <w:right w:val="none" w:sz="0" w:space="0" w:color="auto"/>
      </w:divBdr>
    </w:div>
    <w:div w:id="1215510977">
      <w:bodyDiv w:val="1"/>
      <w:marLeft w:val="0"/>
      <w:marRight w:val="0"/>
      <w:marTop w:val="0"/>
      <w:marBottom w:val="0"/>
      <w:divBdr>
        <w:top w:val="none" w:sz="0" w:space="0" w:color="auto"/>
        <w:left w:val="none" w:sz="0" w:space="0" w:color="auto"/>
        <w:bottom w:val="none" w:sz="0" w:space="0" w:color="auto"/>
        <w:right w:val="none" w:sz="0" w:space="0" w:color="auto"/>
      </w:divBdr>
    </w:div>
    <w:div w:id="1274555790">
      <w:bodyDiv w:val="1"/>
      <w:marLeft w:val="0"/>
      <w:marRight w:val="0"/>
      <w:marTop w:val="0"/>
      <w:marBottom w:val="0"/>
      <w:divBdr>
        <w:top w:val="none" w:sz="0" w:space="0" w:color="auto"/>
        <w:left w:val="none" w:sz="0" w:space="0" w:color="auto"/>
        <w:bottom w:val="none" w:sz="0" w:space="0" w:color="auto"/>
        <w:right w:val="none" w:sz="0" w:space="0" w:color="auto"/>
      </w:divBdr>
    </w:div>
    <w:div w:id="1413576679">
      <w:bodyDiv w:val="1"/>
      <w:marLeft w:val="0"/>
      <w:marRight w:val="0"/>
      <w:marTop w:val="0"/>
      <w:marBottom w:val="0"/>
      <w:divBdr>
        <w:top w:val="none" w:sz="0" w:space="0" w:color="auto"/>
        <w:left w:val="none" w:sz="0" w:space="0" w:color="auto"/>
        <w:bottom w:val="none" w:sz="0" w:space="0" w:color="auto"/>
        <w:right w:val="none" w:sz="0" w:space="0" w:color="auto"/>
      </w:divBdr>
    </w:div>
    <w:div w:id="1704473895">
      <w:bodyDiv w:val="1"/>
      <w:marLeft w:val="0"/>
      <w:marRight w:val="0"/>
      <w:marTop w:val="0"/>
      <w:marBottom w:val="0"/>
      <w:divBdr>
        <w:top w:val="none" w:sz="0" w:space="0" w:color="auto"/>
        <w:left w:val="none" w:sz="0" w:space="0" w:color="auto"/>
        <w:bottom w:val="none" w:sz="0" w:space="0" w:color="auto"/>
        <w:right w:val="none" w:sz="0" w:space="0" w:color="auto"/>
      </w:divBdr>
    </w:div>
    <w:div w:id="1795446076">
      <w:bodyDiv w:val="1"/>
      <w:marLeft w:val="0"/>
      <w:marRight w:val="0"/>
      <w:marTop w:val="0"/>
      <w:marBottom w:val="0"/>
      <w:divBdr>
        <w:top w:val="none" w:sz="0" w:space="0" w:color="auto"/>
        <w:left w:val="none" w:sz="0" w:space="0" w:color="auto"/>
        <w:bottom w:val="none" w:sz="0" w:space="0" w:color="auto"/>
        <w:right w:val="none" w:sz="0" w:space="0" w:color="auto"/>
      </w:divBdr>
    </w:div>
    <w:div w:id="2050377236">
      <w:bodyDiv w:val="1"/>
      <w:marLeft w:val="0"/>
      <w:marRight w:val="0"/>
      <w:marTop w:val="0"/>
      <w:marBottom w:val="0"/>
      <w:divBdr>
        <w:top w:val="none" w:sz="0" w:space="0" w:color="auto"/>
        <w:left w:val="none" w:sz="0" w:space="0" w:color="auto"/>
        <w:bottom w:val="none" w:sz="0" w:space="0" w:color="auto"/>
        <w:right w:val="none" w:sz="0" w:space="0" w:color="auto"/>
      </w:divBdr>
    </w:div>
    <w:div w:id="2129158161">
      <w:bodyDiv w:val="1"/>
      <w:marLeft w:val="0"/>
      <w:marRight w:val="0"/>
      <w:marTop w:val="0"/>
      <w:marBottom w:val="0"/>
      <w:divBdr>
        <w:top w:val="none" w:sz="0" w:space="0" w:color="auto"/>
        <w:left w:val="none" w:sz="0" w:space="0" w:color="auto"/>
        <w:bottom w:val="none" w:sz="0" w:space="0" w:color="auto"/>
        <w:right w:val="none" w:sz="0" w:space="0" w:color="auto"/>
      </w:divBdr>
    </w:div>
    <w:div w:id="212985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D6DE45B-27AA-403F-8A69-23813EACB380}">
  <we:reference id="wa104380917" version="1.0.1.0" store="en-US" storeType="OMEX"/>
  <we:alternateReferences>
    <we:reference id="WA104380917" version="1.0.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1C185-D521-46B6-86C4-6E224DADF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874</Words>
  <Characters>4984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Lapin, Dmitriy</dc:creator>
  <cp:keywords/>
  <dc:description/>
  <cp:lastModifiedBy>shresh2010 shresh2010</cp:lastModifiedBy>
  <cp:revision>2</cp:revision>
  <dcterms:created xsi:type="dcterms:W3CDTF">2025-07-26T23:28:00Z</dcterms:created>
  <dcterms:modified xsi:type="dcterms:W3CDTF">2025-07-26T23:28:00Z</dcterms:modified>
</cp:coreProperties>
</file>