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ACFE4" w14:textId="77777777" w:rsidR="004E124C" w:rsidRPr="007E0BEA" w:rsidRDefault="004E124C" w:rsidP="004E124C">
      <w:pPr>
        <w:snapToGrid w:val="0"/>
        <w:ind w:firstLine="181"/>
        <w:jc w:val="center"/>
        <w:rPr>
          <w:rFonts w:ascii="Times" w:hAnsi="Times" w:cs="Arial"/>
          <w:sz w:val="18"/>
          <w:szCs w:val="18"/>
        </w:rPr>
      </w:pPr>
      <w:r w:rsidRPr="007E0BEA">
        <w:rPr>
          <w:rFonts w:ascii="Times" w:hAnsi="Times" w:cs="Arial"/>
          <w:noProof/>
          <w:sz w:val="18"/>
          <w:szCs w:val="18"/>
        </w:rPr>
        <w:drawing>
          <wp:inline distT="0" distB="0" distL="0" distR="0" wp14:anchorId="3F7B9FE4" wp14:editId="04B1BFCE">
            <wp:extent cx="4381500" cy="2260600"/>
            <wp:effectExtent l="0" t="0" r="0" b="0"/>
            <wp:docPr id="23680" name="Picture 23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4E4B" w14:textId="77777777" w:rsidR="004E124C" w:rsidRPr="007E0BEA" w:rsidRDefault="004E124C" w:rsidP="004E124C">
      <w:pPr>
        <w:snapToGrid w:val="0"/>
        <w:ind w:firstLine="181"/>
        <w:rPr>
          <w:rFonts w:ascii="Times" w:hAnsi="Times" w:cs="Arial"/>
          <w:sz w:val="18"/>
          <w:szCs w:val="18"/>
        </w:rPr>
      </w:pPr>
    </w:p>
    <w:p w14:paraId="0AC685BD" w14:textId="77777777" w:rsidR="004E124C" w:rsidRPr="007E0BEA" w:rsidRDefault="004E124C" w:rsidP="004E124C">
      <w:pPr>
        <w:snapToGrid w:val="0"/>
        <w:ind w:firstLine="181"/>
        <w:rPr>
          <w:rFonts w:ascii="Times" w:hAnsi="Times" w:cs="Arial"/>
          <w:sz w:val="18"/>
          <w:szCs w:val="18"/>
        </w:rPr>
      </w:pPr>
      <w:r w:rsidRPr="007E0BEA">
        <w:rPr>
          <w:rFonts w:ascii="Times" w:hAnsi="Times" w:cs="Arial"/>
          <w:sz w:val="18"/>
          <w:szCs w:val="18"/>
        </w:rPr>
        <w:t>Graphical Abstracts</w:t>
      </w:r>
    </w:p>
    <w:p w14:paraId="7D056C1D" w14:textId="77777777" w:rsidR="004E124C" w:rsidRPr="007E0BEA" w:rsidRDefault="004E124C" w:rsidP="004E124C">
      <w:pPr>
        <w:snapToGrid w:val="0"/>
        <w:ind w:firstLine="181"/>
        <w:rPr>
          <w:rFonts w:ascii="Times" w:hAnsi="Times" w:cs="Arial"/>
          <w:sz w:val="18"/>
          <w:szCs w:val="18"/>
        </w:rPr>
      </w:pPr>
    </w:p>
    <w:p w14:paraId="5411872D" w14:textId="77777777" w:rsidR="004E124C" w:rsidRPr="007E0BEA" w:rsidRDefault="004E124C" w:rsidP="004E124C">
      <w:pPr>
        <w:snapToGrid w:val="0"/>
        <w:ind w:firstLine="181"/>
        <w:jc w:val="both"/>
        <w:rPr>
          <w:rFonts w:ascii="Times" w:hAnsi="Times" w:cs="Arial"/>
          <w:sz w:val="18"/>
          <w:szCs w:val="18"/>
          <w:highlight w:val="yellow"/>
        </w:rPr>
      </w:pPr>
      <w:r w:rsidRPr="007E0BEA">
        <w:rPr>
          <w:rFonts w:ascii="Times" w:hAnsi="Times" w:cs="Arial"/>
          <w:sz w:val="18"/>
          <w:szCs w:val="18"/>
        </w:rPr>
        <w:t xml:space="preserve">Interactions mediated by organic media, might be beneficial to join host/guest materials with extreme </w:t>
      </w:r>
      <w:r>
        <w:rPr>
          <w:rFonts w:ascii="Times" w:hAnsi="Times" w:cs="Arial"/>
          <w:sz w:val="18"/>
          <w:szCs w:val="18"/>
        </w:rPr>
        <w:t xml:space="preserve">and </w:t>
      </w:r>
      <w:r w:rsidRPr="007E0BEA">
        <w:rPr>
          <w:rFonts w:ascii="Times" w:hAnsi="Times" w:cs="Arial"/>
          <w:sz w:val="18"/>
          <w:szCs w:val="18"/>
        </w:rPr>
        <w:t xml:space="preserve">contrary polarity, a non-generally accepted claim associated with potential harassment towards more sensible </w:t>
      </w:r>
      <w:r>
        <w:rPr>
          <w:rFonts w:ascii="Times" w:hAnsi="Times" w:cs="Arial"/>
          <w:sz w:val="18"/>
          <w:szCs w:val="18"/>
        </w:rPr>
        <w:t xml:space="preserve">crystalline </w:t>
      </w:r>
      <w:r w:rsidRPr="007E0BEA">
        <w:rPr>
          <w:rFonts w:ascii="Times" w:hAnsi="Times" w:cs="Arial"/>
          <w:sz w:val="18"/>
          <w:szCs w:val="18"/>
        </w:rPr>
        <w:t>phases</w:t>
      </w:r>
      <w:r>
        <w:rPr>
          <w:rFonts w:ascii="Times" w:hAnsi="Times" w:cs="Arial"/>
          <w:sz w:val="18"/>
          <w:szCs w:val="18"/>
        </w:rPr>
        <w:t xml:space="preserve"> altering target properties</w:t>
      </w:r>
      <w:r w:rsidRPr="007E0BEA">
        <w:rPr>
          <w:rFonts w:ascii="Times" w:hAnsi="Times" w:cs="Arial"/>
          <w:sz w:val="18"/>
          <w:szCs w:val="18"/>
        </w:rPr>
        <w:t xml:space="preserve">. Job adds </w:t>
      </w:r>
      <w:r>
        <w:rPr>
          <w:rFonts w:ascii="Times" w:hAnsi="Times" w:cs="Arial"/>
          <w:sz w:val="18"/>
          <w:szCs w:val="18"/>
        </w:rPr>
        <w:t>stronger</w:t>
      </w:r>
      <w:r w:rsidRPr="007E0BEA">
        <w:rPr>
          <w:rFonts w:ascii="Times" w:hAnsi="Times" w:cs="Arial"/>
          <w:sz w:val="18"/>
          <w:szCs w:val="18"/>
        </w:rPr>
        <w:t xml:space="preserve"> chemical coordination bonds and non-covalent </w:t>
      </w:r>
      <w:r w:rsidRPr="007E0BEA">
        <w:rPr>
          <w:rFonts w:ascii="Symbol" w:hAnsi="Symbol" w:cs="Arial"/>
          <w:sz w:val="18"/>
          <w:szCs w:val="18"/>
        </w:rPr>
        <w:t></w:t>
      </w:r>
      <w:r w:rsidRPr="007E0BEA">
        <w:rPr>
          <w:rFonts w:ascii="Times" w:hAnsi="Times" w:cs="Arial"/>
          <w:sz w:val="18"/>
          <w:szCs w:val="18"/>
        </w:rPr>
        <w:t>-ion, to reported dipole-dipole interactions</w:t>
      </w:r>
      <w:r>
        <w:rPr>
          <w:rFonts w:ascii="Times" w:hAnsi="Times" w:cs="Arial"/>
          <w:sz w:val="18"/>
          <w:szCs w:val="18"/>
        </w:rPr>
        <w:t>,</w:t>
      </w:r>
      <w:r w:rsidRPr="007E0BEA">
        <w:rPr>
          <w:rFonts w:ascii="Times" w:hAnsi="Times" w:cs="Arial"/>
          <w:sz w:val="18"/>
          <w:szCs w:val="18"/>
        </w:rPr>
        <w:t xml:space="preserve"> for stablishing </w:t>
      </w:r>
      <w:r>
        <w:rPr>
          <w:rFonts w:ascii="Times" w:hAnsi="Times" w:cs="Arial"/>
          <w:sz w:val="18"/>
          <w:szCs w:val="18"/>
        </w:rPr>
        <w:t xml:space="preserve">robustized </w:t>
      </w:r>
      <w:r w:rsidRPr="007E0BEA">
        <w:rPr>
          <w:rFonts w:ascii="Times" w:hAnsi="Times" w:cs="Arial"/>
          <w:sz w:val="18"/>
          <w:szCs w:val="18"/>
        </w:rPr>
        <w:t xml:space="preserve">absorbate shelters ready to absorb non-polar </w:t>
      </w:r>
      <w:r>
        <w:rPr>
          <w:rFonts w:ascii="Times" w:hAnsi="Times" w:cs="Arial"/>
          <w:sz w:val="18"/>
          <w:szCs w:val="18"/>
        </w:rPr>
        <w:t xml:space="preserve">but superparamagnetic magnetite </w:t>
      </w:r>
      <w:r w:rsidRPr="007E0BEA">
        <w:rPr>
          <w:rFonts w:ascii="Times" w:hAnsi="Times" w:cs="Arial"/>
          <w:sz w:val="18"/>
          <w:szCs w:val="18"/>
        </w:rPr>
        <w:t xml:space="preserve">guest. </w:t>
      </w:r>
      <w:r>
        <w:rPr>
          <w:rFonts w:ascii="Times" w:hAnsi="Times" w:cs="Arial"/>
          <w:sz w:val="18"/>
          <w:szCs w:val="18"/>
        </w:rPr>
        <w:t>Significative</w:t>
      </w:r>
      <w:r w:rsidRPr="007E0BEA">
        <w:rPr>
          <w:rFonts w:ascii="Times" w:hAnsi="Times" w:cs="Arial"/>
          <w:sz w:val="18"/>
          <w:szCs w:val="18"/>
        </w:rPr>
        <w:t xml:space="preserve"> wetting interfaces </w:t>
      </w:r>
      <w:r>
        <w:rPr>
          <w:rFonts w:ascii="Times" w:hAnsi="Times" w:cs="Arial"/>
          <w:sz w:val="18"/>
          <w:szCs w:val="18"/>
        </w:rPr>
        <w:t>mimic layered structure of ultimate cubic alumina</w:t>
      </w:r>
      <w:r w:rsidRPr="007E0BEA">
        <w:rPr>
          <w:rFonts w:ascii="Times" w:hAnsi="Times" w:cs="Arial"/>
          <w:sz w:val="18"/>
          <w:szCs w:val="18"/>
        </w:rPr>
        <w:t xml:space="preserve"> </w:t>
      </w:r>
      <w:r>
        <w:rPr>
          <w:rFonts w:ascii="Times" w:hAnsi="Times" w:cs="Arial"/>
          <w:sz w:val="18"/>
          <w:szCs w:val="18"/>
        </w:rPr>
        <w:t xml:space="preserve">increasing </w:t>
      </w:r>
      <w:r w:rsidRPr="007E0BEA">
        <w:rPr>
          <w:rFonts w:ascii="Times" w:hAnsi="Times" w:cs="Arial"/>
          <w:sz w:val="18"/>
          <w:szCs w:val="18"/>
        </w:rPr>
        <w:t xml:space="preserve">slightly </w:t>
      </w:r>
      <w:r>
        <w:rPr>
          <w:rFonts w:ascii="Times" w:hAnsi="Times" w:cs="Arial"/>
          <w:sz w:val="18"/>
          <w:szCs w:val="18"/>
        </w:rPr>
        <w:t>corresponding</w:t>
      </w:r>
      <w:r w:rsidRPr="007E0BEA">
        <w:rPr>
          <w:rFonts w:ascii="Times" w:hAnsi="Times" w:cs="Arial"/>
          <w:sz w:val="18"/>
          <w:szCs w:val="18"/>
        </w:rPr>
        <w:t xml:space="preserve"> crystallinity</w:t>
      </w:r>
      <w:r>
        <w:rPr>
          <w:rFonts w:ascii="Times" w:hAnsi="Times" w:cs="Arial"/>
          <w:sz w:val="18"/>
          <w:szCs w:val="18"/>
        </w:rPr>
        <w:t>.</w:t>
      </w:r>
      <w:r w:rsidRPr="007E0BEA">
        <w:rPr>
          <w:rFonts w:ascii="Times" w:hAnsi="Times" w:cs="Arial"/>
          <w:sz w:val="18"/>
          <w:szCs w:val="18"/>
        </w:rPr>
        <w:t xml:space="preserve"> </w:t>
      </w:r>
    </w:p>
    <w:p w14:paraId="0297024A" w14:textId="77777777" w:rsidR="004E124C" w:rsidRDefault="004E124C"/>
    <w:sectPr w:rsidR="004E1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4C"/>
    <w:rsid w:val="004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67AA"/>
  <w15:chartTrackingRefBased/>
  <w15:docId w15:val="{237D8DB5-0B4A-48CE-8C90-A50AABF4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24C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2021-07-15T17:00:00Z</dcterms:created>
  <dcterms:modified xsi:type="dcterms:W3CDTF">2021-07-15T17:00:00Z</dcterms:modified>
</cp:coreProperties>
</file>