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2420"/>
        <w:gridCol w:w="3684"/>
        <w:gridCol w:w="3256"/>
      </w:tblGrid>
      <w:tr w:rsidR="003B1D7B" w:rsidRPr="00630AA3" w14:paraId="120CBD0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9360" w:type="dxa"/>
            <w:gridSpan w:val="3"/>
          </w:tcPr>
          <w:p w14:paraId="70268D6F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Supplementary Table 1.</w:t>
            </w: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 xml:space="preserve"> Data Sources and Variables</w:t>
            </w:r>
          </w:p>
        </w:tc>
      </w:tr>
      <w:tr w:rsidR="003B1D7B" w:rsidRPr="00630AA3" w14:paraId="5BD071BB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2420" w:type="dxa"/>
          </w:tcPr>
          <w:p w14:paraId="0DBCB05B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Data Source</w:t>
            </w:r>
          </w:p>
        </w:tc>
        <w:tc>
          <w:tcPr>
            <w:tcW w:w="3684" w:type="dxa"/>
          </w:tcPr>
          <w:p w14:paraId="1AC63B5F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Variable</w:t>
            </w:r>
          </w:p>
        </w:tc>
        <w:tc>
          <w:tcPr>
            <w:tcW w:w="3256" w:type="dxa"/>
          </w:tcPr>
          <w:p w14:paraId="41E07AB6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URL</w:t>
            </w:r>
          </w:p>
        </w:tc>
      </w:tr>
      <w:tr w:rsidR="003B1D7B" w:rsidRPr="00630AA3" w14:paraId="1098649D" w14:textId="77777777">
        <w:tc>
          <w:tcPr>
            <w:tcW w:w="2420" w:type="dxa"/>
          </w:tcPr>
          <w:p w14:paraId="66A7F610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USGS Earth Explorer</w:t>
            </w:r>
          </w:p>
        </w:tc>
        <w:tc>
          <w:tcPr>
            <w:tcW w:w="3684" w:type="dxa"/>
          </w:tcPr>
          <w:p w14:paraId="5497A990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NDVI (Landsat 9 surface reflectance bands)</w:t>
            </w:r>
          </w:p>
        </w:tc>
        <w:tc>
          <w:tcPr>
            <w:tcW w:w="3256" w:type="dxa"/>
          </w:tcPr>
          <w:p w14:paraId="5950ECC7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hyperlink r:id="rId4">
              <w:r w:rsidRPr="00630AA3">
                <w:rPr>
                  <w:rStyle w:val="Hyperlink"/>
                  <w:rFonts w:ascii="Times New Roman" w:eastAsia="Times New Roman" w:hAnsi="Times New Roman" w:cs="Times New Roman"/>
                  <w:sz w:val="22"/>
                  <w:szCs w:val="22"/>
                </w:rPr>
                <w:t>https://earthexplorer.usgs.gov/</w:t>
              </w:r>
            </w:hyperlink>
          </w:p>
        </w:tc>
      </w:tr>
      <w:tr w:rsidR="003B1D7B" w:rsidRPr="00630AA3" w14:paraId="0C5F7631" w14:textId="77777777">
        <w:tc>
          <w:tcPr>
            <w:tcW w:w="2420" w:type="dxa"/>
          </w:tcPr>
          <w:p w14:paraId="4158981A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Copernicus GHS-POP</w:t>
            </w:r>
          </w:p>
        </w:tc>
        <w:tc>
          <w:tcPr>
            <w:tcW w:w="3684" w:type="dxa"/>
          </w:tcPr>
          <w:p w14:paraId="7ECFF8B4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Population density (</w:t>
            </w:r>
            <w:proofErr w:type="spellStart"/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inh</w:t>
            </w:r>
            <w:proofErr w:type="spellEnd"/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/km²)</w:t>
            </w:r>
          </w:p>
        </w:tc>
        <w:tc>
          <w:tcPr>
            <w:tcW w:w="3256" w:type="dxa"/>
          </w:tcPr>
          <w:p w14:paraId="0B851ABD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hyperlink r:id="rId5">
              <w:r w:rsidRPr="00630AA3">
                <w:rPr>
                  <w:rStyle w:val="Hyperlink"/>
                  <w:rFonts w:ascii="Times New Roman" w:eastAsia="Times New Roman" w:hAnsi="Times New Roman" w:cs="Times New Roman"/>
                  <w:sz w:val="22"/>
                  <w:szCs w:val="22"/>
                </w:rPr>
                <w:t>https://human-settlement.emergency.copernicus.eu/download.php?ds=pop</w:t>
              </w:r>
            </w:hyperlink>
          </w:p>
        </w:tc>
      </w:tr>
      <w:tr w:rsidR="003B1D7B" w:rsidRPr="00630AA3" w14:paraId="552598AD" w14:textId="77777777">
        <w:tc>
          <w:tcPr>
            <w:tcW w:w="2420" w:type="dxa"/>
          </w:tcPr>
          <w:p w14:paraId="4545EBC0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Copernicus GHS-BUILT-S</w:t>
            </w:r>
          </w:p>
        </w:tc>
        <w:tc>
          <w:tcPr>
            <w:tcW w:w="3684" w:type="dxa"/>
          </w:tcPr>
          <w:p w14:paraId="2671F633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Built-up area (m² built per km² cell)</w:t>
            </w:r>
          </w:p>
        </w:tc>
        <w:tc>
          <w:tcPr>
            <w:tcW w:w="3256" w:type="dxa"/>
          </w:tcPr>
          <w:p w14:paraId="7CFEC702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hyperlink r:id="rId6">
              <w:r w:rsidRPr="00630AA3">
                <w:rPr>
                  <w:rStyle w:val="Hyperlink"/>
                  <w:rFonts w:ascii="Times New Roman" w:eastAsia="Times New Roman" w:hAnsi="Times New Roman" w:cs="Times New Roman"/>
                  <w:sz w:val="22"/>
                  <w:szCs w:val="22"/>
                </w:rPr>
                <w:t>https://human-settlement.emergency.copernicus.eu/download.php?ds=built-s</w:t>
              </w:r>
            </w:hyperlink>
          </w:p>
        </w:tc>
      </w:tr>
      <w:tr w:rsidR="003B1D7B" w:rsidRPr="00630AA3" w14:paraId="4E7AD3E5" w14:textId="77777777">
        <w:tc>
          <w:tcPr>
            <w:tcW w:w="2420" w:type="dxa"/>
          </w:tcPr>
          <w:p w14:paraId="1E5F15EB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Earth Observation Group (Payne Institute)</w:t>
            </w:r>
          </w:p>
        </w:tc>
        <w:tc>
          <w:tcPr>
            <w:tcW w:w="3684" w:type="dxa"/>
          </w:tcPr>
          <w:p w14:paraId="40D88F85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 xml:space="preserve">Nighttime lights radiance (VIIRS DNB, </w:t>
            </w:r>
            <w:proofErr w:type="spellStart"/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nW</w:t>
            </w:r>
            <w:proofErr w:type="spellEnd"/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/cm²/</w:t>
            </w:r>
            <w:proofErr w:type="spellStart"/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sr</w:t>
            </w:r>
            <w:proofErr w:type="spellEnd"/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3256" w:type="dxa"/>
          </w:tcPr>
          <w:p w14:paraId="4F06AF2B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hyperlink r:id="rId7">
              <w:r w:rsidRPr="00630AA3">
                <w:rPr>
                  <w:rStyle w:val="Hyperlink"/>
                  <w:rFonts w:ascii="Times New Roman" w:eastAsia="Times New Roman" w:hAnsi="Times New Roman" w:cs="Times New Roman"/>
                  <w:sz w:val="22"/>
                  <w:szCs w:val="22"/>
                </w:rPr>
                <w:t>https://eogdata.mines.edu/products/vnl/</w:t>
              </w:r>
            </w:hyperlink>
          </w:p>
        </w:tc>
      </w:tr>
      <w:tr w:rsidR="003B1D7B" w:rsidRPr="00630AA3" w14:paraId="154EC802" w14:textId="77777777">
        <w:tc>
          <w:tcPr>
            <w:tcW w:w="2420" w:type="dxa"/>
          </w:tcPr>
          <w:p w14:paraId="591FD8C6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University of Wisconsin Neighborhood Atlas</w:t>
            </w:r>
          </w:p>
        </w:tc>
        <w:tc>
          <w:tcPr>
            <w:tcW w:w="3684" w:type="dxa"/>
          </w:tcPr>
          <w:p w14:paraId="35CC02F1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Area Deprivation Index (ADI)</w:t>
            </w:r>
          </w:p>
        </w:tc>
        <w:tc>
          <w:tcPr>
            <w:tcW w:w="3256" w:type="dxa"/>
          </w:tcPr>
          <w:p w14:paraId="6E999750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hyperlink r:id="rId8">
              <w:r w:rsidRPr="00630AA3">
                <w:rPr>
                  <w:rStyle w:val="Hyperlink"/>
                  <w:rFonts w:ascii="Times New Roman" w:eastAsia="Times New Roman" w:hAnsi="Times New Roman" w:cs="Times New Roman"/>
                  <w:sz w:val="22"/>
                  <w:szCs w:val="22"/>
                </w:rPr>
                <w:t>https://www.neighborhoodatlas.medicine.wisc.edu/</w:t>
              </w:r>
            </w:hyperlink>
          </w:p>
        </w:tc>
      </w:tr>
      <w:tr w:rsidR="003B1D7B" w:rsidRPr="00630AA3" w14:paraId="31784BA0" w14:textId="77777777">
        <w:tc>
          <w:tcPr>
            <w:tcW w:w="2420" w:type="dxa"/>
          </w:tcPr>
          <w:p w14:paraId="0A5BB698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 xml:space="preserve">U.S. Census Bureau (via </w:t>
            </w:r>
            <w:proofErr w:type="spellStart"/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tidycensus</w:t>
            </w:r>
            <w:proofErr w:type="spellEnd"/>
            <w:r w:rsidRPr="00630AA3">
              <w:rPr>
                <w:rFonts w:ascii="Times New Roman" w:hAnsi="Times New Roman" w:cs="Times New Roman"/>
                <w:sz w:val="22"/>
                <w:szCs w:val="22"/>
              </w:rPr>
              <w:t xml:space="preserve"> / API)</w:t>
            </w:r>
          </w:p>
        </w:tc>
        <w:tc>
          <w:tcPr>
            <w:tcW w:w="3684" w:type="dxa"/>
          </w:tcPr>
          <w:p w14:paraId="7B788BBB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Block-group total population (Decennial &amp; ACS5)</w:t>
            </w:r>
          </w:p>
        </w:tc>
        <w:tc>
          <w:tcPr>
            <w:tcW w:w="3256" w:type="dxa"/>
          </w:tcPr>
          <w:p w14:paraId="5A956CB5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hyperlink r:id="rId9">
              <w:r w:rsidRPr="00630AA3">
                <w:rPr>
                  <w:rStyle w:val="Hyperlink"/>
                  <w:rFonts w:ascii="Times New Roman" w:eastAsia="Times New Roman" w:hAnsi="Times New Roman" w:cs="Times New Roman"/>
                  <w:sz w:val="22"/>
                  <w:szCs w:val="22"/>
                </w:rPr>
                <w:t>https://api.census.gov/data.html</w:t>
              </w:r>
            </w:hyperlink>
          </w:p>
        </w:tc>
      </w:tr>
      <w:tr w:rsidR="003B1D7B" w:rsidRPr="00630AA3" w14:paraId="3CC26E26" w14:textId="77777777">
        <w:tc>
          <w:tcPr>
            <w:tcW w:w="2420" w:type="dxa"/>
            <w:tcBorders>
              <w:bottom w:val="single" w:sz="4" w:space="0" w:color="auto"/>
            </w:tcBorders>
          </w:tcPr>
          <w:p w14:paraId="6EF9F3DE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Chicago Data Portal (Socrata)</w:t>
            </w:r>
          </w:p>
        </w:tc>
        <w:tc>
          <w:tcPr>
            <w:tcW w:w="3684" w:type="dxa"/>
            <w:tcBorders>
              <w:bottom w:val="single" w:sz="4" w:space="0" w:color="auto"/>
            </w:tcBorders>
          </w:tcPr>
          <w:p w14:paraId="060D7514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Non-fatal firearm incidents (People Shot, Chicago)</w:t>
            </w:r>
          </w:p>
        </w:tc>
        <w:tc>
          <w:tcPr>
            <w:tcW w:w="3256" w:type="dxa"/>
            <w:tcBorders>
              <w:bottom w:val="single" w:sz="4" w:space="0" w:color="auto"/>
            </w:tcBorders>
          </w:tcPr>
          <w:p w14:paraId="4D512342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hyperlink r:id="rId10">
              <w:r w:rsidRPr="00630AA3">
                <w:rPr>
                  <w:rStyle w:val="Hyperlink"/>
                  <w:rFonts w:ascii="Times New Roman" w:eastAsia="Times New Roman" w:hAnsi="Times New Roman" w:cs="Times New Roman"/>
                  <w:sz w:val="22"/>
                  <w:szCs w:val="22"/>
                </w:rPr>
                <w:t>https://data.cityofchicago.org/Public-Safety/People-Shot-Chicago/ijzp-q8t2</w:t>
              </w:r>
            </w:hyperlink>
          </w:p>
        </w:tc>
      </w:tr>
    </w:tbl>
    <w:p w14:paraId="3EA910D8" w14:textId="5C034B1E" w:rsidR="003B1D7B" w:rsidRPr="00241905" w:rsidRDefault="003B1D7B">
      <w:pPr>
        <w:rPr>
          <w:rFonts w:ascii="Times New Roman" w:hAnsi="Times New Roman" w:cs="Times New Roman"/>
          <w:sz w:val="22"/>
          <w:szCs w:val="22"/>
        </w:rPr>
      </w:pPr>
    </w:p>
    <w:p w14:paraId="0565AC1F" w14:textId="77777777" w:rsidR="003B1D7B" w:rsidRPr="00241905" w:rsidRDefault="003B1D7B">
      <w:pPr>
        <w:spacing w:after="160" w:line="278" w:lineRule="auto"/>
        <w:rPr>
          <w:rFonts w:ascii="Times New Roman" w:hAnsi="Times New Roman" w:cs="Times New Roman"/>
          <w:sz w:val="22"/>
          <w:szCs w:val="22"/>
        </w:rPr>
      </w:pPr>
      <w:r w:rsidRPr="00241905">
        <w:rPr>
          <w:rFonts w:ascii="Times New Roman" w:hAnsi="Times New Roman" w:cs="Times New Roman"/>
          <w:sz w:val="22"/>
          <w:szCs w:val="22"/>
        </w:rPr>
        <w:br w:type="page"/>
      </w:r>
    </w:p>
    <w:tbl>
      <w:tblPr>
        <w:tblStyle w:val="Table"/>
        <w:tblW w:w="5000" w:type="pct"/>
        <w:tblLayout w:type="fixed"/>
        <w:tblLook w:val="0020" w:firstRow="1" w:lastRow="0" w:firstColumn="0" w:lastColumn="0" w:noHBand="0" w:noVBand="0"/>
      </w:tblPr>
      <w:tblGrid>
        <w:gridCol w:w="2420"/>
        <w:gridCol w:w="3684"/>
        <w:gridCol w:w="3256"/>
      </w:tblGrid>
      <w:tr w:rsidR="003B1D7B" w:rsidRPr="00630AA3" w14:paraId="2572BB8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9360" w:type="dxa"/>
            <w:gridSpan w:val="3"/>
            <w:tcBorders>
              <w:bottom w:val="none" w:sz="0" w:space="0" w:color="auto"/>
            </w:tcBorders>
          </w:tcPr>
          <w:p w14:paraId="2888DC28" w14:textId="6C854690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lastRenderedPageBreak/>
              <w:t>Supplementary Table 2.</w:t>
            </w: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 xml:space="preserve"> Data Measures &amp; Definitions</w:t>
            </w:r>
          </w:p>
        </w:tc>
      </w:tr>
      <w:tr w:rsidR="003B1D7B" w:rsidRPr="00630AA3" w14:paraId="754593B7" w14:textId="77777777">
        <w:tc>
          <w:tcPr>
            <w:tcW w:w="2420" w:type="dxa"/>
            <w:tcBorders>
              <w:bottom w:val="single" w:sz="4" w:space="0" w:color="auto"/>
            </w:tcBorders>
          </w:tcPr>
          <w:p w14:paraId="3D911172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Measure</w:t>
            </w:r>
          </w:p>
        </w:tc>
        <w:tc>
          <w:tcPr>
            <w:tcW w:w="3684" w:type="dxa"/>
            <w:tcBorders>
              <w:bottom w:val="single" w:sz="4" w:space="0" w:color="auto"/>
            </w:tcBorders>
          </w:tcPr>
          <w:p w14:paraId="01570F5F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Definition / Description</w:t>
            </w:r>
          </w:p>
        </w:tc>
        <w:tc>
          <w:tcPr>
            <w:tcW w:w="3256" w:type="dxa"/>
            <w:tcBorders>
              <w:bottom w:val="single" w:sz="4" w:space="0" w:color="auto"/>
            </w:tcBorders>
          </w:tcPr>
          <w:p w14:paraId="03F55188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Conceptual Distinction</w:t>
            </w:r>
          </w:p>
        </w:tc>
      </w:tr>
      <w:tr w:rsidR="003B1D7B" w:rsidRPr="00630AA3" w14:paraId="50A0D33B" w14:textId="77777777">
        <w:tc>
          <w:tcPr>
            <w:tcW w:w="2420" w:type="dxa"/>
            <w:tcBorders>
              <w:top w:val="single" w:sz="4" w:space="0" w:color="auto"/>
            </w:tcBorders>
          </w:tcPr>
          <w:p w14:paraId="0940B97F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Year</w:t>
            </w:r>
          </w:p>
        </w:tc>
        <w:tc>
          <w:tcPr>
            <w:tcW w:w="3684" w:type="dxa"/>
            <w:tcBorders>
              <w:top w:val="single" w:sz="4" w:space="0" w:color="auto"/>
            </w:tcBorders>
          </w:tcPr>
          <w:p w14:paraId="1318E17B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Calendar year of observation, modeled as a continuous variable.</w:t>
            </w:r>
          </w:p>
        </w:tc>
        <w:tc>
          <w:tcPr>
            <w:tcW w:w="3256" w:type="dxa"/>
            <w:tcBorders>
              <w:top w:val="single" w:sz="4" w:space="0" w:color="auto"/>
            </w:tcBorders>
          </w:tcPr>
          <w:p w14:paraId="3C8EE2D5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Captures time trend in overdose risk; distinct from place-based structural or environmental characteristics.</w:t>
            </w:r>
          </w:p>
        </w:tc>
      </w:tr>
      <w:tr w:rsidR="003B1D7B" w:rsidRPr="00630AA3" w14:paraId="4BF37860" w14:textId="77777777">
        <w:tc>
          <w:tcPr>
            <w:tcW w:w="2420" w:type="dxa"/>
          </w:tcPr>
          <w:p w14:paraId="44D44DB5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ADI Quintile</w:t>
            </w:r>
          </w:p>
        </w:tc>
        <w:tc>
          <w:tcPr>
            <w:tcW w:w="3684" w:type="dxa"/>
          </w:tcPr>
          <w:p w14:paraId="1FB5F957" w14:textId="4FF0F1E1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 xml:space="preserve">Area Deprivation Index grouped into quintiles. Higher quintiles indicate greater socioeconomic </w:t>
            </w:r>
            <w:proofErr w:type="gramStart"/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disadvantage</w:t>
            </w:r>
            <w:proofErr w:type="gramEnd"/>
            <w:r w:rsidRPr="00630AA3">
              <w:rPr>
                <w:rFonts w:ascii="Times New Roman" w:hAnsi="Times New Roman" w:cs="Times New Roman"/>
                <w:sz w:val="22"/>
                <w:szCs w:val="22"/>
              </w:rPr>
              <w:t xml:space="preserve"> based on factors like poverty, unemployment, and education.</w:t>
            </w:r>
          </w:p>
        </w:tc>
        <w:tc>
          <w:tcPr>
            <w:tcW w:w="3256" w:type="dxa"/>
          </w:tcPr>
          <w:p w14:paraId="232B3741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Reflects structural social disadvantage, distinct from environmental or urban form measures.</w:t>
            </w:r>
          </w:p>
        </w:tc>
      </w:tr>
      <w:tr w:rsidR="003B1D7B" w:rsidRPr="00630AA3" w14:paraId="07F6C6FF" w14:textId="77777777">
        <w:tc>
          <w:tcPr>
            <w:tcW w:w="2420" w:type="dxa"/>
          </w:tcPr>
          <w:p w14:paraId="565DEAD1" w14:textId="572F1100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NDVI (Vegetation)</w:t>
            </w:r>
          </w:p>
        </w:tc>
        <w:tc>
          <w:tcPr>
            <w:tcW w:w="3684" w:type="dxa"/>
          </w:tcPr>
          <w:p w14:paraId="6C063C00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 xml:space="preserve">Standardized </w:t>
            </w:r>
            <w:proofErr w:type="gramStart"/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mean</w:t>
            </w:r>
            <w:proofErr w:type="gramEnd"/>
            <w:r w:rsidRPr="00630AA3">
              <w:rPr>
                <w:rFonts w:ascii="Times New Roman" w:hAnsi="Times New Roman" w:cs="Times New Roman"/>
                <w:sz w:val="22"/>
                <w:szCs w:val="22"/>
              </w:rPr>
              <w:t xml:space="preserve"> Normalized Difference Vegetation Index. Higher values indicate more vegetation or green space.</w:t>
            </w:r>
          </w:p>
        </w:tc>
        <w:tc>
          <w:tcPr>
            <w:tcW w:w="3256" w:type="dxa"/>
          </w:tcPr>
          <w:p w14:paraId="4638B14E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Captures natural environment quality, independent of built structures or social disadvantage.</w:t>
            </w:r>
          </w:p>
        </w:tc>
      </w:tr>
      <w:tr w:rsidR="00530F31" w:rsidRPr="00630AA3" w14:paraId="0FBB7A4D" w14:textId="77777777">
        <w:tc>
          <w:tcPr>
            <w:tcW w:w="2420" w:type="dxa"/>
          </w:tcPr>
          <w:p w14:paraId="72C8FD99" w14:textId="01415697" w:rsidR="00530F31" w:rsidRPr="00630AA3" w:rsidRDefault="00530F31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Park Accessibility</w:t>
            </w:r>
          </w:p>
        </w:tc>
        <w:tc>
          <w:tcPr>
            <w:tcW w:w="3684" w:type="dxa"/>
          </w:tcPr>
          <w:p w14:paraId="23B5BD9C" w14:textId="7F1583A4" w:rsidR="00530F31" w:rsidRPr="00630AA3" w:rsidRDefault="00530F31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 xml:space="preserve">Park acreage </w:t>
            </w:r>
            <w:proofErr w:type="gramStart"/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reachable</w:t>
            </w:r>
            <w:proofErr w:type="gramEnd"/>
            <w:r w:rsidRPr="00630AA3">
              <w:rPr>
                <w:rFonts w:ascii="Times New Roman" w:hAnsi="Times New Roman" w:cs="Times New Roman"/>
                <w:sz w:val="22"/>
                <w:szCs w:val="22"/>
              </w:rPr>
              <w:t xml:space="preserve"> with 15-minute drive time; higher levels = more access to parks</w:t>
            </w:r>
          </w:p>
        </w:tc>
        <w:tc>
          <w:tcPr>
            <w:tcW w:w="3256" w:type="dxa"/>
          </w:tcPr>
          <w:p w14:paraId="0E37DA39" w14:textId="5D893643" w:rsidR="00530F31" w:rsidRPr="00630AA3" w:rsidRDefault="00530F31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Captures greater accessibility to public parks</w:t>
            </w:r>
          </w:p>
        </w:tc>
      </w:tr>
      <w:tr w:rsidR="003B1D7B" w:rsidRPr="00630AA3" w14:paraId="0DD75DBD" w14:textId="77777777">
        <w:tc>
          <w:tcPr>
            <w:tcW w:w="2420" w:type="dxa"/>
          </w:tcPr>
          <w:p w14:paraId="213CC6F5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Urban Category</w:t>
            </w:r>
          </w:p>
        </w:tc>
        <w:tc>
          <w:tcPr>
            <w:tcW w:w="3684" w:type="dxa"/>
          </w:tcPr>
          <w:p w14:paraId="33A95FD3" w14:textId="32A116C3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 xml:space="preserve">Recorded measure of the urban-rural continuum to include 1) Rural: Very Low Density and </w:t>
            </w:r>
            <w:proofErr w:type="gramStart"/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Low Density</w:t>
            </w:r>
            <w:proofErr w:type="gramEnd"/>
            <w:r w:rsidRPr="00630AA3">
              <w:rPr>
                <w:rFonts w:ascii="Times New Roman" w:hAnsi="Times New Roman" w:cs="Times New Roman"/>
                <w:sz w:val="22"/>
                <w:szCs w:val="22"/>
              </w:rPr>
              <w:t xml:space="preserve"> Rural areas; sparse settlement, minimal development. – 2) Transitional: Semi-Dense Urban Cluster, 3) Suburban: suburban or Peri-Urban areas; moderate development, mixed character. and 4) Urban: Dense Urban Cluster and Urban Centre areas; highly developed, concentrated urban core. - </w:t>
            </w:r>
          </w:p>
        </w:tc>
        <w:tc>
          <w:tcPr>
            <w:tcW w:w="3256" w:type="dxa"/>
          </w:tcPr>
          <w:p w14:paraId="03CDEBAF" w14:textId="4FDE1B00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Differentiates settlement form and density.</w:t>
            </w:r>
          </w:p>
        </w:tc>
      </w:tr>
      <w:tr w:rsidR="003B1D7B" w:rsidRPr="00630AA3" w14:paraId="69192B64" w14:textId="77777777">
        <w:tc>
          <w:tcPr>
            <w:tcW w:w="2420" w:type="dxa"/>
          </w:tcPr>
          <w:p w14:paraId="1A33C1E0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Built Environment</w:t>
            </w:r>
          </w:p>
        </w:tc>
        <w:tc>
          <w:tcPr>
            <w:tcW w:w="3684" w:type="dxa"/>
          </w:tcPr>
          <w:p w14:paraId="4EA17A47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Standardized index reflecting built infrastructure intensity (e.g., building density, road network).</w:t>
            </w:r>
          </w:p>
        </w:tc>
        <w:tc>
          <w:tcPr>
            <w:tcW w:w="3256" w:type="dxa"/>
          </w:tcPr>
          <w:p w14:paraId="23DCCFB5" w14:textId="23A6B775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Reflects physical development intensity</w:t>
            </w:r>
          </w:p>
        </w:tc>
      </w:tr>
      <w:tr w:rsidR="003B1D7B" w:rsidRPr="00630AA3" w14:paraId="43C568E3" w14:textId="77777777">
        <w:tc>
          <w:tcPr>
            <w:tcW w:w="2420" w:type="dxa"/>
          </w:tcPr>
          <w:p w14:paraId="05A296F7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Light Environment</w:t>
            </w:r>
          </w:p>
        </w:tc>
        <w:tc>
          <w:tcPr>
            <w:tcW w:w="3684" w:type="dxa"/>
          </w:tcPr>
          <w:p w14:paraId="498629F7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Standardized measure of nighttime light intensity from satellite imagery. Higher values reflect greater artificial light and human activity.</w:t>
            </w:r>
          </w:p>
        </w:tc>
        <w:tc>
          <w:tcPr>
            <w:tcW w:w="3256" w:type="dxa"/>
          </w:tcPr>
          <w:p w14:paraId="3B04D753" w14:textId="0F801AE2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 xml:space="preserve">Proxy for human activity and development, </w:t>
            </w:r>
            <w:proofErr w:type="gramStart"/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complements built</w:t>
            </w:r>
            <w:proofErr w:type="gramEnd"/>
            <w:r w:rsidRPr="00630AA3">
              <w:rPr>
                <w:rFonts w:ascii="Times New Roman" w:hAnsi="Times New Roman" w:cs="Times New Roman"/>
                <w:sz w:val="22"/>
                <w:szCs w:val="22"/>
              </w:rPr>
              <w:t xml:space="preserve"> environment measures but captures different aspects of urban intensity.</w:t>
            </w:r>
          </w:p>
        </w:tc>
      </w:tr>
      <w:tr w:rsidR="003B1D7B" w:rsidRPr="00630AA3" w14:paraId="2789B341" w14:textId="77777777">
        <w:tc>
          <w:tcPr>
            <w:tcW w:w="2420" w:type="dxa"/>
            <w:tcBorders>
              <w:bottom w:val="single" w:sz="4" w:space="0" w:color="auto"/>
            </w:tcBorders>
          </w:tcPr>
          <w:p w14:paraId="0755AF39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Offset (Population)</w:t>
            </w:r>
          </w:p>
        </w:tc>
        <w:tc>
          <w:tcPr>
            <w:tcW w:w="3684" w:type="dxa"/>
            <w:tcBorders>
              <w:bottom w:val="single" w:sz="4" w:space="0" w:color="auto"/>
            </w:tcBorders>
          </w:tcPr>
          <w:p w14:paraId="7D2FE09D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Log of total population, included to model rates rather than raw counts.</w:t>
            </w:r>
          </w:p>
        </w:tc>
        <w:tc>
          <w:tcPr>
            <w:tcW w:w="3256" w:type="dxa"/>
            <w:tcBorders>
              <w:bottom w:val="single" w:sz="4" w:space="0" w:color="auto"/>
            </w:tcBorders>
          </w:tcPr>
          <w:p w14:paraId="30C8EF1B" w14:textId="77777777" w:rsidR="003B1D7B" w:rsidRPr="00630AA3" w:rsidRDefault="003B1D7B" w:rsidP="00630AA3">
            <w:pPr>
              <w:pStyle w:val="NoSpacing"/>
              <w:rPr>
                <w:rFonts w:ascii="Times New Roman" w:hAnsi="Times New Roman" w:cs="Times New Roman"/>
                <w:sz w:val="22"/>
                <w:szCs w:val="22"/>
              </w:rPr>
            </w:pPr>
            <w:r w:rsidRPr="00630AA3">
              <w:rPr>
                <w:rFonts w:ascii="Times New Roman" w:hAnsi="Times New Roman" w:cs="Times New Roman"/>
                <w:sz w:val="22"/>
                <w:szCs w:val="22"/>
              </w:rPr>
              <w:t>Adjusts for underlying population size; necessary to interpret model results as rates.</w:t>
            </w:r>
          </w:p>
        </w:tc>
      </w:tr>
    </w:tbl>
    <w:p w14:paraId="5577479E" w14:textId="697FA73D" w:rsidR="00241905" w:rsidRPr="00241905" w:rsidRDefault="00241905">
      <w:pPr>
        <w:rPr>
          <w:rFonts w:ascii="Times New Roman" w:hAnsi="Times New Roman" w:cs="Times New Roman"/>
          <w:sz w:val="22"/>
          <w:szCs w:val="22"/>
        </w:rPr>
      </w:pPr>
    </w:p>
    <w:p w14:paraId="613FC09A" w14:textId="77777777" w:rsidR="00241905" w:rsidRPr="00241905" w:rsidRDefault="00241905">
      <w:pPr>
        <w:spacing w:after="160" w:line="278" w:lineRule="auto"/>
        <w:rPr>
          <w:rFonts w:ascii="Times New Roman" w:hAnsi="Times New Roman" w:cs="Times New Roman"/>
          <w:sz w:val="22"/>
          <w:szCs w:val="22"/>
        </w:rPr>
      </w:pPr>
      <w:r w:rsidRPr="00241905">
        <w:rPr>
          <w:rFonts w:ascii="Times New Roman" w:hAnsi="Times New Roman" w:cs="Times New Roman"/>
          <w:sz w:val="22"/>
          <w:szCs w:val="22"/>
        </w:rPr>
        <w:br w:type="page"/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3504"/>
        <w:gridCol w:w="3679"/>
        <w:gridCol w:w="1218"/>
        <w:gridCol w:w="959"/>
      </w:tblGrid>
      <w:tr w:rsidR="00241905" w:rsidRPr="00241905" w14:paraId="7839896E" w14:textId="77777777" w:rsidTr="00241905">
        <w:trPr>
          <w:trHeight w:val="300"/>
        </w:trPr>
        <w:tc>
          <w:tcPr>
            <w:tcW w:w="9360" w:type="dxa"/>
            <w:gridSpan w:val="4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5CCADEF" w14:textId="0B618C96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Supplementary Table 3</w:t>
            </w: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. Correlations between socio-built environmental features</w:t>
            </w:r>
          </w:p>
        </w:tc>
      </w:tr>
      <w:tr w:rsidR="00241905" w:rsidRPr="00241905" w14:paraId="58E62163" w14:textId="77777777" w:rsidTr="00241905">
        <w:trPr>
          <w:trHeight w:val="300"/>
        </w:trPr>
        <w:tc>
          <w:tcPr>
            <w:tcW w:w="3505" w:type="dxa"/>
            <w:shd w:val="clear" w:color="auto" w:fill="auto"/>
            <w:noWrap/>
            <w:vAlign w:val="bottom"/>
            <w:hideMark/>
          </w:tcPr>
          <w:p w14:paraId="525A3879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Variable 1</w:t>
            </w:r>
          </w:p>
        </w:tc>
        <w:tc>
          <w:tcPr>
            <w:tcW w:w="3680" w:type="dxa"/>
            <w:shd w:val="clear" w:color="auto" w:fill="auto"/>
            <w:noWrap/>
            <w:vAlign w:val="bottom"/>
            <w:hideMark/>
          </w:tcPr>
          <w:p w14:paraId="6A354901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Variable 2</w:t>
            </w:r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E9D68" w14:textId="77777777" w:rsidR="00241905" w:rsidRPr="00241905" w:rsidRDefault="0024190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Pearson’s Correlation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963CB" w14:textId="77777777" w:rsidR="00241905" w:rsidRPr="00241905" w:rsidRDefault="0024190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2"/>
                <w:szCs w:val="22"/>
              </w:rPr>
              <w:t>p</w:t>
            </w: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-value</w:t>
            </w:r>
          </w:p>
        </w:tc>
      </w:tr>
      <w:tr w:rsidR="00241905" w:rsidRPr="00241905" w14:paraId="59F354D5" w14:textId="77777777" w:rsidTr="00241905">
        <w:trPr>
          <w:trHeight w:val="300"/>
        </w:trPr>
        <w:tc>
          <w:tcPr>
            <w:tcW w:w="3505" w:type="dxa"/>
            <w:shd w:val="clear" w:color="auto" w:fill="auto"/>
            <w:noWrap/>
            <w:vAlign w:val="bottom"/>
            <w:hideMark/>
          </w:tcPr>
          <w:p w14:paraId="0F9BA71D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Area Deprivation Index</w:t>
            </w:r>
          </w:p>
        </w:tc>
        <w:tc>
          <w:tcPr>
            <w:tcW w:w="3680" w:type="dxa"/>
            <w:shd w:val="clear" w:color="auto" w:fill="auto"/>
            <w:noWrap/>
            <w:vAlign w:val="bottom"/>
            <w:hideMark/>
          </w:tcPr>
          <w:p w14:paraId="6166B656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Built-up Area Intensity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DE0ED" w14:textId="77777777" w:rsidR="00241905" w:rsidRPr="00241905" w:rsidRDefault="0024190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0.162</w:t>
            </w:r>
          </w:p>
        </w:tc>
        <w:tc>
          <w:tcPr>
            <w:tcW w:w="95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ABC36" w14:textId="77777777" w:rsidR="00241905" w:rsidRPr="00241905" w:rsidRDefault="0024190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&lt; 0.001</w:t>
            </w:r>
          </w:p>
        </w:tc>
      </w:tr>
      <w:tr w:rsidR="00241905" w:rsidRPr="00241905" w14:paraId="7BD55121" w14:textId="77777777" w:rsidTr="00241905">
        <w:trPr>
          <w:trHeight w:val="300"/>
        </w:trPr>
        <w:tc>
          <w:tcPr>
            <w:tcW w:w="3505" w:type="dxa"/>
            <w:shd w:val="clear" w:color="auto" w:fill="auto"/>
            <w:noWrap/>
            <w:vAlign w:val="bottom"/>
            <w:hideMark/>
          </w:tcPr>
          <w:p w14:paraId="670A5AD3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Area Deprivation Index</w:t>
            </w:r>
          </w:p>
        </w:tc>
        <w:tc>
          <w:tcPr>
            <w:tcW w:w="3680" w:type="dxa"/>
            <w:shd w:val="clear" w:color="auto" w:fill="auto"/>
            <w:noWrap/>
            <w:vAlign w:val="bottom"/>
            <w:hideMark/>
          </w:tcPr>
          <w:p w14:paraId="134B3CA1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Nighttime Light Intensity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14:paraId="48619626" w14:textId="77777777" w:rsidR="00241905" w:rsidRPr="00241905" w:rsidRDefault="0024190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0.218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62CA0958" w14:textId="77777777" w:rsidR="00241905" w:rsidRPr="00241905" w:rsidRDefault="0024190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&lt; 0.001</w:t>
            </w:r>
          </w:p>
        </w:tc>
      </w:tr>
      <w:tr w:rsidR="00241905" w:rsidRPr="00241905" w14:paraId="0F165906" w14:textId="77777777" w:rsidTr="00241905">
        <w:trPr>
          <w:trHeight w:val="300"/>
        </w:trPr>
        <w:tc>
          <w:tcPr>
            <w:tcW w:w="3505" w:type="dxa"/>
            <w:shd w:val="clear" w:color="auto" w:fill="auto"/>
            <w:noWrap/>
            <w:vAlign w:val="bottom"/>
            <w:hideMark/>
          </w:tcPr>
          <w:p w14:paraId="419648DD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Built-up Area Intensity</w:t>
            </w:r>
          </w:p>
        </w:tc>
        <w:tc>
          <w:tcPr>
            <w:tcW w:w="3680" w:type="dxa"/>
            <w:shd w:val="clear" w:color="auto" w:fill="auto"/>
            <w:noWrap/>
            <w:vAlign w:val="bottom"/>
            <w:hideMark/>
          </w:tcPr>
          <w:p w14:paraId="3D761316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Nighttime Light Intensity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14:paraId="75C713CC" w14:textId="77777777" w:rsidR="00241905" w:rsidRPr="00241905" w:rsidRDefault="0024190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0.496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714F6D05" w14:textId="77777777" w:rsidR="00241905" w:rsidRPr="00241905" w:rsidRDefault="0024190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&lt; 0.001</w:t>
            </w:r>
          </w:p>
        </w:tc>
      </w:tr>
      <w:tr w:rsidR="00241905" w:rsidRPr="00241905" w14:paraId="0B72E202" w14:textId="77777777" w:rsidTr="00241905">
        <w:trPr>
          <w:trHeight w:val="300"/>
        </w:trPr>
        <w:tc>
          <w:tcPr>
            <w:tcW w:w="3505" w:type="dxa"/>
            <w:shd w:val="clear" w:color="auto" w:fill="auto"/>
            <w:noWrap/>
            <w:vAlign w:val="bottom"/>
            <w:hideMark/>
          </w:tcPr>
          <w:p w14:paraId="6761E690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Area Deprivation Index</w:t>
            </w:r>
          </w:p>
        </w:tc>
        <w:tc>
          <w:tcPr>
            <w:tcW w:w="3680" w:type="dxa"/>
            <w:shd w:val="clear" w:color="auto" w:fill="auto"/>
            <w:noWrap/>
            <w:vAlign w:val="bottom"/>
            <w:hideMark/>
          </w:tcPr>
          <w:p w14:paraId="31D702AC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Vegetative Greenness (NDVI)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14:paraId="208E4A97" w14:textId="77777777" w:rsidR="00241905" w:rsidRPr="00241905" w:rsidRDefault="0024190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-0.128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0DD04EFC" w14:textId="77777777" w:rsidR="00241905" w:rsidRPr="00241905" w:rsidRDefault="0024190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&lt; 0.001</w:t>
            </w:r>
          </w:p>
        </w:tc>
      </w:tr>
      <w:tr w:rsidR="00241905" w:rsidRPr="00241905" w14:paraId="5521595D" w14:textId="77777777" w:rsidTr="00241905">
        <w:trPr>
          <w:trHeight w:val="300"/>
        </w:trPr>
        <w:tc>
          <w:tcPr>
            <w:tcW w:w="3505" w:type="dxa"/>
            <w:shd w:val="clear" w:color="auto" w:fill="auto"/>
            <w:noWrap/>
            <w:vAlign w:val="bottom"/>
            <w:hideMark/>
          </w:tcPr>
          <w:p w14:paraId="51550CA4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Built-up Area Intensity</w:t>
            </w:r>
          </w:p>
        </w:tc>
        <w:tc>
          <w:tcPr>
            <w:tcW w:w="3680" w:type="dxa"/>
            <w:shd w:val="clear" w:color="auto" w:fill="auto"/>
            <w:noWrap/>
            <w:vAlign w:val="bottom"/>
            <w:hideMark/>
          </w:tcPr>
          <w:p w14:paraId="46D2C5F8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Vegetative Greenness (NDVI)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14:paraId="1F01A57F" w14:textId="77777777" w:rsidR="00241905" w:rsidRPr="00241905" w:rsidRDefault="0024190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-0.454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1D36A9EB" w14:textId="77777777" w:rsidR="00241905" w:rsidRPr="00241905" w:rsidRDefault="0024190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&lt; 0.001</w:t>
            </w:r>
          </w:p>
        </w:tc>
      </w:tr>
      <w:tr w:rsidR="00241905" w:rsidRPr="00241905" w14:paraId="6D0F6E04" w14:textId="77777777" w:rsidTr="00241905">
        <w:trPr>
          <w:trHeight w:val="300"/>
        </w:trPr>
        <w:tc>
          <w:tcPr>
            <w:tcW w:w="3505" w:type="dxa"/>
            <w:shd w:val="clear" w:color="auto" w:fill="auto"/>
            <w:noWrap/>
            <w:vAlign w:val="bottom"/>
            <w:hideMark/>
          </w:tcPr>
          <w:p w14:paraId="7B6E1914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Nighttime Light Intensity</w:t>
            </w:r>
          </w:p>
        </w:tc>
        <w:tc>
          <w:tcPr>
            <w:tcW w:w="3680" w:type="dxa"/>
            <w:shd w:val="clear" w:color="auto" w:fill="auto"/>
            <w:noWrap/>
            <w:vAlign w:val="bottom"/>
            <w:hideMark/>
          </w:tcPr>
          <w:p w14:paraId="49C4FB5E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Vegetative Greenness (NDVI)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14:paraId="24EC1C97" w14:textId="77777777" w:rsidR="00241905" w:rsidRPr="00241905" w:rsidRDefault="0024190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-0.577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1111A5B9" w14:textId="77777777" w:rsidR="00241905" w:rsidRPr="00241905" w:rsidRDefault="0024190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&lt; 0.001</w:t>
            </w:r>
          </w:p>
        </w:tc>
      </w:tr>
      <w:tr w:rsidR="00241905" w:rsidRPr="00241905" w14:paraId="60692D9E" w14:textId="77777777" w:rsidTr="00241905">
        <w:trPr>
          <w:trHeight w:val="300"/>
        </w:trPr>
        <w:tc>
          <w:tcPr>
            <w:tcW w:w="3505" w:type="dxa"/>
            <w:shd w:val="clear" w:color="auto" w:fill="auto"/>
            <w:noWrap/>
            <w:vAlign w:val="bottom"/>
            <w:hideMark/>
          </w:tcPr>
          <w:p w14:paraId="03FC780F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Area Deprivation Index</w:t>
            </w:r>
          </w:p>
        </w:tc>
        <w:tc>
          <w:tcPr>
            <w:tcW w:w="3680" w:type="dxa"/>
            <w:shd w:val="clear" w:color="auto" w:fill="auto"/>
            <w:noWrap/>
            <w:vAlign w:val="bottom"/>
            <w:hideMark/>
          </w:tcPr>
          <w:p w14:paraId="07967A72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Park Access (Acres within CBG)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14:paraId="32E41439" w14:textId="77777777" w:rsidR="00241905" w:rsidRPr="00241905" w:rsidRDefault="0024190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-0.062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72E89A02" w14:textId="77777777" w:rsidR="00241905" w:rsidRPr="00241905" w:rsidRDefault="0024190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&lt; 0.001</w:t>
            </w:r>
          </w:p>
        </w:tc>
      </w:tr>
      <w:tr w:rsidR="00241905" w:rsidRPr="00241905" w14:paraId="487F9FF4" w14:textId="77777777" w:rsidTr="00241905">
        <w:trPr>
          <w:trHeight w:val="300"/>
        </w:trPr>
        <w:tc>
          <w:tcPr>
            <w:tcW w:w="3505" w:type="dxa"/>
            <w:shd w:val="clear" w:color="auto" w:fill="auto"/>
            <w:noWrap/>
            <w:vAlign w:val="bottom"/>
            <w:hideMark/>
          </w:tcPr>
          <w:p w14:paraId="3E080002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Built-up Area Intensity</w:t>
            </w:r>
          </w:p>
        </w:tc>
        <w:tc>
          <w:tcPr>
            <w:tcW w:w="3680" w:type="dxa"/>
            <w:shd w:val="clear" w:color="auto" w:fill="auto"/>
            <w:noWrap/>
            <w:vAlign w:val="bottom"/>
            <w:hideMark/>
          </w:tcPr>
          <w:p w14:paraId="53F51EFF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Park Access (Acres within CBG)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14:paraId="7DB30768" w14:textId="77777777" w:rsidR="00241905" w:rsidRPr="00241905" w:rsidRDefault="0024190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-0.280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58301AC3" w14:textId="77777777" w:rsidR="00241905" w:rsidRPr="00241905" w:rsidRDefault="0024190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&lt; 0.001</w:t>
            </w:r>
          </w:p>
        </w:tc>
      </w:tr>
      <w:tr w:rsidR="00241905" w:rsidRPr="00241905" w14:paraId="6E84B408" w14:textId="77777777" w:rsidTr="00241905">
        <w:trPr>
          <w:trHeight w:val="300"/>
        </w:trPr>
        <w:tc>
          <w:tcPr>
            <w:tcW w:w="3505" w:type="dxa"/>
            <w:shd w:val="clear" w:color="auto" w:fill="auto"/>
            <w:noWrap/>
            <w:vAlign w:val="bottom"/>
            <w:hideMark/>
          </w:tcPr>
          <w:p w14:paraId="632829CE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Nighttime Light Intensity</w:t>
            </w:r>
          </w:p>
        </w:tc>
        <w:tc>
          <w:tcPr>
            <w:tcW w:w="3680" w:type="dxa"/>
            <w:shd w:val="clear" w:color="auto" w:fill="auto"/>
            <w:noWrap/>
            <w:vAlign w:val="bottom"/>
            <w:hideMark/>
          </w:tcPr>
          <w:p w14:paraId="16D8BFB2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Park Access (Acres within CBG)</w:t>
            </w:r>
          </w:p>
        </w:tc>
        <w:tc>
          <w:tcPr>
            <w:tcW w:w="1216" w:type="dxa"/>
            <w:shd w:val="clear" w:color="auto" w:fill="auto"/>
            <w:noWrap/>
            <w:vAlign w:val="bottom"/>
            <w:hideMark/>
          </w:tcPr>
          <w:p w14:paraId="143ECCCF" w14:textId="77777777" w:rsidR="00241905" w:rsidRPr="00241905" w:rsidRDefault="0024190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-0.101</w:t>
            </w:r>
          </w:p>
        </w:tc>
        <w:tc>
          <w:tcPr>
            <w:tcW w:w="959" w:type="dxa"/>
            <w:shd w:val="clear" w:color="auto" w:fill="auto"/>
            <w:noWrap/>
            <w:vAlign w:val="bottom"/>
            <w:hideMark/>
          </w:tcPr>
          <w:p w14:paraId="4843DD11" w14:textId="77777777" w:rsidR="00241905" w:rsidRPr="00241905" w:rsidRDefault="0024190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&lt; 0.001</w:t>
            </w:r>
          </w:p>
        </w:tc>
      </w:tr>
      <w:tr w:rsidR="00241905" w:rsidRPr="00241905" w14:paraId="7BC72888" w14:textId="77777777" w:rsidTr="00241905">
        <w:trPr>
          <w:trHeight w:val="300"/>
        </w:trPr>
        <w:tc>
          <w:tcPr>
            <w:tcW w:w="350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B9575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Vegetative Greenness (NDVI)</w:t>
            </w:r>
          </w:p>
        </w:tc>
        <w:tc>
          <w:tcPr>
            <w:tcW w:w="368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1A1C4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Park Access (Acres within CBG)</w:t>
            </w:r>
          </w:p>
        </w:tc>
        <w:tc>
          <w:tcPr>
            <w:tcW w:w="121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7A435" w14:textId="77777777" w:rsidR="00241905" w:rsidRPr="00241905" w:rsidRDefault="0024190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0.140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37473" w14:textId="77777777" w:rsidR="00241905" w:rsidRPr="00241905" w:rsidRDefault="00241905">
            <w:pPr>
              <w:spacing w:after="0"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&lt; 0.001</w:t>
            </w:r>
          </w:p>
        </w:tc>
      </w:tr>
    </w:tbl>
    <w:p w14:paraId="226AD18F" w14:textId="0F04FEE6" w:rsidR="00082AA8" w:rsidRDefault="00241905" w:rsidP="00241905">
      <w:pPr>
        <w:rPr>
          <w:rFonts w:ascii="Times New Roman" w:eastAsia="Times New Roman" w:hAnsi="Times New Roman" w:cs="Times New Roman"/>
          <w:sz w:val="22"/>
          <w:szCs w:val="22"/>
        </w:rPr>
      </w:pPr>
      <w:r w:rsidRPr="00241905">
        <w:rPr>
          <w:rFonts w:ascii="Times New Roman" w:eastAsia="Times New Roman" w:hAnsi="Times New Roman" w:cs="Times New Roman"/>
          <w:sz w:val="22"/>
          <w:szCs w:val="22"/>
        </w:rPr>
        <w:t>Notes. Pearson’s correlation coefficients (</w:t>
      </w:r>
      <w:r w:rsidRPr="00241905">
        <w:rPr>
          <w:rFonts w:ascii="Times New Roman" w:eastAsia="Times New Roman" w:hAnsi="Times New Roman" w:cs="Times New Roman"/>
          <w:i/>
          <w:iCs/>
          <w:sz w:val="22"/>
          <w:szCs w:val="22"/>
        </w:rPr>
        <w:t>r</w:t>
      </w:r>
      <w:r w:rsidRPr="00241905">
        <w:rPr>
          <w:rFonts w:ascii="Times New Roman" w:eastAsia="Times New Roman" w:hAnsi="Times New Roman" w:cs="Times New Roman"/>
          <w:sz w:val="22"/>
          <w:szCs w:val="22"/>
        </w:rPr>
        <w:t xml:space="preserve">) for pairwise associations between key environmental and social variables. All </w:t>
      </w:r>
      <w:r w:rsidRPr="00241905">
        <w:rPr>
          <w:rFonts w:ascii="Times New Roman" w:eastAsia="Times New Roman" w:hAnsi="Times New Roman" w:cs="Times New Roman"/>
          <w:i/>
          <w:iCs/>
          <w:sz w:val="22"/>
          <w:szCs w:val="22"/>
        </w:rPr>
        <w:t>p</w:t>
      </w:r>
      <w:r w:rsidRPr="00241905">
        <w:rPr>
          <w:rFonts w:ascii="Times New Roman" w:eastAsia="Times New Roman" w:hAnsi="Times New Roman" w:cs="Times New Roman"/>
          <w:sz w:val="22"/>
          <w:szCs w:val="22"/>
        </w:rPr>
        <w:t xml:space="preserve">-values are 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statistically significant (i.e., </w:t>
      </w:r>
      <w:r w:rsidRPr="00241905">
        <w:rPr>
          <w:rFonts w:ascii="Times New Roman" w:eastAsia="Times New Roman" w:hAnsi="Times New Roman" w:cs="Times New Roman"/>
          <w:sz w:val="22"/>
          <w:szCs w:val="22"/>
        </w:rPr>
        <w:t>&lt; 0.0</w:t>
      </w:r>
      <w:r>
        <w:rPr>
          <w:rFonts w:ascii="Times New Roman" w:eastAsia="Times New Roman" w:hAnsi="Times New Roman" w:cs="Times New Roman"/>
          <w:sz w:val="22"/>
          <w:szCs w:val="22"/>
        </w:rPr>
        <w:t>5)</w:t>
      </w:r>
      <w:r w:rsidRPr="00241905">
        <w:rPr>
          <w:rFonts w:ascii="Times New Roman" w:eastAsia="Times New Roman" w:hAnsi="Times New Roman" w:cs="Times New Roman"/>
          <w:sz w:val="22"/>
          <w:szCs w:val="22"/>
        </w:rPr>
        <w:t>. NDVI = Normalized Difference Vegetation Index; CBG = Census Block Group</w:t>
      </w:r>
    </w:p>
    <w:p w14:paraId="4DB371A1" w14:textId="77777777" w:rsidR="00082AA8" w:rsidRDefault="00082AA8">
      <w:pPr>
        <w:spacing w:after="160" w:line="278" w:lineRule="auto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br w:type="page"/>
      </w:r>
    </w:p>
    <w:tbl>
      <w:tblPr>
        <w:tblW w:w="5619" w:type="dxa"/>
        <w:tblLook w:val="04A0" w:firstRow="1" w:lastRow="0" w:firstColumn="1" w:lastColumn="0" w:noHBand="0" w:noVBand="1"/>
      </w:tblPr>
      <w:tblGrid>
        <w:gridCol w:w="1881"/>
        <w:gridCol w:w="1269"/>
        <w:gridCol w:w="720"/>
        <w:gridCol w:w="1749"/>
      </w:tblGrid>
      <w:tr w:rsidR="00241905" w:rsidRPr="00241905" w14:paraId="5B5D1D32" w14:textId="77777777" w:rsidTr="00082AA8">
        <w:trPr>
          <w:trHeight w:val="300"/>
        </w:trPr>
        <w:tc>
          <w:tcPr>
            <w:tcW w:w="561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6F62101" w14:textId="3D7BCCFB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2"/>
                <w:szCs w:val="22"/>
              </w:rPr>
              <w:t>Supplementary Table 4</w:t>
            </w: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. Multicollinearity Diagnostics</w:t>
            </w:r>
          </w:p>
        </w:tc>
      </w:tr>
      <w:tr w:rsidR="00241905" w:rsidRPr="00241905" w14:paraId="598FD5EF" w14:textId="77777777" w:rsidTr="00082AA8">
        <w:trPr>
          <w:trHeight w:val="300"/>
        </w:trPr>
        <w:tc>
          <w:tcPr>
            <w:tcW w:w="18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5EE7E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0B1DC2" w14:textId="77777777" w:rsidR="00241905" w:rsidRPr="00241905" w:rsidRDefault="0024190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GVIF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8167FA" w14:textId="77777777" w:rsidR="00241905" w:rsidRPr="00241905" w:rsidRDefault="0024190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df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7ECD1E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GVIF^(1/(2*Df))</w:t>
            </w:r>
          </w:p>
        </w:tc>
      </w:tr>
      <w:tr w:rsidR="00241905" w:rsidRPr="00241905" w14:paraId="35A2F9A1" w14:textId="77777777" w:rsidTr="00082AA8">
        <w:trPr>
          <w:trHeight w:val="300"/>
        </w:trPr>
        <w:tc>
          <w:tcPr>
            <w:tcW w:w="18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F0A16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Year</w:t>
            </w: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2ED26" w14:textId="77777777" w:rsidR="00241905" w:rsidRPr="00241905" w:rsidRDefault="0024190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1.000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087B8" w14:textId="77777777" w:rsidR="00241905" w:rsidRPr="00241905" w:rsidRDefault="0024190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1.000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39188" w14:textId="77777777" w:rsidR="00241905" w:rsidRPr="00241905" w:rsidRDefault="0024190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1.000</w:t>
            </w:r>
          </w:p>
        </w:tc>
      </w:tr>
      <w:tr w:rsidR="00241905" w:rsidRPr="00241905" w14:paraId="1E39DDA0" w14:textId="77777777" w:rsidTr="00082AA8">
        <w:trPr>
          <w:trHeight w:val="30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F6C8E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ADI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45FF9" w14:textId="77777777" w:rsidR="00241905" w:rsidRPr="00241905" w:rsidRDefault="0024190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1.080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2ABE0" w14:textId="77777777" w:rsidR="00241905" w:rsidRPr="00241905" w:rsidRDefault="0024190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4.000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870BE" w14:textId="77777777" w:rsidR="00241905" w:rsidRPr="00241905" w:rsidRDefault="0024190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1.010</w:t>
            </w:r>
          </w:p>
        </w:tc>
      </w:tr>
      <w:tr w:rsidR="00241905" w:rsidRPr="00241905" w14:paraId="73D90319" w14:textId="77777777" w:rsidTr="00082AA8">
        <w:trPr>
          <w:trHeight w:val="30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80A3C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NDVI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D61BC" w14:textId="77777777" w:rsidR="00241905" w:rsidRPr="00241905" w:rsidRDefault="0024190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1.444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B3D25" w14:textId="77777777" w:rsidR="00241905" w:rsidRPr="00241905" w:rsidRDefault="0024190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1.000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571BC" w14:textId="77777777" w:rsidR="00241905" w:rsidRPr="00241905" w:rsidRDefault="0024190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1.202</w:t>
            </w:r>
          </w:p>
        </w:tc>
      </w:tr>
      <w:tr w:rsidR="00241905" w:rsidRPr="00241905" w14:paraId="66AE726D" w14:textId="77777777" w:rsidTr="00082AA8">
        <w:trPr>
          <w:trHeight w:val="30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8D30F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Park Access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5E5C0" w14:textId="77777777" w:rsidR="00241905" w:rsidRPr="00241905" w:rsidRDefault="0024190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1.248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BE7E4" w14:textId="77777777" w:rsidR="00241905" w:rsidRPr="00241905" w:rsidRDefault="0024190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1.000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BFA4F" w14:textId="77777777" w:rsidR="00241905" w:rsidRPr="00241905" w:rsidRDefault="0024190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1.117</w:t>
            </w:r>
          </w:p>
        </w:tc>
      </w:tr>
      <w:tr w:rsidR="00241905" w:rsidRPr="00241905" w14:paraId="0AB1F5E2" w14:textId="77777777" w:rsidTr="00082AA8">
        <w:trPr>
          <w:trHeight w:val="300"/>
        </w:trPr>
        <w:tc>
          <w:tcPr>
            <w:tcW w:w="1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8B59C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Urbanicity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BFEBC" w14:textId="77777777" w:rsidR="00241905" w:rsidRPr="00241905" w:rsidRDefault="0024190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1.542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83CB3" w14:textId="77777777" w:rsidR="00241905" w:rsidRPr="00241905" w:rsidRDefault="0024190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7.000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D8708" w14:textId="77777777" w:rsidR="00241905" w:rsidRPr="00241905" w:rsidRDefault="0024190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1.031</w:t>
            </w:r>
          </w:p>
        </w:tc>
      </w:tr>
      <w:tr w:rsidR="00241905" w:rsidRPr="00241905" w14:paraId="5BF0131E" w14:textId="77777777" w:rsidTr="00082AA8">
        <w:trPr>
          <w:trHeight w:val="300"/>
        </w:trPr>
        <w:tc>
          <w:tcPr>
            <w:tcW w:w="18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28683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BEE</w:t>
            </w:r>
          </w:p>
        </w:tc>
        <w:tc>
          <w:tcPr>
            <w:tcW w:w="12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F3E42" w14:textId="77777777" w:rsidR="00241905" w:rsidRPr="00241905" w:rsidRDefault="0024190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1.399</w:t>
            </w:r>
          </w:p>
        </w:tc>
        <w:tc>
          <w:tcPr>
            <w:tcW w:w="7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44EAE" w14:textId="77777777" w:rsidR="00241905" w:rsidRPr="00241905" w:rsidRDefault="0024190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1.000</w:t>
            </w:r>
          </w:p>
        </w:tc>
        <w:tc>
          <w:tcPr>
            <w:tcW w:w="174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B47D9" w14:textId="77777777" w:rsidR="00241905" w:rsidRPr="00241905" w:rsidRDefault="0024190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1.183</w:t>
            </w:r>
          </w:p>
        </w:tc>
      </w:tr>
      <w:tr w:rsidR="00241905" w:rsidRPr="00241905" w14:paraId="37F82E67" w14:textId="77777777" w:rsidTr="00082AA8">
        <w:trPr>
          <w:trHeight w:val="300"/>
        </w:trPr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1A4416" w14:textId="77777777" w:rsidR="00241905" w:rsidRPr="00241905" w:rsidRDefault="0024190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NLI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B2BFD5" w14:textId="77777777" w:rsidR="00241905" w:rsidRPr="00241905" w:rsidRDefault="0024190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1.408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761EED" w14:textId="77777777" w:rsidR="00241905" w:rsidRPr="00241905" w:rsidRDefault="0024190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1.000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8D4E0E" w14:textId="77777777" w:rsidR="00241905" w:rsidRPr="00241905" w:rsidRDefault="0024190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</w:pPr>
            <w:r w:rsidRPr="00241905">
              <w:rPr>
                <w:rFonts w:ascii="Times New Roman" w:eastAsia="Times New Roman" w:hAnsi="Times New Roman" w:cs="Times New Roman"/>
                <w:color w:val="000000" w:themeColor="text1"/>
                <w:sz w:val="22"/>
                <w:szCs w:val="22"/>
              </w:rPr>
              <w:t>1.187</w:t>
            </w:r>
          </w:p>
        </w:tc>
      </w:tr>
    </w:tbl>
    <w:p w14:paraId="054CAC6E" w14:textId="76D8C489" w:rsidR="003B1D7B" w:rsidRPr="00241905" w:rsidRDefault="00241905">
      <w:pPr>
        <w:rPr>
          <w:rFonts w:ascii="Times New Roman" w:hAnsi="Times New Roman" w:cs="Times New Roman"/>
          <w:sz w:val="22"/>
          <w:szCs w:val="22"/>
        </w:rPr>
      </w:pPr>
      <w:r w:rsidRPr="00241905">
        <w:rPr>
          <w:rFonts w:ascii="Times New Roman" w:hAnsi="Times New Roman" w:cs="Times New Roman"/>
          <w:sz w:val="22"/>
          <w:szCs w:val="22"/>
        </w:rPr>
        <w:t>Notes. Generalized Variance Inflation Factors (GVIFs) are reported along with degrees of freedom (</w:t>
      </w:r>
      <w:r w:rsidRPr="00241905">
        <w:rPr>
          <w:rFonts w:ascii="Times New Roman" w:hAnsi="Times New Roman" w:cs="Times New Roman"/>
          <w:i/>
          <w:iCs/>
          <w:sz w:val="22"/>
          <w:szCs w:val="22"/>
        </w:rPr>
        <w:t>df</w:t>
      </w:r>
      <w:r w:rsidRPr="00241905">
        <w:rPr>
          <w:rFonts w:ascii="Times New Roman" w:hAnsi="Times New Roman" w:cs="Times New Roman"/>
          <w:sz w:val="22"/>
          <w:szCs w:val="22"/>
        </w:rPr>
        <w:t>) and adjusted GVIFs [GVIF^(1/(2*df))] for covariates included in the fully adjusted Bayesian model. Values below 2 indicate minimal multicollinearity.</w:t>
      </w:r>
    </w:p>
    <w:sectPr w:rsidR="003B1D7B" w:rsidRPr="002419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D7B"/>
    <w:rsid w:val="00082AA8"/>
    <w:rsid w:val="00241905"/>
    <w:rsid w:val="003B1D7B"/>
    <w:rsid w:val="00530F31"/>
    <w:rsid w:val="00630AA3"/>
    <w:rsid w:val="006B220B"/>
    <w:rsid w:val="00773095"/>
    <w:rsid w:val="00C46021"/>
    <w:rsid w:val="00F55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B02DEC"/>
  <w15:chartTrackingRefBased/>
  <w15:docId w15:val="{DD558CBC-81AB-4BC5-ADAB-D33CDB7D3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D7B"/>
    <w:pPr>
      <w:spacing w:after="20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B1D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1D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1D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1D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1D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1D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1D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1D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1D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1D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1D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1D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1D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1D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1D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1D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1D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1D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1D7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1D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1D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1D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1D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1D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1D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1D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1D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1D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1D7B"/>
    <w:rPr>
      <w:b/>
      <w:bCs/>
      <w:smallCaps/>
      <w:color w:val="0F4761" w:themeColor="accent1" w:themeShade="BF"/>
      <w:spacing w:val="5"/>
    </w:rPr>
  </w:style>
  <w:style w:type="paragraph" w:customStyle="1" w:styleId="Compact">
    <w:name w:val="Compact"/>
    <w:basedOn w:val="BodyText"/>
    <w:qFormat/>
    <w:rsid w:val="003B1D7B"/>
    <w:pPr>
      <w:spacing w:before="36" w:after="36"/>
    </w:pPr>
  </w:style>
  <w:style w:type="table" w:customStyle="1" w:styleId="Table">
    <w:name w:val="Table"/>
    <w:semiHidden/>
    <w:unhideWhenUsed/>
    <w:qFormat/>
    <w:rsid w:val="003B1D7B"/>
    <w:pPr>
      <w:spacing w:after="200" w:line="240" w:lineRule="auto"/>
    </w:pPr>
    <w:rPr>
      <w:kern w:val="0"/>
      <w:sz w:val="20"/>
      <w:szCs w:val="20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character" w:styleId="Hyperlink">
    <w:name w:val="Hyperlink"/>
    <w:basedOn w:val="DefaultParagraphFont"/>
    <w:rsid w:val="003B1D7B"/>
    <w:rPr>
      <w:color w:val="156082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3B1D7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B1D7B"/>
    <w:rPr>
      <w:kern w:val="0"/>
      <w14:ligatures w14:val="none"/>
    </w:rPr>
  </w:style>
  <w:style w:type="character" w:styleId="CommentReference">
    <w:name w:val="annotation reference"/>
    <w:basedOn w:val="DefaultParagraphFont"/>
    <w:rsid w:val="003B1D7B"/>
    <w:rPr>
      <w:sz w:val="16"/>
      <w:szCs w:val="16"/>
    </w:rPr>
  </w:style>
  <w:style w:type="paragraph" w:styleId="NoSpacing">
    <w:name w:val="No Spacing"/>
    <w:uiPriority w:val="1"/>
    <w:qFormat/>
    <w:rsid w:val="00630AA3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eighborhoodatlas.medicine.wisc.ed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ogdata.mines.edu/products/vnl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human-settlement.emergency.copernicus.eu/download.php?ds=built-s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human-settlement.emergency.copernicus.eu/download.php?ds=pop" TargetMode="External"/><Relationship Id="rId10" Type="http://schemas.openxmlformats.org/officeDocument/2006/relationships/hyperlink" Target="https://data.cityofchicago.org/Public-Safety/People-Shot-Chicago/ijzp-q8t2" TargetMode="External"/><Relationship Id="rId4" Type="http://schemas.openxmlformats.org/officeDocument/2006/relationships/hyperlink" Target="https://earthexplorer.usgs.gov/" TargetMode="External"/><Relationship Id="rId9" Type="http://schemas.openxmlformats.org/officeDocument/2006/relationships/hyperlink" Target="https://api.census.gov/data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558</Words>
  <Characters>3958</Characters>
  <Application>Microsoft Office Word</Application>
  <DocSecurity>0</DocSecurity>
  <Lines>203</Lines>
  <Paragraphs>132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Ohio State University</Company>
  <LinksUpToDate>false</LinksUpToDate>
  <CharactersWithSpaces>4386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Barboza-Salerno, Gia</dc:creator>
  <cp:keywords/>
  <dc:description/>
  <cp:lastModifiedBy>Barboza-Salerno, Gia</cp:lastModifiedBy>
  <cp:revision>2</cp:revision>
  <dcterms:created xsi:type="dcterms:W3CDTF">2025-07-26T16:39:00Z</dcterms:created>
  <dcterms:modified xsi:type="dcterms:W3CDTF">2025-07-26T16:39:00Z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d6b0194c-536d-4051-9844-bc42a871151a</vt:lpwstr>
  </property>
</Properties>
</file>