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24D1EAC">
      <w:pPr>
        <w:spacing w:line="480" w:lineRule="auto"/>
        <w:jc w:val="left"/>
        <w:rPr>
          <w:rFonts w:hint="default" w:ascii="Times New Roman" w:hAnsi="Times New Roman" w:cs="Times New Roman"/>
          <w:b/>
          <w:color w:val="000000" w:themeColor="text1"/>
          <w:sz w:val="24"/>
          <w:szCs w:val="20"/>
          <w14:textFill>
            <w14:solidFill>
              <w14:schemeClr w14:val="tx1"/>
            </w14:solidFill>
          </w14:textFill>
        </w:rPr>
      </w:pPr>
      <w:r>
        <w:rPr>
          <w:rFonts w:hint="default" w:ascii="Times New Roman" w:hAnsi="Times New Roman" w:cs="Times New Roman"/>
          <w:b/>
          <w:color w:val="000000" w:themeColor="text1"/>
          <w:sz w:val="24"/>
          <w:szCs w:val="20"/>
          <w14:textFill>
            <w14:solidFill>
              <w14:schemeClr w14:val="tx1"/>
            </w14:solidFill>
          </w14:textFill>
        </w:rPr>
        <w:t>Appendix A. Supplementary material</w:t>
      </w:r>
    </w:p>
    <w:p w14:paraId="33E4DA82">
      <w:pPr>
        <w:spacing w:line="480" w:lineRule="auto"/>
        <w:ind w:firstLine="400" w:firstLineChars="200"/>
        <w:rPr>
          <w:rFonts w:hint="default" w:ascii="Times New Roman" w:hAnsi="Times New Roman" w:cs="Times New Roman"/>
          <w:color w:val="000000" w:themeColor="text1"/>
          <w:sz w:val="20"/>
          <w:szCs w:val="20"/>
          <w14:textFill>
            <w14:solidFill>
              <w14:schemeClr w14:val="tx1"/>
            </w14:solidFill>
          </w14:textFill>
        </w:rPr>
      </w:pPr>
      <w:r>
        <w:rPr>
          <w:rFonts w:hint="default" w:ascii="Times New Roman" w:hAnsi="Times New Roman" w:cs="Times New Roman"/>
          <w:color w:val="000000" w:themeColor="text1"/>
          <w:sz w:val="20"/>
          <w:szCs w:val="20"/>
          <w14:textFill>
            <w14:solidFill>
              <w14:schemeClr w14:val="tx1"/>
            </w14:solidFill>
          </w14:textFill>
        </w:rPr>
        <w:t>This document provides supplementary information to “Porosity reduction by co-axial laser shock modulation of molten pool in powder-bed selective laser sintering: take widely-used stainless steel as an example</w:t>
      </w:r>
      <w:r>
        <w:rPr>
          <w:rFonts w:hint="eastAsia" w:ascii="Times New Roman" w:hAnsi="Times New Roman" w:cs="Times New Roman"/>
          <w:color w:val="000000" w:themeColor="text1"/>
          <w:sz w:val="20"/>
          <w:szCs w:val="20"/>
          <w:lang w:val="en-US" w:eastAsia="zh-CN"/>
          <w14:textFill>
            <w14:solidFill>
              <w14:schemeClr w14:val="tx1"/>
            </w14:solidFill>
          </w14:textFill>
        </w:rPr>
        <w:t>.</w:t>
      </w:r>
      <w:r>
        <w:rPr>
          <w:rFonts w:hint="default" w:ascii="Times New Roman" w:hAnsi="Times New Roman" w:cs="Times New Roman"/>
          <w:color w:val="000000" w:themeColor="text1"/>
          <w:sz w:val="20"/>
          <w:szCs w:val="20"/>
          <w14:textFill>
            <w14:solidFill>
              <w14:schemeClr w14:val="tx1"/>
            </w14:solidFill>
          </w14:textFill>
        </w:rPr>
        <w:t>”</w:t>
      </w:r>
    </w:p>
    <w:p w14:paraId="597B2E15">
      <w:pPr>
        <w:numPr>
          <w:ilvl w:val="0"/>
          <w:numId w:val="1"/>
        </w:numPr>
        <w:spacing w:line="480" w:lineRule="auto"/>
        <w:ind w:left="201" w:hanging="201" w:hangingChars="100"/>
        <w:jc w:val="left"/>
        <w:rPr>
          <w:rFonts w:hint="default" w:ascii="Times New Roman" w:hAnsi="Times New Roman" w:cs="Times New Roman"/>
          <w:b/>
          <w:bCs w:val="0"/>
          <w:color w:val="000000" w:themeColor="text1"/>
          <w:sz w:val="20"/>
          <w:szCs w:val="20"/>
          <w14:textFill>
            <w14:solidFill>
              <w14:schemeClr w14:val="tx1"/>
            </w14:solidFill>
          </w14:textFill>
        </w:rPr>
      </w:pPr>
      <w:r>
        <w:rPr>
          <w:rFonts w:hint="default" w:ascii="Times New Roman" w:hAnsi="Times New Roman" w:cs="Times New Roman"/>
          <w:b/>
          <w:bCs w:val="0"/>
          <w:color w:val="000000" w:themeColor="text1"/>
          <w:sz w:val="20"/>
          <w:szCs w:val="20"/>
          <w14:textFill>
            <w14:solidFill>
              <w14:schemeClr w14:val="tx1"/>
            </w14:solidFill>
          </w14:textFill>
        </w:rPr>
        <w:t>Mathematical models</w:t>
      </w:r>
      <w:r>
        <w:rPr>
          <w:rFonts w:hint="eastAsia" w:ascii="Times New Roman" w:hAnsi="Times New Roman" w:cs="Times New Roman"/>
          <w:b/>
          <w:bCs w:val="0"/>
          <w:color w:val="000000" w:themeColor="text1"/>
          <w:sz w:val="20"/>
          <w:szCs w:val="20"/>
          <w:lang w:val="en-US" w:eastAsia="zh-CN"/>
          <w14:textFill>
            <w14:solidFill>
              <w14:schemeClr w14:val="tx1"/>
            </w14:solidFill>
          </w14:textFill>
        </w:rPr>
        <w:t xml:space="preserve"> and results</w:t>
      </w:r>
    </w:p>
    <w:p w14:paraId="0572EEF5">
      <w:pPr>
        <w:keepNext w:val="0"/>
        <w:keepLines w:val="0"/>
        <w:pageBreakBefore w:val="0"/>
        <w:widowControl w:val="0"/>
        <w:kinsoku/>
        <w:wordWrap/>
        <w:overflowPunct/>
        <w:topLinePunct w:val="0"/>
        <w:autoSpaceDE/>
        <w:autoSpaceDN/>
        <w:bidi w:val="0"/>
        <w:adjustRightInd/>
        <w:snapToGrid/>
        <w:spacing w:line="480" w:lineRule="auto"/>
        <w:ind w:firstLine="400" w:firstLineChars="200"/>
        <w:jc w:val="both"/>
        <w:textAlignment w:val="auto"/>
        <w:rPr>
          <w:rFonts w:hint="default" w:ascii="Times New Roman" w:hAnsi="Times New Roman" w:cs="Times New Roman" w:eastAsiaTheme="minorEastAsia"/>
          <w:color w:val="000000" w:themeColor="text1"/>
          <w:sz w:val="20"/>
          <w:szCs w:val="20"/>
          <w:lang w:val="en-US" w:eastAsia="zh-CN"/>
          <w14:textFill>
            <w14:solidFill>
              <w14:schemeClr w14:val="tx1"/>
            </w14:solidFill>
          </w14:textFill>
        </w:rPr>
      </w:pPr>
      <w:r>
        <w:rPr>
          <w:rFonts w:hint="default" w:ascii="Times New Roman" w:hAnsi="Times New Roman" w:cs="Times New Roman"/>
          <w:color w:val="000000" w:themeColor="text1"/>
          <w:sz w:val="20"/>
          <w:szCs w:val="20"/>
          <w14:textFill>
            <w14:solidFill>
              <w14:schemeClr w14:val="tx1"/>
            </w14:solidFill>
          </w14:textFill>
        </w:rPr>
        <w:t>Based on the previous research</w:t>
      </w:r>
      <w:r>
        <w:rPr>
          <w:rFonts w:hint="default" w:ascii="Times New Roman" w:hAnsi="Times New Roman" w:cs="Times New Roman"/>
          <w:color w:val="000000" w:themeColor="text1"/>
          <w:sz w:val="20"/>
          <w:szCs w:val="20"/>
          <w14:textFill>
            <w14:solidFill>
              <w14:schemeClr w14:val="tx1"/>
            </w14:solidFill>
          </w14:textFill>
        </w:rPr>
        <w:fldChar w:fldCharType="begin" w:fldLock="1"/>
      </w:r>
      <w:r>
        <w:rPr>
          <w:rFonts w:hint="eastAsia" w:ascii="Times New Roman" w:hAnsi="Times New Roman" w:cs="Times New Roman"/>
          <w:color w:val="000000" w:themeColor="text1"/>
          <w:sz w:val="20"/>
          <w:szCs w:val="20"/>
          <w:lang w:eastAsia="zh-CN"/>
          <w14:textFill>
            <w14:solidFill>
              <w14:schemeClr w14:val="tx1"/>
            </w14:solidFill>
          </w14:textFill>
        </w:rPr>
        <w:instrText xml:space="preserve">ADDIN CSL_CITATION {"citationItems":[{"id":"ITEM-1","itemData":{"DOI":"10.1016/j.tws.2024.112326","ISSN":"02638231","abstract":"A method was proposed to address the porosity defects and intermetallic compound production during laser additive manufacturing in dissimilar metals by employing in situ laser shock modulation of molten pool in a hybrid additive manufacturing process. Using wire-feed laser additive manufacturing directed energy deposition technology, single-layer and multi-layer thin-walled samples were prepared. The modulation of molten pool and porosity defects in single-layer molten tracks was analyzed under different pulsed laser shock energies. The mechanism of in situ laser shock modulation of molten pool was investigated through experiment and numerical simulations. The findings indicate that the shock force is the main factor causing oscillating convection in the molten pool, thereby accelerating Marangoni convection, bubble overflow, and pore closure. A pulsed laser shock energy of 2 J resulted in the optimal interface between the aluminum alloy and stainless steel. This interface exhibited a desirable molten track feature size, achieved a maximum densification of 99.73 % and an ultimate tensile strength of 140.25 MPa. Furthermore, in situ laser shock modulation of molten pool has the potential to reduce porosity defects and enhance microhardness, the number of porosity defects decreased by approximately 53.51 % and the total volume of porosity defects decreased by approximately 50.09 %, and microhardness approximately enhanced by 7.86 % at 2 J. Consequently, this method is anticipated to be implemented in the joining of critical thin-walled components to reduce defects and enhance tensile performance.","author":[{"dropping-particle":"","family":"He","given":"Yi","non-dropping-particle":"","parse-names":false,"suffix":""},{"dropping-particle":"","family":"Lu","given":"Heng","non-dropping-particle":"","parse-names":false,"suffix":""},{"dropping-particle":"","family":"Zhang","given":"Xiaohan","non-dropping-particle":"","parse-names":false,"suffix":""},{"dropping-particle":"","family":"Xu","given":"Shuoheng","non-dropping-particle":"","parse-names":false,"suffix":""},{"dropping-particle":"","family":"Li","given":"Hui","non-dropping-particle":"","parse-names":false,"suffix":""},{"dropping-particle":"","family":"Hu","given":"Yaowu","non-dropping-particle":"","parse-names":false,"suffix":""}],"container-title":"Thin-Walled Structures","id":"ITEM-1","issue":"May","issued":{"date-parts":[["2024"]]},"page":"112326","title":"Study on in situ laser shock modulation of molten pool and defects in wire-feed laser additive manufacturing of steel to aluminum alloy","type":"article-journal","volume":"204"},"uris":["http://www.mendeley.com/documents/?uuid=30aac384-5d29-480c-8ff5-16844b8543d4"]}],"mendeley":{"formattedCitation":"[1]","plainTextFormattedCitation":"[1]","previouslyFormattedCitation":"[1]"},"properties":{"noteIndex":0},"schema":"https://github.com/citation-style-language/schema/raw/master/csl-citation.json"}</w:instrText>
      </w:r>
      <w:r>
        <w:rPr>
          <w:rFonts w:hint="default" w:ascii="Times New Roman" w:hAnsi="Times New Roman" w:cs="Times New Roman"/>
          <w:color w:val="000000" w:themeColor="text1"/>
          <w:sz w:val="20"/>
          <w:szCs w:val="20"/>
          <w14:textFill>
            <w14:solidFill>
              <w14:schemeClr w14:val="tx1"/>
            </w14:solidFill>
          </w14:textFill>
        </w:rPr>
        <w:fldChar w:fldCharType="separate"/>
      </w:r>
      <w:r>
        <w:rPr>
          <w:rFonts w:hint="eastAsia" w:ascii="Times New Roman" w:hAnsi="Times New Roman" w:cs="Times New Roman"/>
          <w:b w:val="0"/>
          <w:i w:val="0"/>
          <w:smallCaps w:val="0"/>
          <w:color w:val="000000" w:themeColor="text1"/>
          <w:sz w:val="20"/>
          <w:szCs w:val="20"/>
          <w:u w:val="none"/>
          <w:lang w:val="en-US" w:eastAsia="zh-CN"/>
          <w14:textFill>
            <w14:solidFill>
              <w14:schemeClr w14:val="tx1"/>
            </w14:solidFill>
          </w14:textFill>
        </w:rPr>
        <w:t>[1]</w:t>
      </w:r>
      <w:r>
        <w:rPr>
          <w:rFonts w:hint="default" w:ascii="Times New Roman" w:hAnsi="Times New Roman" w:cs="Times New Roman"/>
          <w:color w:val="000000" w:themeColor="text1"/>
          <w:sz w:val="20"/>
          <w:szCs w:val="20"/>
          <w14:textFill>
            <w14:solidFill>
              <w14:schemeClr w14:val="tx1"/>
            </w14:solidFill>
          </w14:textFill>
        </w:rPr>
        <w:fldChar w:fldCharType="end"/>
      </w:r>
      <w:r>
        <w:rPr>
          <w:rFonts w:hint="default" w:ascii="Times New Roman" w:hAnsi="Times New Roman" w:cs="Times New Roman"/>
          <w:color w:val="000000" w:themeColor="text1"/>
          <w:sz w:val="20"/>
          <w:szCs w:val="20"/>
          <w14:textFill>
            <w14:solidFill>
              <w14:schemeClr w14:val="tx1"/>
            </w14:solidFill>
          </w14:textFill>
        </w:rPr>
        <w:fldChar w:fldCharType="begin" w:fldLock="1"/>
      </w:r>
      <w:r>
        <w:rPr>
          <w:rFonts w:hint="eastAsia" w:ascii="Times New Roman" w:hAnsi="Times New Roman" w:cs="Times New Roman"/>
          <w:color w:val="000000" w:themeColor="text1"/>
          <w:sz w:val="20"/>
          <w:szCs w:val="20"/>
          <w:lang w:eastAsia="zh-CN"/>
          <w14:textFill>
            <w14:solidFill>
              <w14:schemeClr w14:val="tx1"/>
            </w14:solidFill>
          </w14:textFill>
        </w:rPr>
        <w:instrText xml:space="preserve">ADDIN CSL_CITATION {"citationItems":[{"id":"ITEM-1","itemData":{"DOI":"10.1016/j.jallcom.2022.166720","ISSN":"09258388","abstract":"With growing interest in Laser Additive Manufacturing (LAM) of High-entropy alloys (HEAs) during most recent years, compositional elements design and process strategies innovation are primary methods to overcome undesirable microstructures and defects. Here we propose a new approach, a novel real-time laser shock modulation of melt pool (LSMMP) to obtain melt pool modifications for yielding HEAs with desired characteristics. LSMMP utilizes a pulsed laser shocking a liquid melt pool caused by a continuous wave laser, enabling non-destructive and real-time modulations for high-performance HEAs. The numerical simulation reveals the convection mechanism of the melt pool in the LSMMP process, and the intervention of the pulsed laser promotes melt pool flow type to convert the Marangoni effect into a multi-convective ring, which accelerates melt pool flow and inhibits columnar crystal growth. Experimental results show the evolution law of the microstructure in the LSMMP process. The microstructure of CrFeCoNi HEAs undergoes a Columnar-Equiaxed Transition (CET), and higher hardness is obtained. Laser shock is demonstrated to be an effective in-situ modulative tool for controlled additive manufacturing.","author":[{"dropping-particle":"","family":"Lu","given":"Heng","non-dropping-particle":"","parse-names":false,"suffix":""},{"dropping-particle":"","family":"Zhang","given":"Xiaohan","non-dropping-particle":"","parse-names":false,"suffix":""},{"dropping-particle":"","family":"Liu","given":"Jian","non-dropping-particle":"","parse-names":false,"suffix":""},{"dropping-particle":"","family":"Zhao","given":"Shusen","non-dropping-particle":"","parse-names":false,"suffix":""},{"dropping-particle":"","family":"Lin","given":"Xuechun","non-dropping-particle":"","parse-names":false,"suffix":""},{"dropping-particle":"","family":"Li","given":"Hui","non-dropping-particle":"","parse-names":false,"suffix":""},{"dropping-particle":"","family":"Hu","given":"Yaowu","non-dropping-particle":"","parse-names":false,"suffix":""}],"container-title":"Journal of Alloys and Compounds","id":"ITEM-1","issued":{"date-parts":[["2022"]]},"page":"166720","publisher":"Elsevier","title":"Study on laser shock modulation of melt pool in laser additive manufacturing of FeCoCrNi high-entropy alloys","type":"article-journal","volume":"925"},"uris":["http://www.mendeley.com/documents/?uuid=b695fb46-700d-4fdd-bcc9-0d9e5ff7a723"]}],"mendeley":{"formattedCitation":"[2]","plainTextFormattedCitation":"[2]","previouslyFormattedCitation":"[2]"},"properties":{"noteIndex":0},"schema":"https://github.com/citation-style-language/schema/raw/master/csl-citation.json"}</w:instrText>
      </w:r>
      <w:r>
        <w:rPr>
          <w:rFonts w:hint="default" w:ascii="Times New Roman" w:hAnsi="Times New Roman" w:cs="Times New Roman"/>
          <w:color w:val="000000" w:themeColor="text1"/>
          <w:sz w:val="20"/>
          <w:szCs w:val="20"/>
          <w14:textFill>
            <w14:solidFill>
              <w14:schemeClr w14:val="tx1"/>
            </w14:solidFill>
          </w14:textFill>
        </w:rPr>
        <w:fldChar w:fldCharType="separate"/>
      </w:r>
      <w:r>
        <w:rPr>
          <w:rFonts w:hint="eastAsia" w:ascii="Times New Roman" w:hAnsi="Times New Roman" w:cs="Times New Roman"/>
          <w:b w:val="0"/>
          <w:i w:val="0"/>
          <w:smallCaps w:val="0"/>
          <w:color w:val="000000" w:themeColor="text1"/>
          <w:sz w:val="20"/>
          <w:szCs w:val="20"/>
          <w:u w:val="none"/>
          <w:lang w:val="en-US" w:eastAsia="zh-CN"/>
          <w14:textFill>
            <w14:solidFill>
              <w14:schemeClr w14:val="tx1"/>
            </w14:solidFill>
          </w14:textFill>
        </w:rPr>
        <w:t>[2]</w:t>
      </w:r>
      <w:r>
        <w:rPr>
          <w:rFonts w:hint="default" w:ascii="Times New Roman" w:hAnsi="Times New Roman" w:cs="Times New Roman"/>
          <w:color w:val="000000" w:themeColor="text1"/>
          <w:sz w:val="20"/>
          <w:szCs w:val="20"/>
          <w14:textFill>
            <w14:solidFill>
              <w14:schemeClr w14:val="tx1"/>
            </w14:solidFill>
          </w14:textFill>
        </w:rPr>
        <w:fldChar w:fldCharType="end"/>
      </w:r>
      <w:r>
        <w:rPr>
          <w:rFonts w:hint="default" w:ascii="Times New Roman" w:hAnsi="Times New Roman" w:cs="Times New Roman"/>
          <w:color w:val="000000" w:themeColor="text1"/>
          <w:sz w:val="20"/>
          <w:szCs w:val="20"/>
          <w14:textFill>
            <w14:solidFill>
              <w14:schemeClr w14:val="tx1"/>
            </w14:solidFill>
          </w14:textFill>
        </w:rPr>
        <w:t>,</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a model applied to the co-axial laser shock modulation of molten pool in powder-bed selective laser sintering was </w:t>
      </w:r>
      <w:r>
        <w:rPr>
          <w:rFonts w:hint="eastAsia" w:ascii="Times New Roman" w:hAnsi="Times New Roman" w:cs="Times New Roman"/>
          <w:i w:val="0"/>
          <w:iCs w:val="0"/>
          <w:color w:val="000000" w:themeColor="text1"/>
          <w:sz w:val="20"/>
          <w:szCs w:val="20"/>
          <w:highlight w:val="none"/>
          <w14:textFill>
            <w14:solidFill>
              <w14:schemeClr w14:val="tx1"/>
            </w14:solidFill>
          </w14:textFill>
        </w:rPr>
        <w:t>established</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The model size is 400 </w:t>
      </w:r>
      <w:r>
        <w:rPr>
          <w:rFonts w:ascii="Times New Roman" w:hAnsi="Times New Roman" w:cs="Times New Roman"/>
          <w:color w:val="000000" w:themeColor="text1"/>
          <w:sz w:val="20"/>
          <w:szCs w:val="20"/>
          <w14:textFill>
            <w14:solidFill>
              <w14:schemeClr w14:val="tx1"/>
            </w14:solidFill>
          </w14:textFill>
        </w:rPr>
        <w:t>×</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400 </w:t>
      </w:r>
      <w:r>
        <w:rPr>
          <w:rFonts w:ascii="Times New Roman" w:hAnsi="Times New Roman" w:cs="Times New Roman"/>
          <w:color w:val="000000" w:themeColor="text1"/>
          <w:sz w:val="20"/>
          <w:szCs w:val="20"/>
          <w14:textFill>
            <w14:solidFill>
              <w14:schemeClr w14:val="tx1"/>
            </w14:solidFill>
          </w14:textFill>
        </w:rPr>
        <w:t>×</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1000 </w:t>
      </w:r>
      <w:r>
        <w:rPr>
          <w:rFonts w:hint="eastAsia" w:ascii="Times New Roman" w:hAnsi="Times New Roman" w:cs="Times New Roman"/>
          <w:sz w:val="20"/>
          <w:szCs w:val="20"/>
        </w:rPr>
        <w:t>µm</w:t>
      </w:r>
      <w:r>
        <w:rPr>
          <w:rFonts w:hint="eastAsia" w:ascii="Times New Roman" w:hAnsi="Times New Roman" w:cs="Times New Roman"/>
          <w:sz w:val="20"/>
          <w:szCs w:val="20"/>
          <w:lang w:val="en-US" w:eastAsia="zh-CN"/>
        </w:rPr>
        <w:t xml:space="preserve"> </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and contains the substrate, powder layer with a thickness of 36 </w:t>
      </w:r>
      <w:r>
        <w:rPr>
          <w:rFonts w:hint="eastAsia" w:ascii="Times New Roman" w:hAnsi="Times New Roman" w:cs="Times New Roman"/>
          <w:sz w:val="20"/>
          <w:szCs w:val="20"/>
        </w:rPr>
        <w:t>µm</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and protective gas domains </w:t>
      </w:r>
      <w:r>
        <w:rPr>
          <w:rFonts w:hint="eastAsia" w:ascii="Times New Roman" w:hAnsi="Times New Roman" w:cs="Times New Roman"/>
          <w:i w:val="0"/>
          <w:iCs w:val="0"/>
          <w:color w:val="000000" w:themeColor="text1"/>
          <w:sz w:val="20"/>
          <w:szCs w:val="20"/>
          <w:highlight w:val="none"/>
          <w14:textFill>
            <w14:solidFill>
              <w14:schemeClr w14:val="tx1"/>
            </w14:solidFill>
          </w14:textFill>
        </w:rPr>
        <w:t xml:space="preserve">as shown in Fig. </w:t>
      </w:r>
      <w:r>
        <w:rPr>
          <w:rFonts w:hint="eastAsia" w:ascii="Times New Roman" w:hAnsi="Times New Roman" w:cs="Times New Roman"/>
          <w:i w:val="0"/>
          <w:iCs w:val="0"/>
          <w:color w:val="000000" w:themeColor="text1"/>
          <w:sz w:val="20"/>
          <w:szCs w:val="20"/>
          <w:highlight w:val="none"/>
          <w:lang w:val="en-US" w:eastAsia="zh-CN"/>
          <w14:textFill>
            <w14:solidFill>
              <w14:schemeClr w14:val="tx1"/>
            </w14:solidFill>
          </w14:textFill>
        </w:rPr>
        <w:t>S1(a)</w:t>
      </w:r>
      <w:r>
        <w:rPr>
          <w:rFonts w:hint="eastAsia" w:ascii="Times New Roman" w:hAnsi="Times New Roman" w:cs="Times New Roman"/>
          <w:color w:val="000000" w:themeColor="text1"/>
          <w:sz w:val="20"/>
          <w:szCs w:val="20"/>
          <w:lang w:val="en-US" w:eastAsia="zh-CN"/>
          <w14:textFill>
            <w14:solidFill>
              <w14:schemeClr w14:val="tx1"/>
            </w14:solidFill>
          </w14:textFill>
        </w:rPr>
        <w:t>. Based on different pulsed laser parameters in the co-axial experiments, numerical simulations also study the effects of various mechanical effects on bubble evolution both in single and double molten track. The case numbered shock 0 associated with the No C</w:t>
      </w:r>
      <w:r>
        <w:rPr>
          <w:rFonts w:hint="eastAsia" w:ascii="Times New Roman" w:hAnsi="Times New Roman" w:cs="Times New Roman"/>
          <w:color w:val="000000" w:themeColor="text1"/>
          <w:sz w:val="20"/>
          <w:szCs w:val="20"/>
          <w14:textFill>
            <w14:solidFill>
              <w14:schemeClr w14:val="tx1"/>
            </w14:solidFill>
          </w14:textFill>
        </w:rPr>
        <w:t>o-axial</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shock condition, and it demonstrates the formation mechanism of pores in the molten track. Periodic collapse at the bottom of the keyhole causes gas to be entrained into the molten pool, forming bubbles that are subsequently trapped by the solid-liquid interface. In contrast, cases numbered shock 1 to shock 10 provide results regarding the influence of stronger mechanical effects on the keyhole. As shown in Fig.S1(b), stronger mechanical effects directly reduce the number of pores. In the numerical simulations, the keyholes in shock 2 and shock 3 tend to be more stable </w:t>
      </w:r>
      <w:r>
        <w:rPr>
          <w:rFonts w:hint="eastAsia" w:ascii="Times New Roman" w:hAnsi="Times New Roman" w:cs="Times New Roman"/>
          <w:i w:val="0"/>
          <w:iCs w:val="0"/>
          <w:color w:val="000000" w:themeColor="text1"/>
          <w:sz w:val="20"/>
          <w:szCs w:val="20"/>
          <w:highlight w:val="none"/>
          <w14:textFill>
            <w14:solidFill>
              <w14:schemeClr w14:val="tx1"/>
            </w14:solidFill>
          </w14:textFill>
        </w:rPr>
        <w:t xml:space="preserve">as shown in Fig. </w:t>
      </w:r>
      <w:r>
        <w:rPr>
          <w:rFonts w:hint="eastAsia" w:ascii="Times New Roman" w:hAnsi="Times New Roman" w:cs="Times New Roman"/>
          <w:i w:val="0"/>
          <w:iCs w:val="0"/>
          <w:color w:val="000000" w:themeColor="text1"/>
          <w:sz w:val="20"/>
          <w:szCs w:val="20"/>
          <w:highlight w:val="none"/>
          <w:lang w:val="en-US" w:eastAsia="zh-CN"/>
          <w14:textFill>
            <w14:solidFill>
              <w14:schemeClr w14:val="tx1"/>
            </w14:solidFill>
          </w14:textFill>
        </w:rPr>
        <w:t>S1(c)</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which is consistent with the pore reduction results provided by CT tests. In the double track results, pores tend to merge and grow due to remelting </w:t>
      </w:r>
      <w:r>
        <w:rPr>
          <w:rFonts w:hint="eastAsia" w:ascii="Times New Roman" w:hAnsi="Times New Roman" w:cs="Times New Roman"/>
          <w:i w:val="0"/>
          <w:iCs w:val="0"/>
          <w:color w:val="000000" w:themeColor="text1"/>
          <w:sz w:val="20"/>
          <w:szCs w:val="20"/>
          <w:highlight w:val="none"/>
          <w14:textFill>
            <w14:solidFill>
              <w14:schemeClr w14:val="tx1"/>
            </w14:solidFill>
          </w14:textFill>
        </w:rPr>
        <w:t xml:space="preserve">as shown in Fig. </w:t>
      </w:r>
      <w:r>
        <w:rPr>
          <w:rFonts w:hint="eastAsia" w:ascii="Times New Roman" w:hAnsi="Times New Roman" w:cs="Times New Roman"/>
          <w:i w:val="0"/>
          <w:iCs w:val="0"/>
          <w:color w:val="000000" w:themeColor="text1"/>
          <w:sz w:val="20"/>
          <w:szCs w:val="20"/>
          <w:highlight w:val="none"/>
          <w:lang w:val="en-US" w:eastAsia="zh-CN"/>
          <w14:textFill>
            <w14:solidFill>
              <w14:schemeClr w14:val="tx1"/>
            </w14:solidFill>
          </w14:textFill>
        </w:rPr>
        <w:t>S1(c)</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However, the </w:t>
      </w:r>
      <w:r>
        <w:rPr>
          <w:rFonts w:hint="eastAsia" w:ascii="Times New Roman" w:hAnsi="Times New Roman" w:cs="Times New Roman"/>
          <w:i w:val="0"/>
          <w:iCs w:val="0"/>
          <w:color w:val="000000" w:themeColor="text1"/>
          <w:sz w:val="20"/>
          <w:szCs w:val="20"/>
          <w:highlight w:val="none"/>
          <w14:textFill>
            <w14:solidFill>
              <w14:schemeClr w14:val="tx1"/>
            </w14:solidFill>
          </w14:textFill>
        </w:rPr>
        <w:t>high-frequency</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of the co-axial shock (consistent with the experimental parameter of 30 kHz) effectively inhibits this process. Complete numerical simulation results can be found </w:t>
      </w:r>
      <w:r>
        <w:rPr>
          <w:rFonts w:hint="eastAsia" w:ascii="Times New Roman" w:hAnsi="Times New Roman" w:cs="Times New Roman"/>
          <w:color w:val="000000" w:themeColor="text1"/>
          <w:sz w:val="20"/>
          <w:szCs w:val="20"/>
          <w14:textFill>
            <w14:solidFill>
              <w14:schemeClr w14:val="tx1"/>
            </w14:solidFill>
          </w14:textFill>
        </w:rPr>
        <w:t>in Video</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w:t>
      </w:r>
      <w:r>
        <w:rPr>
          <w:rFonts w:hint="eastAsia" w:ascii="Times New Roman" w:hAnsi="Times New Roman" w:cs="Times New Roman"/>
          <w:color w:val="000000" w:themeColor="text1"/>
          <w:sz w:val="20"/>
          <w:szCs w:val="20"/>
          <w14:textFill>
            <w14:solidFill>
              <w14:schemeClr w14:val="tx1"/>
            </w14:solidFill>
          </w14:textFill>
        </w:rPr>
        <w:t>S3</w:t>
      </w:r>
      <w:r>
        <w:rPr>
          <w:rFonts w:hint="eastAsia" w:ascii="Times New Roman" w:hAnsi="Times New Roman" w:cs="Times New Roman"/>
          <w:color w:val="000000" w:themeColor="text1"/>
          <w:sz w:val="20"/>
          <w:szCs w:val="20"/>
          <w:lang w:val="en-US" w:eastAsia="zh-CN"/>
          <w14:textFill>
            <w14:solidFill>
              <w14:schemeClr w14:val="tx1"/>
            </w14:solidFill>
          </w14:textFill>
        </w:rPr>
        <w:t>&amp;4.</w:t>
      </w:r>
    </w:p>
    <w:p w14:paraId="1A53F7BB">
      <w:pPr>
        <w:spacing w:line="480" w:lineRule="auto"/>
        <w:jc w:val="center"/>
        <w:rPr>
          <w:rFonts w:hint="eastAsia" w:ascii="Times New Roman" w:hAnsi="Times New Roman" w:cs="Times New Roman" w:eastAsiaTheme="minorEastAsia"/>
          <w:color w:val="000000" w:themeColor="text1"/>
          <w:sz w:val="20"/>
          <w:szCs w:val="20"/>
          <w:lang w:eastAsia="zh-CN"/>
          <w14:textFill>
            <w14:solidFill>
              <w14:schemeClr w14:val="tx1"/>
            </w14:solidFill>
          </w14:textFill>
        </w:rPr>
      </w:pPr>
      <w:r>
        <w:rPr>
          <w:rFonts w:hint="eastAsia" w:ascii="Times New Roman" w:hAnsi="Times New Roman" w:cs="Times New Roman" w:eastAsiaTheme="minorEastAsia"/>
          <w:color w:val="000000" w:themeColor="text1"/>
          <w:sz w:val="20"/>
          <w:szCs w:val="20"/>
          <w:lang w:eastAsia="zh-CN"/>
          <w14:textFill>
            <w14:solidFill>
              <w14:schemeClr w14:val="tx1"/>
            </w14:solidFill>
          </w14:textFill>
        </w:rPr>
        <w:drawing>
          <wp:inline distT="0" distB="0" distL="114300" distR="114300">
            <wp:extent cx="4342130" cy="4338320"/>
            <wp:effectExtent l="0" t="0" r="1270" b="5080"/>
            <wp:docPr id="1" name="图片 1"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S1"/>
                    <pic:cNvPicPr>
                      <a:picLocks noChangeAspect="1"/>
                    </pic:cNvPicPr>
                  </pic:nvPicPr>
                  <pic:blipFill>
                    <a:blip r:embed="rId5"/>
                    <a:stretch>
                      <a:fillRect/>
                    </a:stretch>
                  </pic:blipFill>
                  <pic:spPr>
                    <a:xfrm>
                      <a:off x="0" y="0"/>
                      <a:ext cx="4342130" cy="4338320"/>
                    </a:xfrm>
                    <a:prstGeom prst="rect">
                      <a:avLst/>
                    </a:prstGeom>
                  </pic:spPr>
                </pic:pic>
              </a:graphicData>
            </a:graphic>
          </wp:inline>
        </w:drawing>
      </w:r>
    </w:p>
    <w:p w14:paraId="794FBBE3">
      <w:pPr>
        <w:spacing w:line="480" w:lineRule="auto"/>
        <w:rPr>
          <w:rFonts w:hint="eastAsia" w:ascii="Times New Roman" w:hAnsi="Times New Roman" w:cs="Times New Roman" w:eastAsiaTheme="minorEastAsia"/>
          <w:color w:val="000000" w:themeColor="text1"/>
          <w:sz w:val="18"/>
          <w:szCs w:val="18"/>
          <w:lang w:val="en-US" w:eastAsia="zh-CN"/>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Fig.</w:t>
      </w:r>
      <w:r>
        <w:rPr>
          <w:rFonts w:hint="default" w:ascii="Times New Roman" w:hAnsi="Times New Roman" w:cs="Times New Roman"/>
          <w:b/>
          <w:bCs/>
          <w:color w:val="000000" w:themeColor="text1"/>
          <w:sz w:val="18"/>
          <w:szCs w:val="18"/>
          <w:lang w:val="en-US" w:eastAsia="zh-CN"/>
          <w14:textFill>
            <w14:solidFill>
              <w14:schemeClr w14:val="tx1"/>
            </w14:solidFill>
          </w14:textFill>
        </w:rPr>
        <w:t xml:space="preserve"> S1</w:t>
      </w:r>
      <w:r>
        <w:rPr>
          <w:rFonts w:hint="default" w:ascii="Times New Roman" w:hAnsi="Times New Roman" w:cs="Times New Roman"/>
          <w:b/>
          <w:bCs/>
          <w:color w:val="000000" w:themeColor="text1"/>
          <w:sz w:val="18"/>
          <w:szCs w:val="18"/>
          <w14:textFill>
            <w14:solidFill>
              <w14:schemeClr w14:val="tx1"/>
            </w14:solidFill>
          </w14:textFill>
        </w:rPr>
        <w:t>.</w:t>
      </w:r>
      <w:r>
        <w:rPr>
          <w:rFonts w:hint="default" w:ascii="Times New Roman" w:hAnsi="Times New Roman" w:cs="Times New Roman"/>
          <w:color w:val="000000" w:themeColor="text1"/>
          <w:sz w:val="18"/>
          <w:szCs w:val="18"/>
          <w14:textFill>
            <w14:solidFill>
              <w14:schemeClr w14:val="tx1"/>
            </w14:solidFill>
          </w14:textFill>
        </w:rPr>
        <w:t xml:space="preserve"> </w:t>
      </w:r>
      <w:r>
        <w:rPr>
          <w:rFonts w:hint="eastAsia" w:ascii="Times New Roman" w:hAnsi="Times New Roman" w:cs="Times New Roman"/>
          <w:color w:val="000000" w:themeColor="text1"/>
          <w:sz w:val="18"/>
          <w:szCs w:val="18"/>
          <w:lang w:val="en-US" w:eastAsia="zh-CN"/>
          <w14:textFill>
            <w14:solidFill>
              <w14:schemeClr w14:val="tx1"/>
            </w14:solidFill>
          </w14:textFill>
        </w:rPr>
        <w:t>V</w:t>
      </w:r>
      <w:r>
        <w:rPr>
          <w:rFonts w:hint="eastAsia" w:ascii="Times New Roman" w:hAnsi="Times New Roman" w:cs="Times New Roman"/>
          <w:color w:val="000000" w:themeColor="text1"/>
          <w:sz w:val="20"/>
          <w:szCs w:val="20"/>
          <w:lang w:val="en-US" w:eastAsia="zh-CN"/>
          <w14:textFill>
            <w14:solidFill>
              <w14:schemeClr w14:val="tx1"/>
            </w14:solidFill>
          </w14:textFill>
        </w:rPr>
        <w:t>arious mechanical effects of Co-axial shock on bubble evolution both in single and double molten track</w:t>
      </w:r>
      <w:r>
        <w:rPr>
          <w:rFonts w:hint="eastAsia" w:ascii="Times New Roman" w:hAnsi="Times New Roman" w:cs="Times New Roman"/>
          <w:color w:val="000000" w:themeColor="text1"/>
          <w:sz w:val="18"/>
          <w:szCs w:val="18"/>
          <w:lang w:val="en-US" w:eastAsia="zh-CN"/>
          <w14:textFill>
            <w14:solidFill>
              <w14:schemeClr w14:val="tx1"/>
            </w14:solidFill>
          </w14:textFill>
        </w:rPr>
        <w:t>.</w:t>
      </w:r>
    </w:p>
    <w:p w14:paraId="2206DDBB">
      <w:pPr>
        <w:numPr>
          <w:ilvl w:val="0"/>
          <w:numId w:val="1"/>
        </w:numPr>
        <w:spacing w:line="480" w:lineRule="auto"/>
        <w:ind w:left="201" w:leftChars="0" w:hanging="201" w:hangingChars="100"/>
        <w:rPr>
          <w:rFonts w:hint="default" w:ascii="Times New Roman" w:hAnsi="Times New Roman" w:cs="Times New Roman"/>
          <w:b/>
          <w:bCs/>
          <w:color w:val="000000" w:themeColor="text1"/>
          <w:sz w:val="20"/>
          <w:lang w:val="en-US" w:eastAsia="zh-CN"/>
          <w14:textFill>
            <w14:solidFill>
              <w14:schemeClr w14:val="tx1"/>
            </w14:solidFill>
          </w14:textFill>
        </w:rPr>
      </w:pPr>
      <w:r>
        <w:rPr>
          <w:rFonts w:hint="default" w:ascii="Times New Roman" w:hAnsi="Times New Roman" w:cs="Times New Roman"/>
          <w:b/>
          <w:bCs/>
          <w:color w:val="000000" w:themeColor="text1"/>
          <w:sz w:val="20"/>
          <w:lang w:val="en-US" w:eastAsia="zh-CN"/>
          <w14:textFill>
            <w14:solidFill>
              <w14:schemeClr w14:val="tx1"/>
            </w14:solidFill>
          </w14:textFill>
        </w:rPr>
        <w:t xml:space="preserve">Pores distribution under the </w:t>
      </w:r>
      <w:r>
        <w:rPr>
          <w:rFonts w:hint="eastAsia" w:ascii="Times New Roman" w:hAnsi="Times New Roman" w:cs="Times New Roman"/>
          <w:b/>
          <w:bCs/>
          <w:color w:val="000000" w:themeColor="text1"/>
          <w:sz w:val="20"/>
          <w:lang w:val="en-US" w:eastAsia="zh-CN"/>
          <w14:textFill>
            <w14:solidFill>
              <w14:schemeClr w14:val="tx1"/>
            </w14:solidFill>
          </w14:textFill>
        </w:rPr>
        <w:t>C-shock and No C-shock</w:t>
      </w:r>
      <w:r>
        <w:rPr>
          <w:rFonts w:hint="default" w:ascii="Times New Roman" w:hAnsi="Times New Roman" w:cs="Times New Roman"/>
          <w:b/>
          <w:bCs/>
          <w:color w:val="000000" w:themeColor="text1"/>
          <w:sz w:val="20"/>
          <w:lang w:val="en-US" w:eastAsia="zh-CN"/>
          <w14:textFill>
            <w14:solidFill>
              <w14:schemeClr w14:val="tx1"/>
            </w14:solidFill>
          </w14:textFill>
        </w:rPr>
        <w:t xml:space="preserve"> processing </w:t>
      </w:r>
    </w:p>
    <w:p w14:paraId="5EE0E416">
      <w:pPr>
        <w:keepNext w:val="0"/>
        <w:keepLines w:val="0"/>
        <w:pageBreakBefore w:val="0"/>
        <w:widowControl w:val="0"/>
        <w:numPr>
          <w:ilvl w:val="0"/>
          <w:numId w:val="0"/>
        </w:numPr>
        <w:kinsoku/>
        <w:wordWrap/>
        <w:overflowPunct/>
        <w:topLinePunct w:val="0"/>
        <w:autoSpaceDE/>
        <w:autoSpaceDN/>
        <w:bidi w:val="0"/>
        <w:adjustRightInd/>
        <w:snapToGrid/>
        <w:spacing w:line="480" w:lineRule="auto"/>
        <w:ind w:leftChars="0" w:firstLine="400" w:firstLineChars="200"/>
        <w:textAlignment w:val="auto"/>
        <w:rPr>
          <w:rFonts w:hint="default" w:ascii="Times New Roman" w:hAnsi="Times New Roman" w:cs="Times New Roman"/>
          <w:b w:val="0"/>
          <w:bCs w:val="0"/>
          <w:color w:val="000000" w:themeColor="text1"/>
          <w:sz w:val="20"/>
          <w:lang w:val="en-US" w:eastAsia="zh-CN"/>
          <w14:textFill>
            <w14:solidFill>
              <w14:schemeClr w14:val="tx1"/>
            </w14:solidFill>
          </w14:textFill>
        </w:rPr>
      </w:pPr>
      <w:r>
        <w:rPr>
          <w:rFonts w:ascii="Times New Roman" w:hAnsi="Times New Roman" w:cs="Times New Roman"/>
          <w:color w:val="000000" w:themeColor="text1"/>
          <w:sz w:val="20"/>
          <w:szCs w:val="20"/>
          <w14:textFill>
            <w14:solidFill>
              <w14:schemeClr w14:val="tx1"/>
            </w14:solidFill>
          </w14:textFill>
        </w:rPr>
        <w:t xml:space="preserve">For each printed sample, the same size of 3000 × 4000 × 1000 μm is cut </w:t>
      </w:r>
      <w:r>
        <w:rPr>
          <w:rFonts w:hint="eastAsia" w:ascii="Times New Roman" w:hAnsi="Times New Roman" w:cs="Times New Roman"/>
          <w:color w:val="000000" w:themeColor="text1"/>
          <w:sz w:val="20"/>
          <w:szCs w:val="20"/>
          <w14:textFill>
            <w14:solidFill>
              <w14:schemeClr w14:val="tx1"/>
            </w14:solidFill>
          </w14:textFill>
        </w:rPr>
        <w:t>to count the porosity</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as shown in Fig. S2(a)</w:t>
      </w:r>
      <w:r>
        <w:rPr>
          <w:rFonts w:ascii="Times New Roman" w:hAnsi="Times New Roman" w:cs="Times New Roman"/>
          <w:color w:val="000000" w:themeColor="text1"/>
          <w:sz w:val="20"/>
          <w:szCs w:val="20"/>
          <w14:textFill>
            <w14:solidFill>
              <w14:schemeClr w14:val="tx1"/>
            </w14:solidFill>
          </w14:textFill>
        </w:rPr>
        <w:t>.</w:t>
      </w:r>
      <w:r>
        <w:rPr>
          <w:rFonts w:hint="eastAsia" w:ascii="Times New Roman" w:hAnsi="Times New Roman" w:cs="Times New Roman"/>
          <w:color w:val="000000" w:themeColor="text1"/>
          <w:sz w:val="20"/>
          <w:szCs w:val="20"/>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Under </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the No </w:t>
      </w:r>
      <w:r>
        <w:rPr>
          <w:rFonts w:hint="eastAsia" w:ascii="Times New Roman" w:hAnsi="Times New Roman" w:cs="Times New Roman"/>
          <w:color w:val="000000" w:themeColor="text1"/>
          <w:sz w:val="20"/>
          <w:szCs w:val="20"/>
          <w:lang w:val="en-US" w:eastAsia="zh-CN"/>
          <w14:textFill>
            <w14:solidFill>
              <w14:schemeClr w14:val="tx1"/>
            </w14:solidFill>
          </w14:textFill>
        </w:rPr>
        <w:t>C</w:t>
      </w:r>
      <w:r>
        <w:rPr>
          <w:rFonts w:hint="eastAsia" w:ascii="Times New Roman" w:hAnsi="Times New Roman" w:cs="Times New Roman"/>
          <w:color w:val="000000" w:themeColor="text1"/>
          <w:sz w:val="20"/>
          <w:szCs w:val="20"/>
          <w14:textFill>
            <w14:solidFill>
              <w14:schemeClr w14:val="tx1"/>
            </w14:solidFill>
          </w14:textFill>
        </w:rPr>
        <w:t>o-axial</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w:t>
      </w:r>
      <w:r>
        <w:rPr>
          <w:rFonts w:hint="eastAsia" w:ascii="Times New Roman" w:hAnsi="Times New Roman" w:cs="Times New Roman"/>
          <w:b w:val="0"/>
          <w:bCs w:val="0"/>
          <w:color w:val="000000" w:themeColor="text1"/>
          <w:sz w:val="20"/>
          <w:lang w:val="en-US" w:eastAsia="zh-CN"/>
          <w14:textFill>
            <w14:solidFill>
              <w14:schemeClr w14:val="tx1"/>
            </w14:solidFill>
          </w14:textFill>
        </w:rPr>
        <w:t>shock</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 processing conditions, the porosity decreases from 3.58%, 1.06%, 0.59%</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0.1115%</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to 0.0510%</w:t>
      </w:r>
      <w:r>
        <w:rPr>
          <w:rFonts w:hint="default" w:ascii="Times New Roman" w:hAnsi="Times New Roman" w:cs="Times New Roman"/>
          <w:b w:val="0"/>
          <w:bCs w:val="0"/>
          <w:color w:val="000000" w:themeColor="text1"/>
          <w:sz w:val="20"/>
          <w:lang w:val="en-US" w:eastAsia="zh-CN"/>
          <w14:textFill>
            <w14:solidFill>
              <w14:schemeClr w14:val="tx1"/>
            </w14:solidFill>
          </w14:textFill>
        </w:rPr>
        <w:t>, as the CL power raised gradually from 140</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W to 1</w:t>
      </w:r>
      <w:r>
        <w:rPr>
          <w:rFonts w:hint="eastAsia" w:ascii="Times New Roman" w:hAnsi="Times New Roman" w:cs="Times New Roman"/>
          <w:b w:val="0"/>
          <w:bCs w:val="0"/>
          <w:color w:val="000000" w:themeColor="text1"/>
          <w:sz w:val="20"/>
          <w:lang w:val="en-US" w:eastAsia="zh-CN"/>
          <w14:textFill>
            <w14:solidFill>
              <w14:schemeClr w14:val="tx1"/>
            </w14:solidFill>
          </w14:textFill>
        </w:rPr>
        <w:t>8</w:t>
      </w:r>
      <w:r>
        <w:rPr>
          <w:rFonts w:hint="default" w:ascii="Times New Roman" w:hAnsi="Times New Roman" w:cs="Times New Roman"/>
          <w:b w:val="0"/>
          <w:bCs w:val="0"/>
          <w:color w:val="000000" w:themeColor="text1"/>
          <w:sz w:val="20"/>
          <w:lang w:val="en-US" w:eastAsia="zh-CN"/>
          <w14:textFill>
            <w14:solidFill>
              <w14:schemeClr w14:val="tx1"/>
            </w14:solidFill>
          </w14:textFill>
        </w:rPr>
        <w:t>0</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W.</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eastAsia" w:ascii="Times New Roman" w:hAnsi="Times New Roman" w:cs="Times New Roman"/>
          <w:color w:val="000000" w:themeColor="text1"/>
          <w:sz w:val="20"/>
          <w:szCs w:val="20"/>
          <w14:textFill>
            <w14:solidFill>
              <w14:schemeClr w14:val="tx1"/>
            </w14:solidFill>
          </w14:textFill>
        </w:rPr>
        <w:t>Associated</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 numbers of pores are 4435, 2079, 2732</w:t>
      </w:r>
      <w:r>
        <w:rPr>
          <w:rFonts w:hint="eastAsia" w:ascii="Times New Roman" w:hAnsi="Times New Roman" w:cs="Times New Roman"/>
          <w:b w:val="0"/>
          <w:bCs w:val="0"/>
          <w:color w:val="000000" w:themeColor="text1"/>
          <w:sz w:val="20"/>
          <w:lang w:val="en-US" w:eastAsia="zh-CN"/>
          <w14:textFill>
            <w14:solidFill>
              <w14:schemeClr w14:val="tx1"/>
            </w14:solidFill>
          </w14:textFill>
        </w:rPr>
        <w:t>,</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 870 </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and 440 </w:t>
      </w:r>
      <w:r>
        <w:rPr>
          <w:rFonts w:hint="default" w:ascii="Times New Roman" w:hAnsi="Times New Roman" w:cs="Times New Roman"/>
          <w:b w:val="0"/>
          <w:bCs w:val="0"/>
          <w:color w:val="000000" w:themeColor="text1"/>
          <w:sz w:val="20"/>
          <w:lang w:val="en-US" w:eastAsia="zh-CN"/>
          <w14:textFill>
            <w14:solidFill>
              <w14:schemeClr w14:val="tx1"/>
            </w14:solidFill>
          </w14:textFill>
        </w:rPr>
        <w:t>respectively</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At the lower </w:t>
      </w:r>
      <w:r>
        <w:rPr>
          <w:rFonts w:hint="default" w:ascii="Times New Roman" w:hAnsi="Times New Roman" w:cs="Times New Roman"/>
          <w:b w:val="0"/>
          <w:bCs w:val="0"/>
          <w:color w:val="000000" w:themeColor="text1"/>
          <w:sz w:val="20"/>
          <w:lang w:val="en-US" w:eastAsia="zh-CN"/>
          <w14:textFill>
            <w14:solidFill>
              <w14:schemeClr w14:val="tx1"/>
            </w14:solidFill>
          </w14:textFill>
        </w:rPr>
        <w:t>CL power</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of 140 W, 150 W and 160 W, the powder does not fully melt into a uniform liquid state. This leads to different types of unfused and gas-trapped pores appear inside the sample </w:t>
      </w:r>
      <w:r>
        <w:rPr>
          <w:rFonts w:hint="eastAsia" w:ascii="Times New Roman" w:hAnsi="Times New Roman" w:cs="Times New Roman"/>
          <w:color w:val="000000" w:themeColor="text1"/>
          <w:sz w:val="20"/>
          <w:szCs w:val="20"/>
          <w:lang w:val="en-US" w:eastAsia="zh-CN"/>
          <w14:textFill>
            <w14:solidFill>
              <w14:schemeClr w14:val="tx1"/>
            </w14:solidFill>
          </w14:textFill>
        </w:rPr>
        <w:t>as shown in Fig. S2(b)-(d)</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The proportion of unfused pores is small, but their volume is large. Maximum volume of unfused pores with a flat shape </w:t>
      </w:r>
      <w:r>
        <w:rPr>
          <w:rFonts w:hint="eastAsia" w:ascii="Times New Roman" w:hAnsi="Times New Roman" w:cs="Times New Roman"/>
          <w:color w:val="000000" w:themeColor="text1"/>
          <w:sz w:val="20"/>
          <w:szCs w:val="20"/>
          <w:lang w:val="en-US" w:eastAsia="zh-CN"/>
          <w14:textFill>
            <w14:solidFill>
              <w14:schemeClr w14:val="tx1"/>
            </w14:solidFill>
          </w14:textFill>
        </w:rPr>
        <w:t>as shown in Fig. S2(b)</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reaches </w:t>
      </w:r>
      <w:r>
        <w:rPr>
          <w:rFonts w:hint="eastAsia" w:ascii="Times New Roman" w:hAnsi="Times New Roman" w:cs="Times New Roman"/>
          <w:color w:val="000000" w:themeColor="text1"/>
          <w:sz w:val="20"/>
          <w:szCs w:val="20"/>
          <w:lang w:val="en-US" w:eastAsia="zh-CN"/>
          <w14:textFill>
            <w14:solidFill>
              <w14:schemeClr w14:val="tx1"/>
            </w14:solidFill>
          </w14:textFill>
        </w:rPr>
        <w:t>64.65</w:t>
      </w:r>
      <w:r>
        <w:rPr>
          <w:rFonts w:hint="eastAsia" w:ascii="Times New Roman" w:hAnsi="Times New Roman" w:cs="Times New Roman"/>
          <w:color w:val="000000" w:themeColor="text1"/>
          <w:sz w:val="20"/>
          <w:szCs w:val="20"/>
          <w14:textFill>
            <w14:solidFill>
              <w14:schemeClr w14:val="tx1"/>
            </w14:solidFill>
          </w14:textFill>
        </w:rPr>
        <w:t xml:space="preserve"> </w:t>
      </w:r>
      <w:r>
        <w:rPr>
          <w:rFonts w:ascii="Times New Roman" w:hAnsi="Times New Roman" w:cs="Times New Roman"/>
          <w:color w:val="000000" w:themeColor="text1"/>
          <w:sz w:val="20"/>
          <w:szCs w:val="20"/>
          <w14:textFill>
            <w14:solidFill>
              <w14:schemeClr w14:val="tx1"/>
            </w14:solidFill>
          </w14:textFill>
        </w:rPr>
        <w:t>× 10</w:t>
      </w:r>
      <w:r>
        <w:rPr>
          <w:rFonts w:hint="eastAsia" w:ascii="Times New Roman" w:hAnsi="Times New Roman" w:cs="Times New Roman"/>
          <w:color w:val="000000" w:themeColor="text1"/>
          <w:sz w:val="20"/>
          <w:szCs w:val="20"/>
          <w:vertAlign w:val="superscript"/>
          <w14:textFill>
            <w14:solidFill>
              <w14:schemeClr w14:val="tx1"/>
            </w14:solidFill>
          </w14:textFill>
        </w:rPr>
        <w:t>5</w:t>
      </w:r>
      <w:r>
        <w:rPr>
          <w:rFonts w:ascii="Times New Roman" w:hAnsi="Times New Roman" w:cs="Times New Roman"/>
          <w:color w:val="000000" w:themeColor="text1"/>
          <w:sz w:val="20"/>
          <w:szCs w:val="20"/>
          <w14:textFill>
            <w14:solidFill>
              <w14:schemeClr w14:val="tx1"/>
            </w14:solidFill>
          </w14:textFill>
        </w:rPr>
        <w:t xml:space="preserve"> μm</w:t>
      </w:r>
      <w:r>
        <w:rPr>
          <w:rFonts w:ascii="Times New Roman" w:hAnsi="Times New Roman" w:cs="Times New Roman"/>
          <w:color w:val="000000" w:themeColor="text1"/>
          <w:sz w:val="20"/>
          <w:szCs w:val="20"/>
          <w:vertAlign w:val="superscript"/>
          <w14:textFill>
            <w14:solidFill>
              <w14:schemeClr w14:val="tx1"/>
            </w14:solidFill>
          </w14:textFill>
        </w:rPr>
        <w:t>3</w:t>
      </w:r>
      <w:r>
        <w:rPr>
          <w:rFonts w:hint="eastAsia" w:ascii="Times New Roman" w:hAnsi="Times New Roman" w:cs="Times New Roman"/>
          <w:color w:val="000000" w:themeColor="text1"/>
          <w:sz w:val="20"/>
          <w:szCs w:val="20"/>
          <w:vertAlign w:val="baseline"/>
          <w:lang w:val="en-US" w:eastAsia="zh-CN"/>
          <w14:textFill>
            <w14:solidFill>
              <w14:schemeClr w14:val="tx1"/>
            </w14:solidFill>
          </w14:textFill>
        </w:rPr>
        <w:t xml:space="preserve">. Smaller gas-trapped pores concentrate in the dense area </w:t>
      </w:r>
      <w:r>
        <w:rPr>
          <w:rFonts w:hint="eastAsia" w:ascii="Times New Roman" w:hAnsi="Times New Roman" w:cs="Times New Roman"/>
          <w:color w:val="000000" w:themeColor="text1"/>
          <w:sz w:val="20"/>
          <w:szCs w:val="20"/>
          <w:lang w:val="en-US" w:eastAsia="zh-CN"/>
          <w14:textFill>
            <w14:solidFill>
              <w14:schemeClr w14:val="tx1"/>
            </w14:solidFill>
          </w14:textFill>
        </w:rPr>
        <w:t>as shown in Fig. S2(b)-(d)</w:t>
      </w:r>
      <w:r>
        <w:rPr>
          <w:rFonts w:hint="eastAsia" w:ascii="Times New Roman" w:hAnsi="Times New Roman" w:cs="Times New Roman"/>
          <w:color w:val="000000" w:themeColor="text1"/>
          <w:sz w:val="20"/>
          <w:szCs w:val="20"/>
          <w:vertAlign w:val="baseline"/>
          <w:lang w:val="en-US" w:eastAsia="zh-CN"/>
          <w14:textFill>
            <w14:solidFill>
              <w14:schemeClr w14:val="tx1"/>
            </w14:solidFill>
          </w14:textFill>
        </w:rPr>
        <w:t xml:space="preserve">. The sphericity of these pores is close to 1, and they distribute in the sample unevenly. </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When the CL power raised to 170 W and 180 W, the type of pores is gas-trapped pores while the number decreases to 870 and 440 significantly </w:t>
      </w:r>
      <w:r>
        <w:rPr>
          <w:rFonts w:hint="eastAsia" w:ascii="Times New Roman" w:hAnsi="Times New Roman" w:cs="Times New Roman"/>
          <w:color w:val="000000" w:themeColor="text1"/>
          <w:sz w:val="20"/>
          <w:szCs w:val="20"/>
          <w:lang w:val="en-US" w:eastAsia="zh-CN"/>
          <w14:textFill>
            <w14:solidFill>
              <w14:schemeClr w14:val="tx1"/>
            </w14:solidFill>
          </w14:textFill>
        </w:rPr>
        <w:t>as shown in Fig. S2(e) and (f)</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The maximum volume of pores is </w:t>
      </w:r>
      <w:r>
        <w:rPr>
          <w:rFonts w:hint="eastAsia" w:ascii="Times New Roman" w:hAnsi="Times New Roman" w:cs="Times New Roman"/>
          <w:color w:val="000000" w:themeColor="text1"/>
          <w:sz w:val="20"/>
          <w:szCs w:val="20"/>
          <w:lang w:val="en-US" w:eastAsia="zh-CN"/>
          <w14:textFill>
            <w14:solidFill>
              <w14:schemeClr w14:val="tx1"/>
            </w14:solidFill>
          </w14:textFill>
        </w:rPr>
        <w:t>6.44</w:t>
      </w:r>
      <w:r>
        <w:rPr>
          <w:rFonts w:hint="eastAsia" w:ascii="Times New Roman" w:hAnsi="Times New Roman" w:cs="Times New Roman"/>
          <w:color w:val="000000" w:themeColor="text1"/>
          <w:sz w:val="20"/>
          <w:szCs w:val="20"/>
          <w14:textFill>
            <w14:solidFill>
              <w14:schemeClr w14:val="tx1"/>
            </w14:solidFill>
          </w14:textFill>
        </w:rPr>
        <w:t xml:space="preserve"> </w:t>
      </w:r>
      <w:r>
        <w:rPr>
          <w:rFonts w:ascii="Times New Roman" w:hAnsi="Times New Roman" w:cs="Times New Roman"/>
          <w:color w:val="000000" w:themeColor="text1"/>
          <w:sz w:val="20"/>
          <w:szCs w:val="20"/>
          <w14:textFill>
            <w14:solidFill>
              <w14:schemeClr w14:val="tx1"/>
            </w14:solidFill>
          </w14:textFill>
        </w:rPr>
        <w:t>× 10</w:t>
      </w:r>
      <w:r>
        <w:rPr>
          <w:rFonts w:hint="eastAsia" w:ascii="Times New Roman" w:hAnsi="Times New Roman" w:cs="Times New Roman"/>
          <w:color w:val="000000" w:themeColor="text1"/>
          <w:sz w:val="20"/>
          <w:szCs w:val="20"/>
          <w:vertAlign w:val="superscript"/>
          <w14:textFill>
            <w14:solidFill>
              <w14:schemeClr w14:val="tx1"/>
            </w14:solidFill>
          </w14:textFill>
        </w:rPr>
        <w:t>5</w:t>
      </w:r>
      <w:r>
        <w:rPr>
          <w:rFonts w:ascii="Times New Roman" w:hAnsi="Times New Roman" w:cs="Times New Roman"/>
          <w:color w:val="000000" w:themeColor="text1"/>
          <w:sz w:val="20"/>
          <w:szCs w:val="20"/>
          <w14:textFill>
            <w14:solidFill>
              <w14:schemeClr w14:val="tx1"/>
            </w14:solidFill>
          </w14:textFill>
        </w:rPr>
        <w:t xml:space="preserve"> μm</w:t>
      </w:r>
      <w:r>
        <w:rPr>
          <w:rFonts w:ascii="Times New Roman" w:hAnsi="Times New Roman" w:cs="Times New Roman"/>
          <w:color w:val="000000" w:themeColor="text1"/>
          <w:sz w:val="20"/>
          <w:szCs w:val="20"/>
          <w:vertAlign w:val="superscript"/>
          <w14:textFill>
            <w14:solidFill>
              <w14:schemeClr w14:val="tx1"/>
            </w14:solidFill>
          </w14:textFill>
        </w:rPr>
        <w:t>3</w:t>
      </w:r>
      <w:r>
        <w:rPr>
          <w:rFonts w:hint="eastAsia" w:ascii="Times New Roman" w:hAnsi="Times New Roman" w:cs="Times New Roman"/>
          <w:color w:val="000000" w:themeColor="text1"/>
          <w:sz w:val="20"/>
          <w:szCs w:val="20"/>
          <w:vertAlign w:val="baseline"/>
          <w:lang w:val="en-US" w:eastAsia="zh-CN"/>
          <w14:textFill>
            <w14:solidFill>
              <w14:schemeClr w14:val="tx1"/>
            </w14:solidFill>
          </w14:textFill>
        </w:rPr>
        <w:t xml:space="preserve"> and </w:t>
      </w:r>
      <w:r>
        <w:rPr>
          <w:rFonts w:hint="eastAsia" w:ascii="Times New Roman" w:hAnsi="Times New Roman" w:cs="Times New Roman"/>
          <w:color w:val="000000" w:themeColor="text1"/>
          <w:sz w:val="20"/>
          <w:szCs w:val="20"/>
          <w:lang w:val="en-US" w:eastAsia="zh-CN"/>
          <w14:textFill>
            <w14:solidFill>
              <w14:schemeClr w14:val="tx1"/>
            </w14:solidFill>
          </w14:textFill>
        </w:rPr>
        <w:t>1.89</w:t>
      </w:r>
      <w:r>
        <w:rPr>
          <w:rFonts w:hint="eastAsia" w:ascii="Times New Roman" w:hAnsi="Times New Roman" w:cs="Times New Roman"/>
          <w:color w:val="000000" w:themeColor="text1"/>
          <w:sz w:val="20"/>
          <w:szCs w:val="20"/>
          <w14:textFill>
            <w14:solidFill>
              <w14:schemeClr w14:val="tx1"/>
            </w14:solidFill>
          </w14:textFill>
        </w:rPr>
        <w:t xml:space="preserve"> </w:t>
      </w:r>
      <w:r>
        <w:rPr>
          <w:rFonts w:ascii="Times New Roman" w:hAnsi="Times New Roman" w:cs="Times New Roman"/>
          <w:color w:val="000000" w:themeColor="text1"/>
          <w:sz w:val="20"/>
          <w:szCs w:val="20"/>
          <w14:textFill>
            <w14:solidFill>
              <w14:schemeClr w14:val="tx1"/>
            </w14:solidFill>
          </w14:textFill>
        </w:rPr>
        <w:t>× 10</w:t>
      </w:r>
      <w:r>
        <w:rPr>
          <w:rFonts w:hint="eastAsia" w:ascii="Times New Roman" w:hAnsi="Times New Roman" w:cs="Times New Roman"/>
          <w:color w:val="000000" w:themeColor="text1"/>
          <w:sz w:val="20"/>
          <w:szCs w:val="20"/>
          <w:vertAlign w:val="superscript"/>
          <w14:textFill>
            <w14:solidFill>
              <w14:schemeClr w14:val="tx1"/>
            </w14:solidFill>
          </w14:textFill>
        </w:rPr>
        <w:t>5</w:t>
      </w:r>
      <w:r>
        <w:rPr>
          <w:rFonts w:ascii="Times New Roman" w:hAnsi="Times New Roman" w:cs="Times New Roman"/>
          <w:color w:val="000000" w:themeColor="text1"/>
          <w:sz w:val="20"/>
          <w:szCs w:val="20"/>
          <w14:textFill>
            <w14:solidFill>
              <w14:schemeClr w14:val="tx1"/>
            </w14:solidFill>
          </w14:textFill>
        </w:rPr>
        <w:t xml:space="preserve"> μm</w:t>
      </w:r>
      <w:r>
        <w:rPr>
          <w:rFonts w:ascii="Times New Roman" w:hAnsi="Times New Roman" w:cs="Times New Roman"/>
          <w:color w:val="000000" w:themeColor="text1"/>
          <w:sz w:val="20"/>
          <w:szCs w:val="20"/>
          <w:vertAlign w:val="superscript"/>
          <w14:textFill>
            <w14:solidFill>
              <w14:schemeClr w14:val="tx1"/>
            </w14:solidFill>
          </w14:textFill>
        </w:rPr>
        <w:t>3</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separately lower than that of unfused pores.</w:t>
      </w:r>
    </w:p>
    <w:p w14:paraId="691A5A51">
      <w:pPr>
        <w:keepNext w:val="0"/>
        <w:keepLines w:val="0"/>
        <w:pageBreakBefore w:val="0"/>
        <w:widowControl w:val="0"/>
        <w:numPr>
          <w:ilvl w:val="0"/>
          <w:numId w:val="0"/>
        </w:numPr>
        <w:kinsoku/>
        <w:wordWrap/>
        <w:overflowPunct/>
        <w:topLinePunct w:val="0"/>
        <w:autoSpaceDE/>
        <w:autoSpaceDN/>
        <w:bidi w:val="0"/>
        <w:adjustRightInd/>
        <w:snapToGrid/>
        <w:spacing w:line="480" w:lineRule="auto"/>
        <w:jc w:val="center"/>
        <w:textAlignment w:val="auto"/>
        <w:rPr>
          <w:rFonts w:hint="default" w:ascii="Times New Roman" w:hAnsi="Times New Roman" w:cs="Times New Roman"/>
          <w:b w:val="0"/>
          <w:bCs w:val="0"/>
          <w:color w:val="000000" w:themeColor="text1"/>
          <w:sz w:val="20"/>
          <w:lang w:val="en-US" w:eastAsia="zh-CN"/>
          <w14:textFill>
            <w14:solidFill>
              <w14:schemeClr w14:val="tx1"/>
            </w14:solidFill>
          </w14:textFill>
        </w:rPr>
      </w:pPr>
      <w:r>
        <w:rPr>
          <w:rFonts w:hint="default" w:ascii="Times New Roman" w:hAnsi="Times New Roman" w:cs="Times New Roman"/>
          <w:b w:val="0"/>
          <w:bCs w:val="0"/>
          <w:color w:val="000000" w:themeColor="text1"/>
          <w:sz w:val="20"/>
          <w:lang w:val="en-US" w:eastAsia="zh-CN"/>
          <w14:textFill>
            <w14:solidFill>
              <w14:schemeClr w14:val="tx1"/>
            </w14:solidFill>
          </w14:textFill>
        </w:rPr>
        <w:drawing>
          <wp:inline distT="0" distB="0" distL="114300" distR="114300">
            <wp:extent cx="5029835" cy="4278630"/>
            <wp:effectExtent l="0" t="0" r="14605" b="3810"/>
            <wp:docPr id="4" name="图片 4" descr="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2"/>
                    <pic:cNvPicPr>
                      <a:picLocks noChangeAspect="1"/>
                    </pic:cNvPicPr>
                  </pic:nvPicPr>
                  <pic:blipFill>
                    <a:blip r:embed="rId6"/>
                    <a:stretch>
                      <a:fillRect/>
                    </a:stretch>
                  </pic:blipFill>
                  <pic:spPr>
                    <a:xfrm>
                      <a:off x="0" y="0"/>
                      <a:ext cx="5029835" cy="4278630"/>
                    </a:xfrm>
                    <a:prstGeom prst="rect">
                      <a:avLst/>
                    </a:prstGeom>
                  </pic:spPr>
                </pic:pic>
              </a:graphicData>
            </a:graphic>
          </wp:inline>
        </w:drawing>
      </w:r>
    </w:p>
    <w:p w14:paraId="1863EB5F">
      <w:pPr>
        <w:spacing w:line="480" w:lineRule="auto"/>
        <w:rPr>
          <w:rFonts w:hint="eastAsia"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Fig.</w:t>
      </w:r>
      <w:r>
        <w:rPr>
          <w:rFonts w:hint="default" w:ascii="Times New Roman" w:hAnsi="Times New Roman" w:cs="Times New Roman"/>
          <w:b/>
          <w:bCs/>
          <w:color w:val="000000" w:themeColor="text1"/>
          <w:sz w:val="18"/>
          <w:szCs w:val="18"/>
          <w:lang w:val="en-US" w:eastAsia="zh-CN"/>
          <w14:textFill>
            <w14:solidFill>
              <w14:schemeClr w14:val="tx1"/>
            </w14:solidFill>
          </w14:textFill>
        </w:rPr>
        <w:t xml:space="preserve"> S</w:t>
      </w:r>
      <w:r>
        <w:rPr>
          <w:rFonts w:hint="eastAsia" w:ascii="Times New Roman" w:hAnsi="Times New Roman" w:cs="Times New Roman"/>
          <w:b/>
          <w:bCs/>
          <w:color w:val="000000" w:themeColor="text1"/>
          <w:sz w:val="18"/>
          <w:szCs w:val="18"/>
          <w:lang w:val="en-US" w:eastAsia="zh-CN"/>
          <w14:textFill>
            <w14:solidFill>
              <w14:schemeClr w14:val="tx1"/>
            </w14:solidFill>
          </w14:textFill>
        </w:rPr>
        <w:t>2</w:t>
      </w:r>
      <w:r>
        <w:rPr>
          <w:rFonts w:hint="default" w:ascii="Times New Roman" w:hAnsi="Times New Roman" w:cs="Times New Roman"/>
          <w:b/>
          <w:bCs/>
          <w:color w:val="000000" w:themeColor="text1"/>
          <w:sz w:val="18"/>
          <w:szCs w:val="18"/>
          <w14:textFill>
            <w14:solidFill>
              <w14:schemeClr w14:val="tx1"/>
            </w14:solidFill>
          </w14:textFill>
        </w:rPr>
        <w:t>.</w:t>
      </w:r>
      <w:r>
        <w:rPr>
          <w:rFonts w:hint="default" w:ascii="Times New Roman" w:hAnsi="Times New Roman" w:cs="Times New Roman"/>
          <w:color w:val="000000" w:themeColor="text1"/>
          <w:sz w:val="18"/>
          <w:szCs w:val="18"/>
          <w14:textFill>
            <w14:solidFill>
              <w14:schemeClr w14:val="tx1"/>
            </w14:solidFill>
          </w14:textFill>
        </w:rPr>
        <w:t xml:space="preserve"> 3D rendered pores model </w:t>
      </w:r>
      <w:r>
        <w:rPr>
          <w:rFonts w:hint="eastAsia" w:ascii="Times New Roman" w:hAnsi="Times New Roman" w:cs="Times New Roman"/>
          <w:color w:val="000000" w:themeColor="text1"/>
          <w:sz w:val="18"/>
          <w:szCs w:val="18"/>
          <w:lang w:val="en-US" w:eastAsia="zh-CN"/>
          <w14:textFill>
            <w14:solidFill>
              <w14:schemeClr w14:val="tx1"/>
            </w14:solidFill>
          </w14:textFill>
        </w:rPr>
        <w:t>and</w:t>
      </w:r>
      <w:r>
        <w:rPr>
          <w:rFonts w:hint="default" w:ascii="Times New Roman" w:hAnsi="Times New Roman" w:cs="Times New Roman"/>
          <w:color w:val="000000" w:themeColor="text1"/>
          <w:sz w:val="18"/>
          <w:szCs w:val="18"/>
          <w14:textFill>
            <w14:solidFill>
              <w14:schemeClr w14:val="tx1"/>
            </w14:solidFill>
          </w14:textFill>
        </w:rPr>
        <w:t xml:space="preserve"> distribution </w:t>
      </w:r>
      <w:r>
        <w:rPr>
          <w:rFonts w:hint="eastAsia" w:ascii="Times New Roman" w:hAnsi="Times New Roman" w:cs="Times New Roman"/>
          <w:color w:val="000000" w:themeColor="text1"/>
          <w:sz w:val="18"/>
          <w:szCs w:val="18"/>
          <w:lang w:val="en-US" w:eastAsia="zh-CN"/>
          <w14:textFill>
            <w14:solidFill>
              <w14:schemeClr w14:val="tx1"/>
            </w14:solidFill>
          </w14:textFill>
        </w:rPr>
        <w:t>in</w:t>
      </w:r>
      <w:r>
        <w:rPr>
          <w:rFonts w:hint="default" w:ascii="Times New Roman" w:hAnsi="Times New Roman" w:cs="Times New Roman"/>
          <w:color w:val="000000" w:themeColor="text1"/>
          <w:sz w:val="18"/>
          <w:szCs w:val="18"/>
          <w14:textFill>
            <w14:solidFill>
              <w14:schemeClr w14:val="tx1"/>
            </w14:solidFill>
          </w14:textFill>
        </w:rPr>
        <w:t xml:space="preserve"> the No </w:t>
      </w:r>
      <w:r>
        <w:rPr>
          <w:rFonts w:hint="eastAsia" w:ascii="Times New Roman" w:hAnsi="Times New Roman" w:cs="Times New Roman"/>
          <w:color w:val="000000" w:themeColor="text1"/>
          <w:sz w:val="18"/>
          <w:szCs w:val="18"/>
          <w:lang w:val="en-US" w:eastAsia="zh-CN"/>
          <w14:textFill>
            <w14:solidFill>
              <w14:schemeClr w14:val="tx1"/>
            </w14:solidFill>
          </w14:textFill>
        </w:rPr>
        <w:t>C</w:t>
      </w:r>
      <w:r>
        <w:rPr>
          <w:rFonts w:hint="default" w:ascii="Times New Roman" w:hAnsi="Times New Roman" w:cs="Times New Roman"/>
          <w:color w:val="000000" w:themeColor="text1"/>
          <w:sz w:val="18"/>
          <w:szCs w:val="18"/>
          <w14:textFill>
            <w14:solidFill>
              <w14:schemeClr w14:val="tx1"/>
            </w14:solidFill>
          </w14:textFill>
        </w:rPr>
        <w:t>o-axial processing: (</w:t>
      </w:r>
      <w:r>
        <w:rPr>
          <w:rFonts w:hint="eastAsia" w:ascii="Times New Roman" w:hAnsi="Times New Roman" w:cs="Times New Roman"/>
          <w:color w:val="000000" w:themeColor="text1"/>
          <w:sz w:val="18"/>
          <w:szCs w:val="18"/>
          <w:lang w:val="en-US" w:eastAsia="zh-CN"/>
          <w14:textFill>
            <w14:solidFill>
              <w14:schemeClr w14:val="tx1"/>
            </w14:solidFill>
          </w14:textFill>
        </w:rPr>
        <w:t>b</w:t>
      </w:r>
      <w:r>
        <w:rPr>
          <w:rFonts w:hint="default" w:ascii="Times New Roman" w:hAnsi="Times New Roman" w:cs="Times New Roman"/>
          <w:color w:val="000000" w:themeColor="text1"/>
          <w:sz w:val="18"/>
          <w:szCs w:val="18"/>
          <w14:textFill>
            <w14:solidFill>
              <w14:schemeClr w14:val="tx1"/>
            </w14:solidFill>
          </w14:textFill>
        </w:rPr>
        <w:t xml:space="preserve">) </w:t>
      </w:r>
      <w:r>
        <w:rPr>
          <w:rFonts w:hint="eastAsia" w:ascii="Times New Roman" w:hAnsi="Times New Roman" w:cs="Times New Roman"/>
          <w:color w:val="000000" w:themeColor="text1"/>
          <w:sz w:val="18"/>
          <w:szCs w:val="18"/>
          <w:lang w:val="en-US" w:eastAsia="zh-CN"/>
          <w14:textFill>
            <w14:solidFill>
              <w14:schemeClr w14:val="tx1"/>
            </w14:solidFill>
          </w14:textFill>
        </w:rPr>
        <w:t>140 W, (c) 150 W, (d) 160 W, (d) 170 W and (f) 180 W</w:t>
      </w:r>
      <w:r>
        <w:rPr>
          <w:rFonts w:hint="default" w:ascii="Times New Roman" w:hAnsi="Times New Roman" w:cs="Times New Roman"/>
          <w:color w:val="000000" w:themeColor="text1"/>
          <w:sz w:val="18"/>
          <w:szCs w:val="18"/>
          <w14:textFill>
            <w14:solidFill>
              <w14:schemeClr w14:val="tx1"/>
            </w14:solidFill>
          </w14:textFill>
        </w:rPr>
        <w:t>.</w:t>
      </w:r>
      <w:r>
        <w:rPr>
          <w:rFonts w:hint="eastAsia" w:ascii="Times New Roman" w:hAnsi="Times New Roman" w:cs="Times New Roman"/>
          <w:color w:val="000000" w:themeColor="text1"/>
          <w:sz w:val="18"/>
          <w:szCs w:val="18"/>
          <w:lang w:val="en-US" w:eastAsia="zh-CN"/>
          <w14:textFill>
            <w14:solidFill>
              <w14:schemeClr w14:val="tx1"/>
            </w14:solidFill>
          </w14:textFill>
        </w:rPr>
        <w:t xml:space="preserve"> </w:t>
      </w:r>
    </w:p>
    <w:p w14:paraId="5080A5D5">
      <w:pPr>
        <w:keepNext w:val="0"/>
        <w:keepLines w:val="0"/>
        <w:pageBreakBefore w:val="0"/>
        <w:widowControl w:val="0"/>
        <w:kinsoku/>
        <w:wordWrap/>
        <w:overflowPunct/>
        <w:topLinePunct w:val="0"/>
        <w:autoSpaceDE/>
        <w:autoSpaceDN/>
        <w:bidi w:val="0"/>
        <w:adjustRightInd/>
        <w:snapToGrid/>
        <w:spacing w:line="480" w:lineRule="auto"/>
        <w:ind w:firstLine="400" w:firstLineChars="200"/>
        <w:textAlignment w:val="auto"/>
        <w:rPr>
          <w:rFonts w:hint="eastAsia" w:ascii="Times New Roman" w:hAnsi="Times New Roman" w:cs="Times New Roman"/>
          <w:color w:val="000000" w:themeColor="text1"/>
          <w:sz w:val="20"/>
          <w:szCs w:val="20"/>
          <w:lang w:val="en-US" w:eastAsia="zh-CN"/>
          <w14:textFill>
            <w14:solidFill>
              <w14:schemeClr w14:val="tx1"/>
            </w14:solidFill>
          </w14:textFill>
        </w:rPr>
      </w:pPr>
      <w:r>
        <w:rPr>
          <w:rFonts w:hint="eastAsia" w:ascii="Times New Roman" w:hAnsi="Times New Roman" w:cs="Times New Roman"/>
          <w:color w:val="000000" w:themeColor="text1"/>
          <w:sz w:val="20"/>
          <w:szCs w:val="20"/>
          <w14:textFill>
            <w14:solidFill>
              <w14:schemeClr w14:val="tx1"/>
            </w14:solidFill>
          </w14:textFill>
        </w:rPr>
        <w:t xml:space="preserve">Although increasing </w:t>
      </w:r>
      <w:r>
        <w:rPr>
          <w:rFonts w:hint="eastAsia" w:ascii="Times New Roman" w:hAnsi="Times New Roman" w:cs="Times New Roman"/>
          <w:color w:val="000000" w:themeColor="text1"/>
          <w:sz w:val="20"/>
          <w:szCs w:val="20"/>
          <w:lang w:val="en-US" w:eastAsia="zh-CN"/>
          <w14:textFill>
            <w14:solidFill>
              <w14:schemeClr w14:val="tx1"/>
            </w14:solidFill>
          </w14:textFill>
        </w:rPr>
        <w:t>CL</w:t>
      </w:r>
      <w:r>
        <w:rPr>
          <w:rFonts w:hint="eastAsia" w:ascii="Times New Roman" w:hAnsi="Times New Roman" w:cs="Times New Roman"/>
          <w:color w:val="000000" w:themeColor="text1"/>
          <w:sz w:val="20"/>
          <w:szCs w:val="20"/>
          <w14:textFill>
            <w14:solidFill>
              <w14:schemeClr w14:val="tx1"/>
            </w14:solidFill>
          </w14:textFill>
        </w:rPr>
        <w:t xml:space="preserve"> power reduce </w:t>
      </w:r>
      <w:r>
        <w:rPr>
          <w:rFonts w:hint="eastAsia" w:ascii="Times New Roman" w:hAnsi="Times New Roman" w:cs="Times New Roman"/>
          <w:b w:val="0"/>
          <w:bCs w:val="0"/>
          <w:color w:val="000000" w:themeColor="text1"/>
          <w:sz w:val="20"/>
          <w:lang w:val="en-US" w:eastAsia="zh-CN"/>
          <w14:textFill>
            <w14:solidFill>
              <w14:schemeClr w14:val="tx1"/>
            </w14:solidFill>
          </w14:textFill>
        </w:rPr>
        <w:t>unfused</w:t>
      </w:r>
      <w:r>
        <w:rPr>
          <w:rFonts w:hint="eastAsia" w:ascii="Times New Roman" w:hAnsi="Times New Roman" w:cs="Times New Roman"/>
          <w:color w:val="000000" w:themeColor="text1"/>
          <w:sz w:val="20"/>
          <w:szCs w:val="20"/>
          <w14:textFill>
            <w14:solidFill>
              <w14:schemeClr w14:val="tx1"/>
            </w14:solidFill>
          </w14:textFill>
        </w:rPr>
        <w:t xml:space="preserve"> pores caused by insufficient melting, tiny </w:t>
      </w:r>
      <w:r>
        <w:rPr>
          <w:rFonts w:hint="eastAsia" w:ascii="Times New Roman" w:hAnsi="Times New Roman" w:cs="Times New Roman"/>
          <w:b w:val="0"/>
          <w:bCs w:val="0"/>
          <w:color w:val="000000" w:themeColor="text1"/>
          <w:sz w:val="20"/>
          <w:lang w:val="en-US" w:eastAsia="zh-CN"/>
          <w14:textFill>
            <w14:solidFill>
              <w14:schemeClr w14:val="tx1"/>
            </w14:solidFill>
          </w14:textFill>
        </w:rPr>
        <w:t>gas-trapped</w:t>
      </w:r>
      <w:r>
        <w:rPr>
          <w:rFonts w:hint="eastAsia" w:ascii="Times New Roman" w:hAnsi="Times New Roman" w:cs="Times New Roman"/>
          <w:color w:val="000000" w:themeColor="text1"/>
          <w:sz w:val="20"/>
          <w:szCs w:val="20"/>
          <w14:textFill>
            <w14:solidFill>
              <w14:schemeClr w14:val="tx1"/>
            </w14:solidFill>
          </w14:textFill>
        </w:rPr>
        <w:t xml:space="preserve"> pores still remain due to factors such as molten pool dynamics, keyhole collapse, and powder characteristics. Therefore, co-axial shock experiments with different pulsed laser</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w:t>
      </w:r>
      <w:r>
        <w:rPr>
          <w:rFonts w:hint="eastAsia" w:ascii="Times New Roman" w:hAnsi="Times New Roman" w:cs="Times New Roman"/>
          <w:color w:val="000000" w:themeColor="text1"/>
          <w:sz w:val="20"/>
          <w:szCs w:val="20"/>
          <w14:textFill>
            <w14:solidFill>
              <w14:schemeClr w14:val="tx1"/>
            </w14:solidFill>
          </w14:textFill>
        </w:rPr>
        <w:t xml:space="preserve">currents were investigated for CL powers of 170 W and 180 W. Fig. S3 and S4 show the pore statistics results under pulsed laser currents ranging from 7.5 A to 10 A, respectively. Compared with the </w:t>
      </w:r>
      <w:r>
        <w:rPr>
          <w:rFonts w:hint="eastAsia" w:ascii="Times New Roman" w:hAnsi="Times New Roman" w:cs="Times New Roman"/>
          <w:color w:val="000000" w:themeColor="text1"/>
          <w:sz w:val="20"/>
          <w:szCs w:val="20"/>
          <w:lang w:val="en-US" w:eastAsia="zh-CN"/>
          <w14:textFill>
            <w14:solidFill>
              <w14:schemeClr w14:val="tx1"/>
            </w14:solidFill>
          </w14:textFill>
        </w:rPr>
        <w:t>No C</w:t>
      </w:r>
      <w:r>
        <w:rPr>
          <w:rFonts w:hint="eastAsia" w:ascii="Times New Roman" w:hAnsi="Times New Roman" w:cs="Times New Roman"/>
          <w:color w:val="000000" w:themeColor="text1"/>
          <w:sz w:val="20"/>
          <w:szCs w:val="20"/>
          <w14:textFill>
            <w14:solidFill>
              <w14:schemeClr w14:val="tx1"/>
            </w14:solidFill>
          </w14:textFill>
        </w:rPr>
        <w:t>o-axial</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shock </w:t>
      </w:r>
      <w:r>
        <w:rPr>
          <w:rFonts w:hint="eastAsia" w:ascii="Times New Roman" w:hAnsi="Times New Roman" w:cs="Times New Roman"/>
          <w:color w:val="000000" w:themeColor="text1"/>
          <w:sz w:val="20"/>
          <w:szCs w:val="20"/>
          <w14:textFill>
            <w14:solidFill>
              <w14:schemeClr w14:val="tx1"/>
            </w14:solidFill>
          </w14:textFill>
        </w:rPr>
        <w:t>170w and180w conditions, the porosity is reduced to 0.0158% and 0.0216% respectively under the optimal pulsed laser current of 8.5 A, with a porosity reduction of over 50% in both cases. The associated pore counts are 139 and 197. On the other hand, the size of remaining pores is regulated</w:t>
      </w:r>
      <w:r>
        <w:rPr>
          <w:rFonts w:hint="eastAsia" w:ascii="Times New Roman" w:hAnsi="Times New Roman" w:cs="Times New Roman"/>
          <w:color w:val="000000" w:themeColor="text1"/>
          <w:sz w:val="20"/>
          <w:szCs w:val="20"/>
          <w:lang w:val="en-US" w:eastAsia="zh-CN"/>
          <w14:textFill>
            <w14:solidFill>
              <w14:schemeClr w14:val="tx1"/>
            </w14:solidFill>
          </w14:textFill>
        </w:rPr>
        <w:t>.</w:t>
      </w:r>
      <w:r>
        <w:rPr>
          <w:rFonts w:hint="eastAsia" w:ascii="Times New Roman" w:hAnsi="Times New Roman" w:cs="Times New Roman"/>
          <w:color w:val="000000" w:themeColor="text1"/>
          <w:sz w:val="20"/>
          <w:szCs w:val="20"/>
          <w14:textFill>
            <w14:solidFill>
              <w14:schemeClr w14:val="tx1"/>
            </w14:solidFill>
          </w14:textFill>
        </w:rPr>
        <w:t xml:space="preserve"> </w:t>
      </w:r>
      <w:r>
        <w:rPr>
          <w:rFonts w:hint="eastAsia" w:ascii="Times New Roman" w:hAnsi="Times New Roman" w:cs="Times New Roman"/>
          <w:color w:val="000000" w:themeColor="text1"/>
          <w:sz w:val="20"/>
          <w:szCs w:val="20"/>
          <w:lang w:val="en-US" w:eastAsia="zh-CN"/>
          <w14:textFill>
            <w14:solidFill>
              <w14:schemeClr w14:val="tx1"/>
            </w14:solidFill>
          </w14:textFill>
        </w:rPr>
        <w:t>T</w:t>
      </w:r>
      <w:r>
        <w:rPr>
          <w:rFonts w:hint="eastAsia" w:ascii="Times New Roman" w:hAnsi="Times New Roman" w:cs="Times New Roman"/>
          <w:color w:val="000000" w:themeColor="text1"/>
          <w:sz w:val="20"/>
          <w:szCs w:val="20"/>
          <w14:textFill>
            <w14:solidFill>
              <w14:schemeClr w14:val="tx1"/>
            </w14:solidFill>
          </w14:textFill>
        </w:rPr>
        <w:t>he maximum diameter</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w:t>
      </w:r>
      <w:r>
        <w:rPr>
          <w:rFonts w:hint="eastAsia" w:ascii="Times New Roman" w:hAnsi="Times New Roman" w:cs="Times New Roman"/>
          <w:color w:val="000000" w:themeColor="text1"/>
          <w:sz w:val="20"/>
          <w:szCs w:val="20"/>
          <w14:textFill>
            <w14:solidFill>
              <w14:schemeClr w14:val="tx1"/>
            </w14:solidFill>
          </w14:textFill>
        </w:rPr>
        <w:t>is reduced, and their sphericity approaches 1</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w:t>
      </w:r>
      <w:r>
        <w:rPr>
          <w:rFonts w:hint="eastAsia" w:ascii="Times New Roman" w:hAnsi="Times New Roman" w:cs="Times New Roman"/>
          <w:color w:val="000000" w:themeColor="text1"/>
          <w:sz w:val="20"/>
          <w:szCs w:val="20"/>
          <w14:textFill>
            <w14:solidFill>
              <w14:schemeClr w14:val="tx1"/>
            </w14:solidFill>
          </w14:textFill>
        </w:rPr>
        <w:t xml:space="preserve">as shown in Fig. S3 and S4. This indicates that co-axial shock not only inhibits the periodic collapse at the keyhole bottom to reduce bubble generation, the enhanced fluid flow </w:t>
      </w:r>
      <w:r>
        <w:rPr>
          <w:rFonts w:hint="eastAsia" w:ascii="Times New Roman" w:hAnsi="Times New Roman" w:cs="Times New Roman"/>
          <w:color w:val="000000" w:themeColor="text1"/>
          <w:sz w:val="20"/>
          <w:szCs w:val="20"/>
          <w:lang w:val="en-US" w:eastAsia="zh-CN"/>
          <w14:textFill>
            <w14:solidFill>
              <w14:schemeClr w14:val="tx1"/>
            </w14:solidFill>
          </w14:textFill>
        </w:rPr>
        <w:t>caus</w:t>
      </w:r>
      <w:r>
        <w:rPr>
          <w:rFonts w:hint="eastAsia" w:ascii="Times New Roman" w:hAnsi="Times New Roman" w:cs="Times New Roman"/>
          <w:color w:val="000000" w:themeColor="text1"/>
          <w:sz w:val="20"/>
          <w:szCs w:val="20"/>
          <w14:textFill>
            <w14:solidFill>
              <w14:schemeClr w14:val="tx1"/>
            </w14:solidFill>
          </w14:textFill>
        </w:rPr>
        <w:t>ed by co-axial shock also provides sufficient driving force for some bubbles to collapse or escape.</w:t>
      </w:r>
    </w:p>
    <w:p w14:paraId="23032F79">
      <w:pPr>
        <w:spacing w:line="480" w:lineRule="auto"/>
        <w:rPr>
          <w:rFonts w:hint="eastAsia"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drawing>
          <wp:inline distT="0" distB="0" distL="114300" distR="114300">
            <wp:extent cx="4772025" cy="3269615"/>
            <wp:effectExtent l="0" t="0" r="13335" b="6985"/>
            <wp:docPr id="5" name="图片 5" descr="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3"/>
                    <pic:cNvPicPr>
                      <a:picLocks noChangeAspect="1"/>
                    </pic:cNvPicPr>
                  </pic:nvPicPr>
                  <pic:blipFill>
                    <a:blip r:embed="rId7"/>
                    <a:stretch>
                      <a:fillRect/>
                    </a:stretch>
                  </pic:blipFill>
                  <pic:spPr>
                    <a:xfrm>
                      <a:off x="0" y="0"/>
                      <a:ext cx="4772025" cy="3269615"/>
                    </a:xfrm>
                    <a:prstGeom prst="rect">
                      <a:avLst/>
                    </a:prstGeom>
                  </pic:spPr>
                </pic:pic>
              </a:graphicData>
            </a:graphic>
          </wp:inline>
        </w:drawing>
      </w:r>
    </w:p>
    <w:p w14:paraId="4886F973">
      <w:pPr>
        <w:spacing w:line="480" w:lineRule="auto"/>
        <w:rPr>
          <w:rFonts w:hint="eastAsia"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Fig.</w:t>
      </w:r>
      <w:r>
        <w:rPr>
          <w:rFonts w:hint="default" w:ascii="Times New Roman" w:hAnsi="Times New Roman" w:cs="Times New Roman"/>
          <w:b/>
          <w:bCs/>
          <w:color w:val="000000" w:themeColor="text1"/>
          <w:sz w:val="18"/>
          <w:szCs w:val="18"/>
          <w:lang w:val="en-US" w:eastAsia="zh-CN"/>
          <w14:textFill>
            <w14:solidFill>
              <w14:schemeClr w14:val="tx1"/>
            </w14:solidFill>
          </w14:textFill>
        </w:rPr>
        <w:t xml:space="preserve"> S</w:t>
      </w:r>
      <w:r>
        <w:rPr>
          <w:rFonts w:hint="eastAsia" w:ascii="Times New Roman" w:hAnsi="Times New Roman" w:cs="Times New Roman"/>
          <w:b/>
          <w:bCs/>
          <w:color w:val="000000" w:themeColor="text1"/>
          <w:sz w:val="18"/>
          <w:szCs w:val="18"/>
          <w:lang w:val="en-US" w:eastAsia="zh-CN"/>
          <w14:textFill>
            <w14:solidFill>
              <w14:schemeClr w14:val="tx1"/>
            </w14:solidFill>
          </w14:textFill>
        </w:rPr>
        <w:t>3</w:t>
      </w:r>
      <w:r>
        <w:rPr>
          <w:rFonts w:hint="default" w:ascii="Times New Roman" w:hAnsi="Times New Roman" w:cs="Times New Roman"/>
          <w:b/>
          <w:bCs/>
          <w:color w:val="000000" w:themeColor="text1"/>
          <w:sz w:val="18"/>
          <w:szCs w:val="18"/>
          <w14:textFill>
            <w14:solidFill>
              <w14:schemeClr w14:val="tx1"/>
            </w14:solidFill>
          </w14:textFill>
        </w:rPr>
        <w:t>.</w:t>
      </w:r>
      <w:r>
        <w:rPr>
          <w:rFonts w:hint="default" w:ascii="Times New Roman" w:hAnsi="Times New Roman" w:cs="Times New Roman"/>
          <w:color w:val="000000" w:themeColor="text1"/>
          <w:sz w:val="18"/>
          <w:szCs w:val="18"/>
          <w14:textFill>
            <w14:solidFill>
              <w14:schemeClr w14:val="tx1"/>
            </w14:solidFill>
          </w14:textFill>
        </w:rPr>
        <w:t xml:space="preserve"> 3D rendered pores model </w:t>
      </w:r>
      <w:r>
        <w:rPr>
          <w:rFonts w:hint="eastAsia" w:ascii="Times New Roman" w:hAnsi="Times New Roman" w:cs="Times New Roman"/>
          <w:color w:val="000000" w:themeColor="text1"/>
          <w:sz w:val="18"/>
          <w:szCs w:val="18"/>
          <w:lang w:val="en-US" w:eastAsia="zh-CN"/>
          <w14:textFill>
            <w14:solidFill>
              <w14:schemeClr w14:val="tx1"/>
            </w14:solidFill>
          </w14:textFill>
        </w:rPr>
        <w:t>and</w:t>
      </w:r>
      <w:r>
        <w:rPr>
          <w:rFonts w:hint="default" w:ascii="Times New Roman" w:hAnsi="Times New Roman" w:cs="Times New Roman"/>
          <w:color w:val="000000" w:themeColor="text1"/>
          <w:sz w:val="18"/>
          <w:szCs w:val="18"/>
          <w14:textFill>
            <w14:solidFill>
              <w14:schemeClr w14:val="tx1"/>
            </w14:solidFill>
          </w14:textFill>
        </w:rPr>
        <w:t xml:space="preserve"> distribution </w:t>
      </w:r>
      <w:r>
        <w:rPr>
          <w:rFonts w:hint="eastAsia" w:ascii="Times New Roman" w:hAnsi="Times New Roman" w:cs="Times New Roman"/>
          <w:color w:val="000000" w:themeColor="text1"/>
          <w:sz w:val="18"/>
          <w:szCs w:val="18"/>
          <w:lang w:val="en-US" w:eastAsia="zh-CN"/>
          <w14:textFill>
            <w14:solidFill>
              <w14:schemeClr w14:val="tx1"/>
            </w14:solidFill>
          </w14:textFill>
        </w:rPr>
        <w:t>in</w:t>
      </w:r>
      <w:r>
        <w:rPr>
          <w:rFonts w:hint="default" w:ascii="Times New Roman" w:hAnsi="Times New Roman" w:cs="Times New Roman"/>
          <w:color w:val="000000" w:themeColor="text1"/>
          <w:sz w:val="18"/>
          <w:szCs w:val="18"/>
          <w14:textFill>
            <w14:solidFill>
              <w14:schemeClr w14:val="tx1"/>
            </w14:solidFill>
          </w14:textFill>
        </w:rPr>
        <w:t xml:space="preserve"> the </w:t>
      </w:r>
      <w:r>
        <w:rPr>
          <w:rFonts w:hint="eastAsia" w:ascii="Times New Roman" w:hAnsi="Times New Roman" w:cs="Times New Roman"/>
          <w:color w:val="000000" w:themeColor="text1"/>
          <w:sz w:val="18"/>
          <w:szCs w:val="18"/>
          <w:lang w:val="en-US" w:eastAsia="zh-CN"/>
          <w14:textFill>
            <w14:solidFill>
              <w14:schemeClr w14:val="tx1"/>
            </w14:solidFill>
          </w14:textFill>
        </w:rPr>
        <w:t>C</w:t>
      </w:r>
      <w:r>
        <w:rPr>
          <w:rFonts w:hint="default" w:ascii="Times New Roman" w:hAnsi="Times New Roman" w:cs="Times New Roman"/>
          <w:color w:val="000000" w:themeColor="text1"/>
          <w:sz w:val="18"/>
          <w:szCs w:val="18"/>
          <w14:textFill>
            <w14:solidFill>
              <w14:schemeClr w14:val="tx1"/>
            </w14:solidFill>
          </w14:textFill>
        </w:rPr>
        <w:t>o-axial</w:t>
      </w:r>
      <w:r>
        <w:rPr>
          <w:rFonts w:hint="eastAsia" w:ascii="Times New Roman" w:hAnsi="Times New Roman" w:cs="Times New Roman"/>
          <w:color w:val="000000" w:themeColor="text1"/>
          <w:sz w:val="18"/>
          <w:szCs w:val="18"/>
          <w:lang w:val="en-US" w:eastAsia="zh-CN"/>
          <w14:textFill>
            <w14:solidFill>
              <w14:schemeClr w14:val="tx1"/>
            </w14:solidFill>
          </w14:textFill>
        </w:rPr>
        <w:t xml:space="preserve"> </w:t>
      </w:r>
      <w:r>
        <w:rPr>
          <w:rFonts w:hint="default" w:ascii="Times New Roman" w:hAnsi="Times New Roman" w:cs="Times New Roman"/>
          <w:color w:val="000000" w:themeColor="text1"/>
          <w:sz w:val="18"/>
          <w:szCs w:val="18"/>
          <w14:textFill>
            <w14:solidFill>
              <w14:schemeClr w14:val="tx1"/>
            </w14:solidFill>
          </w14:textFill>
        </w:rPr>
        <w:t>shock processing</w:t>
      </w:r>
      <w:r>
        <w:rPr>
          <w:rFonts w:hint="eastAsia" w:ascii="Times New Roman" w:hAnsi="Times New Roman" w:cs="Times New Roman"/>
          <w:color w:val="000000" w:themeColor="text1"/>
          <w:sz w:val="18"/>
          <w:szCs w:val="18"/>
          <w:lang w:val="en-US" w:eastAsia="zh-CN"/>
          <w14:textFill>
            <w14:solidFill>
              <w14:schemeClr w14:val="tx1"/>
            </w14:solidFill>
          </w14:textFill>
        </w:rPr>
        <w:t xml:space="preserve"> at the CL power of 170 W</w:t>
      </w:r>
      <w:r>
        <w:rPr>
          <w:rFonts w:hint="default" w:ascii="Times New Roman" w:hAnsi="Times New Roman" w:cs="Times New Roman"/>
          <w:color w:val="000000" w:themeColor="text1"/>
          <w:sz w:val="18"/>
          <w:szCs w:val="18"/>
          <w14:textFill>
            <w14:solidFill>
              <w14:schemeClr w14:val="tx1"/>
            </w14:solidFill>
          </w14:textFill>
        </w:rPr>
        <w:t>.</w:t>
      </w:r>
      <w:r>
        <w:rPr>
          <w:rFonts w:hint="eastAsia" w:ascii="Times New Roman" w:hAnsi="Times New Roman" w:cs="Times New Roman"/>
          <w:color w:val="000000" w:themeColor="text1"/>
          <w:sz w:val="18"/>
          <w:szCs w:val="18"/>
          <w:lang w:val="en-US" w:eastAsia="zh-CN"/>
          <w14:textFill>
            <w14:solidFill>
              <w14:schemeClr w14:val="tx1"/>
            </w14:solidFill>
          </w14:textFill>
        </w:rPr>
        <w:t xml:space="preserve"> </w:t>
      </w:r>
    </w:p>
    <w:p w14:paraId="49755D5A">
      <w:pPr>
        <w:keepNext w:val="0"/>
        <w:keepLines w:val="0"/>
        <w:pageBreakBefore w:val="0"/>
        <w:widowControl w:val="0"/>
        <w:kinsoku/>
        <w:wordWrap/>
        <w:overflowPunct/>
        <w:topLinePunct w:val="0"/>
        <w:autoSpaceDE/>
        <w:autoSpaceDN/>
        <w:bidi w:val="0"/>
        <w:adjustRightInd/>
        <w:snapToGrid/>
        <w:spacing w:line="480" w:lineRule="auto"/>
        <w:ind w:firstLine="400" w:firstLineChars="200"/>
        <w:textAlignment w:val="auto"/>
        <w:rPr>
          <w:rFonts w:hint="eastAsia"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20"/>
          <w:szCs w:val="20"/>
          <w14:textFill>
            <w14:solidFill>
              <w14:schemeClr w14:val="tx1"/>
            </w14:solidFill>
          </w14:textFill>
        </w:rPr>
        <w:t xml:space="preserve">Porosity and pore count exhibit a trend of first decreasing and then increasing as the pulsed laser current </w:t>
      </w:r>
      <w:r>
        <w:rPr>
          <w:rFonts w:hint="eastAsia" w:ascii="Times New Roman" w:hAnsi="Times New Roman" w:cs="Times New Roman"/>
          <w:color w:val="000000" w:themeColor="text1"/>
          <w:sz w:val="20"/>
          <w:szCs w:val="20"/>
          <w:lang w:val="en-US" w:eastAsia="zh-CN"/>
          <w14:textFill>
            <w14:solidFill>
              <w14:schemeClr w14:val="tx1"/>
            </w14:solidFill>
          </w14:textFill>
        </w:rPr>
        <w:t>raising</w:t>
      </w:r>
      <w:r>
        <w:rPr>
          <w:rFonts w:hint="eastAsia" w:ascii="Times New Roman" w:hAnsi="Times New Roman" w:cs="Times New Roman"/>
          <w:color w:val="000000" w:themeColor="text1"/>
          <w:sz w:val="20"/>
          <w:szCs w:val="20"/>
          <w14:textFill>
            <w14:solidFill>
              <w14:schemeClr w14:val="tx1"/>
            </w14:solidFill>
          </w14:textFill>
        </w:rPr>
        <w:t xml:space="preserve"> from 7.5 A to 10 A. Two groups of samples </w:t>
      </w:r>
      <w:r>
        <w:rPr>
          <w:rFonts w:hint="eastAsia" w:ascii="Times New Roman" w:hAnsi="Times New Roman" w:cs="Times New Roman"/>
          <w:color w:val="000000" w:themeColor="text1"/>
          <w:sz w:val="20"/>
          <w:szCs w:val="20"/>
          <w:lang w:val="en-US" w:eastAsia="zh-CN"/>
          <w14:textFill>
            <w14:solidFill>
              <w14:schemeClr w14:val="tx1"/>
            </w14:solidFill>
          </w14:textFill>
        </w:rPr>
        <w:t>p</w:t>
      </w:r>
      <w:r>
        <w:rPr>
          <w:rFonts w:hint="eastAsia" w:ascii="Times New Roman" w:hAnsi="Times New Roman" w:cs="Times New Roman"/>
          <w:color w:val="000000" w:themeColor="text1"/>
          <w:sz w:val="20"/>
          <w:szCs w:val="20"/>
          <w14:textFill>
            <w14:solidFill>
              <w14:schemeClr w14:val="tx1"/>
            </w14:solidFill>
          </w14:textFill>
        </w:rPr>
        <w:t>orosity</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w:t>
      </w:r>
      <w:r>
        <w:rPr>
          <w:rFonts w:hint="eastAsia" w:ascii="Times New Roman" w:hAnsi="Times New Roman" w:cs="Times New Roman"/>
          <w:color w:val="000000" w:themeColor="text1"/>
          <w:sz w:val="20"/>
          <w:szCs w:val="20"/>
          <w14:textFill>
            <w14:solidFill>
              <w14:schemeClr w14:val="tx1"/>
            </w14:solidFill>
          </w14:textFill>
        </w:rPr>
        <w:t xml:space="preserve">fabricated with </w:t>
      </w:r>
      <w:r>
        <w:rPr>
          <w:rFonts w:hint="eastAsia" w:ascii="Times New Roman" w:hAnsi="Times New Roman" w:cs="Times New Roman"/>
          <w:color w:val="000000" w:themeColor="text1"/>
          <w:sz w:val="20"/>
          <w:szCs w:val="20"/>
          <w:lang w:val="en-US" w:eastAsia="zh-CN"/>
          <w14:textFill>
            <w14:solidFill>
              <w14:schemeClr w14:val="tx1"/>
            </w14:solidFill>
          </w14:textFill>
        </w:rPr>
        <w:t>C</w:t>
      </w:r>
      <w:r>
        <w:rPr>
          <w:rFonts w:hint="eastAsia" w:ascii="Times New Roman" w:hAnsi="Times New Roman" w:cs="Times New Roman"/>
          <w:color w:val="000000" w:themeColor="text1"/>
          <w:sz w:val="20"/>
          <w:szCs w:val="20"/>
          <w14:textFill>
            <w14:solidFill>
              <w14:schemeClr w14:val="tx1"/>
            </w14:solidFill>
          </w14:textFill>
        </w:rPr>
        <w:t>o-axial shock are 0.0717%, 0.0769%, 0.0158%, 0.0241%, 0.0249%, 0.0494% and 0.0390%, 0.0384%, 0.0216%, 0.0227%, 0.0231%, 0.0325% respectively. The associated pore counts are 537, 518, 139, 125, 226, 376 and 302, 344, 197, 244, 303, 322. Compared with the</w:t>
      </w:r>
      <w:r>
        <w:rPr>
          <w:rFonts w:hint="eastAsia" w:ascii="Times New Roman" w:hAnsi="Times New Roman" w:cs="Times New Roman"/>
          <w:color w:val="000000" w:themeColor="text1"/>
          <w:sz w:val="20"/>
          <w:szCs w:val="20"/>
          <w:lang w:val="en-US" w:eastAsia="zh-CN"/>
          <w14:textFill>
            <w14:solidFill>
              <w14:schemeClr w14:val="tx1"/>
            </w14:solidFill>
          </w14:textFill>
        </w:rPr>
        <w:t xml:space="preserve"> No</w:t>
      </w:r>
      <w:r>
        <w:rPr>
          <w:rFonts w:hint="eastAsia" w:ascii="Times New Roman" w:hAnsi="Times New Roman" w:cs="Times New Roman"/>
          <w:color w:val="000000" w:themeColor="text1"/>
          <w:sz w:val="20"/>
          <w:szCs w:val="20"/>
          <w14:textFill>
            <w14:solidFill>
              <w14:schemeClr w14:val="tx1"/>
            </w14:solidFill>
          </w14:textFill>
        </w:rPr>
        <w:t xml:space="preserve"> </w:t>
      </w:r>
      <w:r>
        <w:rPr>
          <w:rFonts w:hint="eastAsia" w:ascii="Times New Roman" w:hAnsi="Times New Roman" w:cs="Times New Roman"/>
          <w:color w:val="000000" w:themeColor="text1"/>
          <w:sz w:val="20"/>
          <w:szCs w:val="20"/>
          <w:lang w:val="en-US" w:eastAsia="zh-CN"/>
          <w14:textFill>
            <w14:solidFill>
              <w14:schemeClr w14:val="tx1"/>
            </w14:solidFill>
          </w14:textFill>
        </w:rPr>
        <w:t>C</w:t>
      </w:r>
      <w:r>
        <w:rPr>
          <w:rFonts w:hint="eastAsia" w:ascii="Times New Roman" w:hAnsi="Times New Roman" w:cs="Times New Roman"/>
          <w:color w:val="000000" w:themeColor="text1"/>
          <w:sz w:val="20"/>
          <w:szCs w:val="20"/>
          <w14:textFill>
            <w14:solidFill>
              <w14:schemeClr w14:val="tx1"/>
            </w14:solidFill>
          </w14:textFill>
        </w:rPr>
        <w:t xml:space="preserve">o-axial </w:t>
      </w:r>
      <w:r>
        <w:rPr>
          <w:rFonts w:hint="eastAsia" w:ascii="Times New Roman" w:hAnsi="Times New Roman" w:cs="Times New Roman"/>
          <w:color w:val="000000" w:themeColor="text1"/>
          <w:sz w:val="20"/>
          <w:szCs w:val="20"/>
          <w:lang w:val="en-US" w:eastAsia="zh-CN"/>
          <w14:textFill>
            <w14:solidFill>
              <w14:schemeClr w14:val="tx1"/>
            </w14:solidFill>
          </w14:textFill>
        </w:rPr>
        <w:t>shock conditions</w:t>
      </w:r>
      <w:r>
        <w:rPr>
          <w:rFonts w:hint="eastAsia" w:ascii="Times New Roman" w:hAnsi="Times New Roman" w:cs="Times New Roman"/>
          <w:color w:val="000000" w:themeColor="text1"/>
          <w:sz w:val="20"/>
          <w:szCs w:val="20"/>
          <w14:textFill>
            <w14:solidFill>
              <w14:schemeClr w14:val="tx1"/>
            </w14:solidFill>
          </w14:textFill>
        </w:rPr>
        <w:t xml:space="preserve">, the quality of samples is improved. When the current is below 8 A, the peak pressure generated by the pulsed laser decreases, and the mechanical effect on the molten pool becomes weak, failing to effectively suppress the collapse at the keyhole bottom and enhance convection, which results in uncontrolled bubble generation sources and difficulty in bubble escape. This reduces the beneficial effects induced by </w:t>
      </w:r>
      <w:r>
        <w:rPr>
          <w:rFonts w:hint="eastAsia" w:ascii="Times New Roman" w:hAnsi="Times New Roman" w:cs="Times New Roman"/>
          <w:color w:val="000000" w:themeColor="text1"/>
          <w:sz w:val="20"/>
          <w:szCs w:val="20"/>
          <w:lang w:val="en-US" w:eastAsia="zh-CN"/>
          <w14:textFill>
            <w14:solidFill>
              <w14:schemeClr w14:val="tx1"/>
            </w14:solidFill>
          </w14:textFill>
        </w:rPr>
        <w:t>C</w:t>
      </w:r>
      <w:r>
        <w:rPr>
          <w:rFonts w:hint="eastAsia" w:ascii="Times New Roman" w:hAnsi="Times New Roman" w:cs="Times New Roman"/>
          <w:color w:val="000000" w:themeColor="text1"/>
          <w:sz w:val="20"/>
          <w:szCs w:val="20"/>
          <w14:textFill>
            <w14:solidFill>
              <w14:schemeClr w14:val="tx1"/>
            </w14:solidFill>
          </w14:textFill>
        </w:rPr>
        <w:t xml:space="preserve">o-axial shock. However, enhanced mechanical effects disrupt the stability of the molten pool and even induce turbulence when the current exceeds 9 A, which causes imbalance in the surface tension and entrainment of more gas to form new bubbles. Therefore, the strength of </w:t>
      </w:r>
      <w:r>
        <w:rPr>
          <w:rFonts w:hint="eastAsia" w:ascii="Times New Roman" w:hAnsi="Times New Roman" w:cs="Times New Roman"/>
          <w:color w:val="000000" w:themeColor="text1"/>
          <w:sz w:val="20"/>
          <w:szCs w:val="20"/>
          <w:lang w:val="en-US" w:eastAsia="zh-CN"/>
          <w14:textFill>
            <w14:solidFill>
              <w14:schemeClr w14:val="tx1"/>
            </w14:solidFill>
          </w14:textFill>
        </w:rPr>
        <w:t>C</w:t>
      </w:r>
      <w:r>
        <w:rPr>
          <w:rFonts w:hint="eastAsia" w:ascii="Times New Roman" w:hAnsi="Times New Roman" w:cs="Times New Roman"/>
          <w:color w:val="000000" w:themeColor="text1"/>
          <w:sz w:val="20"/>
          <w:szCs w:val="20"/>
          <w14:textFill>
            <w14:solidFill>
              <w14:schemeClr w14:val="tx1"/>
            </w14:solidFill>
          </w14:textFill>
        </w:rPr>
        <w:t>o-axial shock within the appropriate range of 8.5 A to 9 A achieve</w:t>
      </w:r>
      <w:r>
        <w:rPr>
          <w:rFonts w:hint="eastAsia" w:ascii="Times New Roman" w:hAnsi="Times New Roman" w:cs="Times New Roman"/>
          <w:color w:val="000000" w:themeColor="text1"/>
          <w:sz w:val="20"/>
          <w:szCs w:val="20"/>
          <w:lang w:val="en-US" w:eastAsia="zh-CN"/>
          <w14:textFill>
            <w14:solidFill>
              <w14:schemeClr w14:val="tx1"/>
            </w14:solidFill>
          </w14:textFill>
        </w:rPr>
        <w:t>s</w:t>
      </w:r>
      <w:r>
        <w:rPr>
          <w:rFonts w:hint="eastAsia" w:ascii="Times New Roman" w:hAnsi="Times New Roman" w:cs="Times New Roman"/>
          <w:color w:val="000000" w:themeColor="text1"/>
          <w:sz w:val="20"/>
          <w:szCs w:val="20"/>
          <w14:textFill>
            <w14:solidFill>
              <w14:schemeClr w14:val="tx1"/>
            </w14:solidFill>
          </w14:textFill>
        </w:rPr>
        <w:t xml:space="preserve"> a balance between inhibiting bubble generation and promoting bubble escape, enabling effective control of pores.</w:t>
      </w:r>
    </w:p>
    <w:p w14:paraId="396CF00B">
      <w:pPr>
        <w:spacing w:line="480" w:lineRule="auto"/>
        <w:rPr>
          <w:rFonts w:hint="eastAsia" w:ascii="Times New Roman" w:hAnsi="Times New Roman" w:cs="Times New Roman"/>
          <w:color w:val="000000" w:themeColor="text1"/>
          <w:sz w:val="18"/>
          <w:szCs w:val="18"/>
          <w:lang w:val="en-US" w:eastAsia="zh-CN"/>
          <w14:textFill>
            <w14:solidFill>
              <w14:schemeClr w14:val="tx1"/>
            </w14:solidFill>
          </w14:textFill>
        </w:rPr>
      </w:pPr>
      <w:r>
        <w:rPr>
          <w:rFonts w:hint="eastAsia" w:ascii="Times New Roman" w:hAnsi="Times New Roman" w:cs="Times New Roman"/>
          <w:color w:val="000000" w:themeColor="text1"/>
          <w:sz w:val="18"/>
          <w:szCs w:val="18"/>
          <w:lang w:val="en-US" w:eastAsia="zh-CN"/>
          <w14:textFill>
            <w14:solidFill>
              <w14:schemeClr w14:val="tx1"/>
            </w14:solidFill>
          </w14:textFill>
        </w:rPr>
        <w:drawing>
          <wp:inline distT="0" distB="0" distL="114300" distR="114300">
            <wp:extent cx="4686935" cy="3238500"/>
            <wp:effectExtent l="0" t="0" r="6985" b="7620"/>
            <wp:docPr id="6" name="图片 6" descr="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4"/>
                    <pic:cNvPicPr>
                      <a:picLocks noChangeAspect="1"/>
                    </pic:cNvPicPr>
                  </pic:nvPicPr>
                  <pic:blipFill>
                    <a:blip r:embed="rId8"/>
                    <a:stretch>
                      <a:fillRect/>
                    </a:stretch>
                  </pic:blipFill>
                  <pic:spPr>
                    <a:xfrm>
                      <a:off x="0" y="0"/>
                      <a:ext cx="4686935" cy="3238500"/>
                    </a:xfrm>
                    <a:prstGeom prst="rect">
                      <a:avLst/>
                    </a:prstGeom>
                  </pic:spPr>
                </pic:pic>
              </a:graphicData>
            </a:graphic>
          </wp:inline>
        </w:drawing>
      </w:r>
    </w:p>
    <w:p w14:paraId="70412CBB">
      <w:pPr>
        <w:spacing w:line="480" w:lineRule="auto"/>
        <w:rPr>
          <w:rFonts w:hint="eastAsia"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Fig.</w:t>
      </w:r>
      <w:r>
        <w:rPr>
          <w:rFonts w:hint="default" w:ascii="Times New Roman" w:hAnsi="Times New Roman" w:cs="Times New Roman"/>
          <w:b/>
          <w:bCs/>
          <w:color w:val="000000" w:themeColor="text1"/>
          <w:sz w:val="18"/>
          <w:szCs w:val="18"/>
          <w:lang w:val="en-US" w:eastAsia="zh-CN"/>
          <w14:textFill>
            <w14:solidFill>
              <w14:schemeClr w14:val="tx1"/>
            </w14:solidFill>
          </w14:textFill>
        </w:rPr>
        <w:t xml:space="preserve"> S</w:t>
      </w:r>
      <w:r>
        <w:rPr>
          <w:rFonts w:hint="eastAsia" w:ascii="Times New Roman" w:hAnsi="Times New Roman" w:cs="Times New Roman"/>
          <w:b/>
          <w:bCs/>
          <w:color w:val="000000" w:themeColor="text1"/>
          <w:sz w:val="18"/>
          <w:szCs w:val="18"/>
          <w:lang w:val="en-US" w:eastAsia="zh-CN"/>
          <w14:textFill>
            <w14:solidFill>
              <w14:schemeClr w14:val="tx1"/>
            </w14:solidFill>
          </w14:textFill>
        </w:rPr>
        <w:t>4</w:t>
      </w:r>
      <w:r>
        <w:rPr>
          <w:rFonts w:hint="default" w:ascii="Times New Roman" w:hAnsi="Times New Roman" w:cs="Times New Roman"/>
          <w:b/>
          <w:bCs/>
          <w:color w:val="000000" w:themeColor="text1"/>
          <w:sz w:val="18"/>
          <w:szCs w:val="18"/>
          <w14:textFill>
            <w14:solidFill>
              <w14:schemeClr w14:val="tx1"/>
            </w14:solidFill>
          </w14:textFill>
        </w:rPr>
        <w:t>.</w:t>
      </w:r>
      <w:r>
        <w:rPr>
          <w:rFonts w:hint="default" w:ascii="Times New Roman" w:hAnsi="Times New Roman" w:cs="Times New Roman"/>
          <w:color w:val="000000" w:themeColor="text1"/>
          <w:sz w:val="18"/>
          <w:szCs w:val="18"/>
          <w14:textFill>
            <w14:solidFill>
              <w14:schemeClr w14:val="tx1"/>
            </w14:solidFill>
          </w14:textFill>
        </w:rPr>
        <w:t xml:space="preserve"> 3D rendered pores model and distribution in the Co-axial shock processing at the CL power of </w:t>
      </w:r>
      <w:r>
        <w:rPr>
          <w:rFonts w:hint="eastAsia" w:ascii="Times New Roman" w:hAnsi="Times New Roman" w:cs="Times New Roman"/>
          <w:color w:val="000000" w:themeColor="text1"/>
          <w:sz w:val="18"/>
          <w:szCs w:val="18"/>
          <w:lang w:val="en-US" w:eastAsia="zh-CN"/>
          <w14:textFill>
            <w14:solidFill>
              <w14:schemeClr w14:val="tx1"/>
            </w14:solidFill>
          </w14:textFill>
        </w:rPr>
        <w:t>180 W</w:t>
      </w:r>
      <w:r>
        <w:rPr>
          <w:rFonts w:hint="default" w:ascii="Times New Roman" w:hAnsi="Times New Roman" w:cs="Times New Roman"/>
          <w:color w:val="000000" w:themeColor="text1"/>
          <w:sz w:val="18"/>
          <w:szCs w:val="18"/>
          <w14:textFill>
            <w14:solidFill>
              <w14:schemeClr w14:val="tx1"/>
            </w14:solidFill>
          </w14:textFill>
        </w:rPr>
        <w:t>.</w:t>
      </w:r>
      <w:r>
        <w:rPr>
          <w:rFonts w:hint="eastAsia" w:ascii="Times New Roman" w:hAnsi="Times New Roman" w:cs="Times New Roman"/>
          <w:color w:val="000000" w:themeColor="text1"/>
          <w:sz w:val="18"/>
          <w:szCs w:val="18"/>
          <w:lang w:val="en-US" w:eastAsia="zh-CN"/>
          <w14:textFill>
            <w14:solidFill>
              <w14:schemeClr w14:val="tx1"/>
            </w14:solidFill>
          </w14:textFill>
        </w:rPr>
        <w:t xml:space="preserve"> </w:t>
      </w:r>
    </w:p>
    <w:p w14:paraId="040E9E8A">
      <w:pPr>
        <w:numPr>
          <w:ilvl w:val="0"/>
          <w:numId w:val="1"/>
        </w:numPr>
        <w:spacing w:line="480" w:lineRule="auto"/>
        <w:ind w:left="201" w:leftChars="0" w:hanging="201" w:hangingChars="100"/>
        <w:rPr>
          <w:rFonts w:hint="default" w:ascii="Times New Roman" w:hAnsi="Times New Roman" w:cs="Times New Roman"/>
          <w:b/>
          <w:bCs/>
          <w:color w:val="000000" w:themeColor="text1"/>
          <w:sz w:val="20"/>
          <w:lang w:val="en-US" w:eastAsia="zh-CN"/>
          <w14:textFill>
            <w14:solidFill>
              <w14:schemeClr w14:val="tx1"/>
            </w14:solidFill>
          </w14:textFill>
        </w:rPr>
      </w:pPr>
      <w:r>
        <w:rPr>
          <w:rFonts w:hint="default" w:ascii="Times New Roman" w:hAnsi="Times New Roman" w:cs="Times New Roman"/>
          <w:b/>
          <w:bCs/>
          <w:color w:val="000000" w:themeColor="text1"/>
          <w:sz w:val="20"/>
          <w:lang w:val="en-US" w:eastAsia="zh-CN"/>
          <w14:textFill>
            <w14:solidFill>
              <w14:schemeClr w14:val="tx1"/>
            </w14:solidFill>
          </w14:textFill>
        </w:rPr>
        <w:t xml:space="preserve">The effect of </w:t>
      </w:r>
      <w:r>
        <w:rPr>
          <w:rFonts w:hint="eastAsia" w:ascii="Times New Roman" w:hAnsi="Times New Roman" w:cs="Times New Roman"/>
          <w:b/>
          <w:bCs/>
          <w:color w:val="000000" w:themeColor="text1"/>
          <w:sz w:val="20"/>
          <w:lang w:val="en-US" w:eastAsia="zh-CN"/>
          <w14:textFill>
            <w14:solidFill>
              <w14:schemeClr w14:val="tx1"/>
            </w14:solidFill>
          </w14:textFill>
        </w:rPr>
        <w:t>C</w:t>
      </w:r>
      <w:r>
        <w:rPr>
          <w:rFonts w:hint="default" w:ascii="Times New Roman" w:hAnsi="Times New Roman" w:cs="Times New Roman"/>
          <w:b/>
          <w:bCs/>
          <w:color w:val="000000" w:themeColor="text1"/>
          <w:sz w:val="20"/>
          <w:lang w:val="en-US" w:eastAsia="zh-CN"/>
          <w14:textFill>
            <w14:solidFill>
              <w14:schemeClr w14:val="tx1"/>
            </w14:solidFill>
          </w14:textFill>
        </w:rPr>
        <w:t>o</w:t>
      </w:r>
      <w:r>
        <w:rPr>
          <w:rFonts w:hint="eastAsia" w:ascii="Times New Roman" w:hAnsi="Times New Roman" w:cs="Times New Roman"/>
          <w:b/>
          <w:bCs/>
          <w:color w:val="000000" w:themeColor="text1"/>
          <w:sz w:val="20"/>
          <w:lang w:val="en-US" w:eastAsia="zh-CN"/>
          <w14:textFill>
            <w14:solidFill>
              <w14:schemeClr w14:val="tx1"/>
            </w14:solidFill>
          </w14:textFill>
        </w:rPr>
        <w:t>-</w:t>
      </w:r>
      <w:r>
        <w:rPr>
          <w:rFonts w:hint="default" w:ascii="Times New Roman" w:hAnsi="Times New Roman" w:cs="Times New Roman"/>
          <w:b/>
          <w:bCs/>
          <w:color w:val="000000" w:themeColor="text1"/>
          <w:sz w:val="20"/>
          <w:lang w:val="en-US" w:eastAsia="zh-CN"/>
          <w14:textFill>
            <w14:solidFill>
              <w14:schemeClr w14:val="tx1"/>
            </w14:solidFill>
          </w14:textFill>
        </w:rPr>
        <w:t xml:space="preserve">axial </w:t>
      </w:r>
      <w:r>
        <w:rPr>
          <w:rFonts w:hint="eastAsia" w:ascii="Times New Roman" w:hAnsi="Times New Roman" w:cs="Times New Roman"/>
          <w:b/>
          <w:bCs/>
          <w:color w:val="000000" w:themeColor="text1"/>
          <w:sz w:val="20"/>
          <w:lang w:val="en-US" w:eastAsia="zh-CN"/>
          <w14:textFill>
            <w14:solidFill>
              <w14:schemeClr w14:val="tx1"/>
            </w14:solidFill>
          </w14:textFill>
        </w:rPr>
        <w:t>shock</w:t>
      </w:r>
      <w:r>
        <w:rPr>
          <w:rFonts w:hint="default" w:ascii="Times New Roman" w:hAnsi="Times New Roman" w:cs="Times New Roman"/>
          <w:b/>
          <w:bCs/>
          <w:color w:val="000000" w:themeColor="text1"/>
          <w:sz w:val="20"/>
          <w:lang w:val="en-US" w:eastAsia="zh-CN"/>
          <w14:textFill>
            <w14:solidFill>
              <w14:schemeClr w14:val="tx1"/>
            </w14:solidFill>
          </w14:textFill>
        </w:rPr>
        <w:t xml:space="preserve"> processing on grain growth </w:t>
      </w:r>
    </w:p>
    <w:p w14:paraId="22D24D5C">
      <w:pPr>
        <w:keepNext w:val="0"/>
        <w:keepLines w:val="0"/>
        <w:pageBreakBefore w:val="0"/>
        <w:widowControl w:val="0"/>
        <w:numPr>
          <w:ilvl w:val="0"/>
          <w:numId w:val="0"/>
        </w:numPr>
        <w:kinsoku/>
        <w:wordWrap/>
        <w:overflowPunct/>
        <w:topLinePunct w:val="0"/>
        <w:autoSpaceDE/>
        <w:autoSpaceDN/>
        <w:bidi w:val="0"/>
        <w:adjustRightInd/>
        <w:snapToGrid/>
        <w:spacing w:line="480" w:lineRule="auto"/>
        <w:ind w:leftChars="0" w:firstLine="400" w:firstLineChars="200"/>
        <w:textAlignment w:val="auto"/>
        <w:rPr>
          <w:rFonts w:hint="default" w:ascii="Times New Roman" w:hAnsi="Times New Roman" w:cs="Times New Roman"/>
          <w:b w:val="0"/>
          <w:bCs w:val="0"/>
          <w:color w:val="000000" w:themeColor="text1"/>
          <w:sz w:val="20"/>
          <w:lang w:val="en-US" w:eastAsia="zh-CN"/>
          <w14:textFill>
            <w14:solidFill>
              <w14:schemeClr w14:val="tx1"/>
            </w14:solidFill>
          </w14:textFill>
        </w:rPr>
      </w:pP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In </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the </w:t>
      </w:r>
      <w:r>
        <w:rPr>
          <w:rFonts w:hint="default" w:ascii="Times New Roman" w:hAnsi="Times New Roman" w:cs="Times New Roman"/>
          <w:b w:val="0"/>
          <w:bCs w:val="0"/>
          <w:color w:val="000000" w:themeColor="text1"/>
          <w:sz w:val="20"/>
          <w:lang w:val="en-US" w:eastAsia="zh-CN"/>
          <w14:textFill>
            <w14:solidFill>
              <w14:schemeClr w14:val="tx1"/>
            </w14:solidFill>
          </w14:textFill>
        </w:rPr>
        <w:t>No C-axial</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shock processing, the molten pool exhibits a high solidification rate owing to its small size and high scanning speed. At the initial stage of solidification, grains near the solidified substrate or molten pool boundary nucleate first and grow rapidly perpendicular to the isotherms </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line </w:t>
      </w:r>
      <w:r>
        <w:rPr>
          <w:rFonts w:hint="default" w:ascii="Times New Roman" w:hAnsi="Times New Roman" w:cs="Times New Roman"/>
          <w:b w:val="0"/>
          <w:bCs w:val="0"/>
          <w:color w:val="000000" w:themeColor="text1"/>
          <w:sz w:val="20"/>
          <w:lang w:val="en-US" w:eastAsia="zh-CN"/>
          <w14:textFill>
            <w14:solidFill>
              <w14:schemeClr w14:val="tx1"/>
            </w14:solidFill>
          </w14:textFill>
        </w:rPr>
        <w:t>(i.e., along the heat flow direction toward the pool center), forming coarse columnar grains. This directional growth stems from the thermal driving force dominated by temperature gradients, making grains extend along the fastest heat dissipation path. The central region undergoes a slower cooling rate with a relatively gentle temperature gradient. When the supercooling degree is sufficient, it triggers non-uniform nucleation, and grains grow freely in all directions, eventually forming equiaxed grains. The directional grain growth mode</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and the molten pool boundary (marked by black dashed lines) are observed under the condition of 0 A current</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as shown in Fig. S</w:t>
      </w:r>
      <w:r>
        <w:rPr>
          <w:rFonts w:hint="eastAsia" w:ascii="Times New Roman" w:hAnsi="Times New Roman" w:cs="Times New Roman"/>
          <w:b w:val="0"/>
          <w:bCs w:val="0"/>
          <w:color w:val="000000" w:themeColor="text1"/>
          <w:sz w:val="20"/>
          <w:lang w:val="en-US" w:eastAsia="zh-CN"/>
          <w14:textFill>
            <w14:solidFill>
              <w14:schemeClr w14:val="tx1"/>
            </w14:solidFill>
          </w14:textFill>
        </w:rPr>
        <w:t>5</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 After excluding boundary grains, the number of grains in the molten pool is 214, with an average equivalent circular diameter of 5.48 μm. Taking </w:t>
      </w:r>
      <w:r>
        <w:rPr>
          <w:rFonts w:hint="eastAsia" w:ascii="Times New Roman" w:hAnsi="Times New Roman" w:cs="Times New Roman"/>
          <w:b w:val="0"/>
          <w:bCs w:val="0"/>
          <w:color w:val="000000" w:themeColor="text1"/>
          <w:sz w:val="20"/>
          <w:lang w:val="en-US" w:eastAsia="zh-CN"/>
          <w14:textFill>
            <w14:solidFill>
              <w14:schemeClr w14:val="tx1"/>
            </w14:solidFill>
          </w14:textFill>
        </w:rPr>
        <w:t>l</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ow </w:t>
      </w:r>
      <w:r>
        <w:rPr>
          <w:rFonts w:hint="eastAsia" w:ascii="Times New Roman" w:hAnsi="Times New Roman" w:cs="Times New Roman"/>
          <w:b w:val="0"/>
          <w:bCs w:val="0"/>
          <w:color w:val="000000" w:themeColor="text1"/>
          <w:sz w:val="20"/>
          <w:lang w:val="en-US" w:eastAsia="zh-CN"/>
          <w14:textFill>
            <w14:solidFill>
              <w14:schemeClr w14:val="tx1"/>
            </w14:solidFill>
          </w14:textFill>
        </w:rPr>
        <w:t>a</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ngle </w:t>
      </w:r>
      <w:r>
        <w:rPr>
          <w:rFonts w:hint="eastAsia" w:ascii="Times New Roman" w:hAnsi="Times New Roman" w:cs="Times New Roman"/>
          <w:b w:val="0"/>
          <w:bCs w:val="0"/>
          <w:color w:val="000000" w:themeColor="text1"/>
          <w:sz w:val="20"/>
          <w:lang w:val="en-US" w:eastAsia="zh-CN"/>
          <w14:textFill>
            <w14:solidFill>
              <w14:schemeClr w14:val="tx1"/>
            </w14:solidFill>
          </w14:textFill>
        </w:rPr>
        <w:t>g</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rain </w:t>
      </w:r>
      <w:r>
        <w:rPr>
          <w:rFonts w:hint="eastAsia" w:ascii="Times New Roman" w:hAnsi="Times New Roman" w:cs="Times New Roman"/>
          <w:b w:val="0"/>
          <w:bCs w:val="0"/>
          <w:color w:val="000000" w:themeColor="text1"/>
          <w:sz w:val="20"/>
          <w:lang w:val="en-US" w:eastAsia="zh-CN"/>
          <w14:textFill>
            <w14:solidFill>
              <w14:schemeClr w14:val="tx1"/>
            </w14:solidFill>
          </w14:textFill>
        </w:rPr>
        <w:t>b</w:t>
      </w:r>
      <w:r>
        <w:rPr>
          <w:rFonts w:hint="default" w:ascii="Times New Roman" w:hAnsi="Times New Roman" w:cs="Times New Roman"/>
          <w:b w:val="0"/>
          <w:bCs w:val="0"/>
          <w:color w:val="000000" w:themeColor="text1"/>
          <w:sz w:val="20"/>
          <w:lang w:val="en-US" w:eastAsia="zh-CN"/>
          <w14:textFill>
            <w14:solidFill>
              <w14:schemeClr w14:val="tx1"/>
            </w14:solidFill>
          </w14:textFill>
        </w:rPr>
        <w:t>oundaries (LAGB</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2–15°) and </w:t>
      </w:r>
      <w:r>
        <w:rPr>
          <w:rFonts w:hint="eastAsia" w:ascii="Times New Roman" w:hAnsi="Times New Roman" w:cs="Times New Roman"/>
          <w:b w:val="0"/>
          <w:bCs w:val="0"/>
          <w:color w:val="000000" w:themeColor="text1"/>
          <w:sz w:val="20"/>
          <w:lang w:val="en-US" w:eastAsia="zh-CN"/>
          <w14:textFill>
            <w14:solidFill>
              <w14:schemeClr w14:val="tx1"/>
            </w14:solidFill>
          </w14:textFill>
        </w:rPr>
        <w:t>h</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igh </w:t>
      </w:r>
      <w:r>
        <w:rPr>
          <w:rFonts w:hint="eastAsia" w:ascii="Times New Roman" w:hAnsi="Times New Roman" w:cs="Times New Roman"/>
          <w:b w:val="0"/>
          <w:bCs w:val="0"/>
          <w:color w:val="000000" w:themeColor="text1"/>
          <w:sz w:val="20"/>
          <w:lang w:val="en-US" w:eastAsia="zh-CN"/>
          <w14:textFill>
            <w14:solidFill>
              <w14:schemeClr w14:val="tx1"/>
            </w14:solidFill>
          </w14:textFill>
        </w:rPr>
        <w:t>a</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ngle </w:t>
      </w:r>
      <w:r>
        <w:rPr>
          <w:rFonts w:hint="eastAsia" w:ascii="Times New Roman" w:hAnsi="Times New Roman" w:cs="Times New Roman"/>
          <w:b w:val="0"/>
          <w:bCs w:val="0"/>
          <w:color w:val="000000" w:themeColor="text1"/>
          <w:sz w:val="20"/>
          <w:lang w:val="en-US" w:eastAsia="zh-CN"/>
          <w14:textFill>
            <w14:solidFill>
              <w14:schemeClr w14:val="tx1"/>
            </w14:solidFill>
          </w14:textFill>
        </w:rPr>
        <w:t>g</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rain </w:t>
      </w:r>
      <w:r>
        <w:rPr>
          <w:rFonts w:hint="eastAsia" w:ascii="Times New Roman" w:hAnsi="Times New Roman" w:cs="Times New Roman"/>
          <w:b w:val="0"/>
          <w:bCs w:val="0"/>
          <w:color w:val="000000" w:themeColor="text1"/>
          <w:sz w:val="20"/>
          <w:lang w:val="en-US" w:eastAsia="zh-CN"/>
          <w14:textFill>
            <w14:solidFill>
              <w14:schemeClr w14:val="tx1"/>
            </w14:solidFill>
          </w14:textFill>
        </w:rPr>
        <w:t>b</w:t>
      </w:r>
      <w:r>
        <w:rPr>
          <w:rFonts w:hint="default" w:ascii="Times New Roman" w:hAnsi="Times New Roman" w:cs="Times New Roman"/>
          <w:b w:val="0"/>
          <w:bCs w:val="0"/>
          <w:color w:val="000000" w:themeColor="text1"/>
          <w:sz w:val="20"/>
          <w:lang w:val="en-US" w:eastAsia="zh-CN"/>
          <w14:textFill>
            <w14:solidFill>
              <w14:schemeClr w14:val="tx1"/>
            </w14:solidFill>
          </w14:textFill>
        </w:rPr>
        <w:t>oundaries (HAGB</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&gt;15°</w:t>
      </w:r>
      <w:r>
        <w:rPr>
          <w:rFonts w:hint="eastAsia" w:ascii="Times New Roman" w:hAnsi="Times New Roman" w:cs="Times New Roman"/>
          <w:b w:val="0"/>
          <w:bCs w:val="0"/>
          <w:color w:val="000000" w:themeColor="text1"/>
          <w:sz w:val="20"/>
          <w:lang w:val="en-US" w:eastAsia="zh-CN"/>
          <w14:textFill>
            <w14:solidFill>
              <w14:schemeClr w14:val="tx1"/>
            </w14:solidFill>
          </w14:textFill>
        </w:rPr>
        <w:t>)</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eastAsia" w:ascii="Times New Roman" w:hAnsi="Times New Roman" w:cs="Times New Roman"/>
          <w:b w:val="0"/>
          <w:bCs w:val="0"/>
          <w:color w:val="000000" w:themeColor="text1"/>
          <w:sz w:val="20"/>
          <w:lang w:val="en-US" w:eastAsia="zh-CN"/>
          <w14:textFill>
            <w14:solidFill>
              <w14:schemeClr w14:val="tx1"/>
            </w14:solidFill>
          </w14:textFill>
        </w:rPr>
        <w:t>f</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or reference, the proportion of HAGB among the molten pool reaches 88.4%. </w:t>
      </w:r>
    </w:p>
    <w:p w14:paraId="604BEEB4">
      <w:pPr>
        <w:keepNext w:val="0"/>
        <w:keepLines w:val="0"/>
        <w:pageBreakBefore w:val="0"/>
        <w:widowControl w:val="0"/>
        <w:numPr>
          <w:ilvl w:val="0"/>
          <w:numId w:val="0"/>
        </w:numPr>
        <w:kinsoku/>
        <w:wordWrap/>
        <w:overflowPunct/>
        <w:topLinePunct w:val="0"/>
        <w:autoSpaceDE/>
        <w:autoSpaceDN/>
        <w:bidi w:val="0"/>
        <w:adjustRightInd/>
        <w:snapToGrid/>
        <w:spacing w:line="480" w:lineRule="auto"/>
        <w:jc w:val="center"/>
        <w:textAlignment w:val="auto"/>
        <w:rPr>
          <w:rFonts w:hint="default" w:ascii="Times New Roman" w:hAnsi="Times New Roman" w:cs="Times New Roman"/>
          <w:b w:val="0"/>
          <w:bCs w:val="0"/>
          <w:color w:val="000000" w:themeColor="text1"/>
          <w:sz w:val="20"/>
          <w:lang w:val="en-US" w:eastAsia="zh-CN"/>
          <w14:textFill>
            <w14:solidFill>
              <w14:schemeClr w14:val="tx1"/>
            </w14:solidFill>
          </w14:textFill>
        </w:rPr>
      </w:pPr>
      <w:r>
        <w:rPr>
          <w:rFonts w:hint="default" w:ascii="Times New Roman" w:hAnsi="Times New Roman" w:cs="Times New Roman"/>
          <w:b w:val="0"/>
          <w:bCs w:val="0"/>
          <w:color w:val="000000" w:themeColor="text1"/>
          <w:sz w:val="20"/>
          <w:lang w:val="en-US" w:eastAsia="zh-CN"/>
          <w14:textFill>
            <w14:solidFill>
              <w14:schemeClr w14:val="tx1"/>
            </w14:solidFill>
          </w14:textFill>
        </w:rPr>
        <w:drawing>
          <wp:inline distT="0" distB="0" distL="114300" distR="114300">
            <wp:extent cx="5268595" cy="3195320"/>
            <wp:effectExtent l="0" t="0" r="4445" b="5080"/>
            <wp:docPr id="7" name="图片 7" descr="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5"/>
                    <pic:cNvPicPr>
                      <a:picLocks noChangeAspect="1"/>
                    </pic:cNvPicPr>
                  </pic:nvPicPr>
                  <pic:blipFill>
                    <a:blip r:embed="rId9"/>
                    <a:stretch>
                      <a:fillRect/>
                    </a:stretch>
                  </pic:blipFill>
                  <pic:spPr>
                    <a:xfrm>
                      <a:off x="0" y="0"/>
                      <a:ext cx="5268595" cy="3195320"/>
                    </a:xfrm>
                    <a:prstGeom prst="rect">
                      <a:avLst/>
                    </a:prstGeom>
                  </pic:spPr>
                </pic:pic>
              </a:graphicData>
            </a:graphic>
          </wp:inline>
        </w:drawing>
      </w:r>
    </w:p>
    <w:p w14:paraId="56B45DAE">
      <w:pPr>
        <w:spacing w:line="480" w:lineRule="auto"/>
        <w:rPr>
          <w:rFonts w:hint="eastAsia"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b/>
          <w:bCs/>
          <w:color w:val="000000" w:themeColor="text1"/>
          <w:sz w:val="18"/>
          <w:szCs w:val="18"/>
          <w14:textFill>
            <w14:solidFill>
              <w14:schemeClr w14:val="tx1"/>
            </w14:solidFill>
          </w14:textFill>
        </w:rPr>
        <w:t>Fig.</w:t>
      </w:r>
      <w:r>
        <w:rPr>
          <w:rFonts w:hint="default" w:ascii="Times New Roman" w:hAnsi="Times New Roman" w:cs="Times New Roman"/>
          <w:b/>
          <w:bCs/>
          <w:color w:val="000000" w:themeColor="text1"/>
          <w:sz w:val="18"/>
          <w:szCs w:val="18"/>
          <w:lang w:val="en-US" w:eastAsia="zh-CN"/>
          <w14:textFill>
            <w14:solidFill>
              <w14:schemeClr w14:val="tx1"/>
            </w14:solidFill>
          </w14:textFill>
        </w:rPr>
        <w:t xml:space="preserve"> S</w:t>
      </w:r>
      <w:r>
        <w:rPr>
          <w:rFonts w:hint="eastAsia" w:ascii="Times New Roman" w:hAnsi="Times New Roman" w:cs="Times New Roman"/>
          <w:b/>
          <w:bCs/>
          <w:color w:val="000000" w:themeColor="text1"/>
          <w:sz w:val="18"/>
          <w:szCs w:val="18"/>
          <w:lang w:val="en-US" w:eastAsia="zh-CN"/>
          <w14:textFill>
            <w14:solidFill>
              <w14:schemeClr w14:val="tx1"/>
            </w14:solidFill>
          </w14:textFill>
        </w:rPr>
        <w:t>5</w:t>
      </w:r>
      <w:r>
        <w:rPr>
          <w:rFonts w:hint="default" w:ascii="Times New Roman" w:hAnsi="Times New Roman" w:cs="Times New Roman"/>
          <w:b/>
          <w:bCs/>
          <w:color w:val="000000" w:themeColor="text1"/>
          <w:sz w:val="18"/>
          <w:szCs w:val="18"/>
          <w14:textFill>
            <w14:solidFill>
              <w14:schemeClr w14:val="tx1"/>
            </w14:solidFill>
          </w14:textFill>
        </w:rPr>
        <w:t>.</w:t>
      </w:r>
      <w:r>
        <w:rPr>
          <w:rFonts w:hint="default" w:ascii="Times New Roman" w:hAnsi="Times New Roman" w:cs="Times New Roman"/>
          <w:color w:val="000000" w:themeColor="text1"/>
          <w:sz w:val="18"/>
          <w:szCs w:val="18"/>
          <w14:textFill>
            <w14:solidFill>
              <w14:schemeClr w14:val="tx1"/>
            </w14:solidFill>
          </w14:textFill>
        </w:rPr>
        <w:t xml:space="preserve"> </w:t>
      </w:r>
      <w:r>
        <w:rPr>
          <w:rFonts w:hint="eastAsia" w:ascii="Times New Roman" w:hAnsi="Times New Roman" w:cs="Times New Roman"/>
          <w:color w:val="000000" w:themeColor="text1"/>
          <w:sz w:val="18"/>
          <w:szCs w:val="18"/>
          <w:lang w:val="en-US" w:eastAsia="zh-CN"/>
          <w14:textFill>
            <w14:solidFill>
              <w14:schemeClr w14:val="tx1"/>
            </w14:solidFill>
          </w14:textFill>
        </w:rPr>
        <w:t>Inverse pole images and distribution of grains in the Co-axial shock processing at the CL power of 180 W</w:t>
      </w:r>
      <w:bookmarkStart w:id="0" w:name="_GoBack"/>
      <w:bookmarkEnd w:id="0"/>
      <w:r>
        <w:rPr>
          <w:rFonts w:hint="default" w:ascii="Times New Roman" w:hAnsi="Times New Roman" w:cs="Times New Roman"/>
          <w:color w:val="000000" w:themeColor="text1"/>
          <w:sz w:val="18"/>
          <w:szCs w:val="18"/>
          <w14:textFill>
            <w14:solidFill>
              <w14:schemeClr w14:val="tx1"/>
            </w14:solidFill>
          </w14:textFill>
        </w:rPr>
        <w:t>.</w:t>
      </w:r>
      <w:r>
        <w:rPr>
          <w:rFonts w:hint="eastAsia" w:ascii="Times New Roman" w:hAnsi="Times New Roman" w:cs="Times New Roman"/>
          <w:color w:val="000000" w:themeColor="text1"/>
          <w:sz w:val="18"/>
          <w:szCs w:val="18"/>
          <w:lang w:val="en-US" w:eastAsia="zh-CN"/>
          <w14:textFill>
            <w14:solidFill>
              <w14:schemeClr w14:val="tx1"/>
            </w14:solidFill>
          </w14:textFill>
        </w:rPr>
        <w:t xml:space="preserve"> </w:t>
      </w:r>
    </w:p>
    <w:p w14:paraId="37D0A07A">
      <w:pPr>
        <w:keepNext w:val="0"/>
        <w:keepLines w:val="0"/>
        <w:pageBreakBefore w:val="0"/>
        <w:widowControl w:val="0"/>
        <w:kinsoku/>
        <w:wordWrap/>
        <w:overflowPunct/>
        <w:topLinePunct w:val="0"/>
        <w:autoSpaceDE/>
        <w:autoSpaceDN/>
        <w:bidi w:val="0"/>
        <w:adjustRightInd/>
        <w:snapToGrid/>
        <w:spacing w:line="480" w:lineRule="auto"/>
        <w:ind w:firstLine="400" w:firstLineChars="200"/>
        <w:textAlignment w:val="auto"/>
        <w:rPr>
          <w:rFonts w:hint="default" w:ascii="Times New Roman" w:hAnsi="Times New Roman" w:cs="Times New Roman"/>
          <w:color w:val="000000" w:themeColor="text1"/>
          <w:sz w:val="18"/>
          <w:szCs w:val="18"/>
          <w:lang w:val="en-US" w:eastAsia="zh-CN"/>
          <w14:textFill>
            <w14:solidFill>
              <w14:schemeClr w14:val="tx1"/>
            </w14:solidFill>
          </w14:textFill>
        </w:rPr>
      </w:pP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After </w:t>
      </w:r>
      <w:r>
        <w:rPr>
          <w:rFonts w:hint="eastAsia" w:ascii="Times New Roman" w:hAnsi="Times New Roman" w:cs="Times New Roman"/>
          <w:b w:val="0"/>
          <w:bCs w:val="0"/>
          <w:color w:val="000000" w:themeColor="text1"/>
          <w:sz w:val="20"/>
          <w:lang w:val="en-US" w:eastAsia="zh-CN"/>
          <w14:textFill>
            <w14:solidFill>
              <w14:schemeClr w14:val="tx1"/>
            </w14:solidFill>
          </w14:textFill>
        </w:rPr>
        <w:t>C</w:t>
      </w:r>
      <w:r>
        <w:rPr>
          <w:rFonts w:hint="default" w:ascii="Times New Roman" w:hAnsi="Times New Roman" w:cs="Times New Roman"/>
          <w:b w:val="0"/>
          <w:bCs w:val="0"/>
          <w:color w:val="000000" w:themeColor="text1"/>
          <w:sz w:val="20"/>
          <w:lang w:val="en-US" w:eastAsia="zh-CN"/>
          <w14:textFill>
            <w14:solidFill>
              <w14:schemeClr w14:val="tx1"/>
            </w14:solidFill>
          </w14:textFill>
        </w:rPr>
        <w:t>o-axial shock causes oscillations in the molten pool, the grain growth orientation no longer aggregates toward the center</w:t>
      </w:r>
      <w:r>
        <w:rPr>
          <w:rFonts w:hint="eastAsia" w:ascii="Times New Roman" w:hAnsi="Times New Roman" w:cs="Times New Roman"/>
          <w:b w:val="0"/>
          <w:bCs w:val="0"/>
          <w:color w:val="000000" w:themeColor="text1"/>
          <w:sz w:val="20"/>
          <w:lang w:val="en-US" w:eastAsia="zh-CN"/>
          <w14:textFill>
            <w14:solidFill>
              <w14:schemeClr w14:val="tx1"/>
            </w14:solidFill>
          </w14:textFill>
        </w:rPr>
        <w:t xml:space="preserve"> </w:t>
      </w:r>
      <w:r>
        <w:rPr>
          <w:rFonts w:hint="default" w:ascii="Times New Roman" w:hAnsi="Times New Roman" w:cs="Times New Roman"/>
          <w:b w:val="0"/>
          <w:bCs w:val="0"/>
          <w:color w:val="000000" w:themeColor="text1"/>
          <w:sz w:val="20"/>
          <w:lang w:val="en-US" w:eastAsia="zh-CN"/>
          <w14:textFill>
            <w14:solidFill>
              <w14:schemeClr w14:val="tx1"/>
            </w14:solidFill>
          </w14:textFill>
        </w:rPr>
        <w:t>as shown in Fig. S</w:t>
      </w:r>
      <w:r>
        <w:rPr>
          <w:rFonts w:hint="eastAsia" w:ascii="Times New Roman" w:hAnsi="Times New Roman" w:cs="Times New Roman"/>
          <w:b w:val="0"/>
          <w:bCs w:val="0"/>
          <w:color w:val="000000" w:themeColor="text1"/>
          <w:sz w:val="20"/>
          <w:lang w:val="en-US" w:eastAsia="zh-CN"/>
          <w14:textFill>
            <w14:solidFill>
              <w14:schemeClr w14:val="tx1"/>
            </w14:solidFill>
          </w14:textFill>
        </w:rPr>
        <w:t>5</w:t>
      </w:r>
      <w:r>
        <w:rPr>
          <w:rFonts w:hint="default" w:ascii="Times New Roman" w:hAnsi="Times New Roman" w:cs="Times New Roman"/>
          <w:b w:val="0"/>
          <w:bCs w:val="0"/>
          <w:color w:val="000000" w:themeColor="text1"/>
          <w:sz w:val="20"/>
          <w:lang w:val="en-US" w:eastAsia="zh-CN"/>
          <w14:textFill>
            <w14:solidFill>
              <w14:schemeClr w14:val="tx1"/>
            </w14:solidFill>
          </w14:textFill>
        </w:rPr>
        <w:t>. The number of grains increases while their size decreases, and th</w:t>
      </w:r>
      <w:r>
        <w:rPr>
          <w:rFonts w:hint="eastAsia" w:ascii="Times New Roman" w:hAnsi="Times New Roman" w:cs="Times New Roman"/>
          <w:b w:val="0"/>
          <w:bCs w:val="0"/>
          <w:color w:val="000000" w:themeColor="text1"/>
          <w:sz w:val="20"/>
          <w:lang w:val="en-US" w:eastAsia="zh-CN"/>
          <w14:textFill>
            <w14:solidFill>
              <w14:schemeClr w14:val="tx1"/>
            </w14:solidFill>
          </w14:textFill>
        </w:rPr>
        <w:t>ose</w:t>
      </w:r>
      <w:r>
        <w:rPr>
          <w:rFonts w:hint="default" w:ascii="Times New Roman" w:hAnsi="Times New Roman" w:cs="Times New Roman"/>
          <w:b w:val="0"/>
          <w:bCs w:val="0"/>
          <w:color w:val="000000" w:themeColor="text1"/>
          <w:sz w:val="20"/>
          <w:lang w:val="en-US" w:eastAsia="zh-CN"/>
          <w14:textFill>
            <w14:solidFill>
              <w14:schemeClr w14:val="tx1"/>
            </w14:solidFill>
          </w14:textFill>
        </w:rPr>
        <w:t xml:space="preserve"> grains larger than 25 μm reduces significantly. Particularly, the proportion of HAGB increases to 96% under the optimal pulsed laser current of 8.5 A. This indicates that the molten pool convection changes under mechanical effects, and the directional growth of columnar grains dominated by temperature gradients is inhibited.</w:t>
      </w:r>
    </w:p>
    <w:p w14:paraId="478F98E1">
      <w:pPr>
        <w:spacing w:before="156" w:beforeLines="50" w:line="480" w:lineRule="auto"/>
        <w:jc w:val="left"/>
        <w:outlineLvl w:val="0"/>
        <w:rPr>
          <w:rFonts w:ascii="Times New Roman" w:hAnsi="Times New Roman" w:cs="Times New Roman"/>
          <w:b/>
          <w:color w:val="000000" w:themeColor="text1"/>
          <w:sz w:val="24"/>
          <w:szCs w:val="20"/>
          <w14:textFill>
            <w14:solidFill>
              <w14:schemeClr w14:val="tx1"/>
            </w14:solidFill>
          </w14:textFill>
        </w:rPr>
      </w:pPr>
      <w:r>
        <w:rPr>
          <w:rFonts w:ascii="Times New Roman" w:hAnsi="Times New Roman" w:cs="Times New Roman"/>
          <w:b/>
          <w:color w:val="000000" w:themeColor="text1"/>
          <w:sz w:val="24"/>
          <w:szCs w:val="20"/>
          <w14:textFill>
            <w14:solidFill>
              <w14:schemeClr w14:val="tx1"/>
            </w14:solidFill>
          </w14:textFill>
        </w:rPr>
        <w:t>References</w:t>
      </w:r>
    </w:p>
    <w:p w14:paraId="6BC8F6E7">
      <w:pPr>
        <w:keepNext w:val="0"/>
        <w:keepLines w:val="0"/>
        <w:pageBreakBefore w:val="0"/>
        <w:widowControl w:val="0"/>
        <w:kinsoku/>
        <w:wordWrap/>
        <w:overflowPunct/>
        <w:topLinePunct w:val="0"/>
        <w:autoSpaceDE/>
        <w:autoSpaceDN/>
        <w:bidi w:val="0"/>
        <w:adjustRightInd/>
        <w:snapToGrid/>
        <w:spacing w:line="480" w:lineRule="auto"/>
        <w:ind w:left="400" w:hanging="400" w:hangingChars="200"/>
        <w:jc w:val="both"/>
        <w:textAlignment w:val="auto"/>
        <w:rPr>
          <w:rFonts w:hint="default" w:ascii="Times New Roman" w:hAnsi="Times New Roman" w:cs="Times New Roman"/>
          <w:sz w:val="20"/>
          <w:szCs w:val="24"/>
        </w:rPr>
      </w:pPr>
      <w:r>
        <w:rPr>
          <w:rFonts w:hint="default" w:ascii="Times New Roman" w:hAnsi="Times New Roman" w:cs="Times New Roman"/>
          <w:b w:val="0"/>
          <w:bCs w:val="0"/>
          <w:color w:val="000000" w:themeColor="text1"/>
          <w:sz w:val="20"/>
          <w:lang w:val="en-US" w:eastAsia="zh-CN"/>
          <w14:textFill>
            <w14:solidFill>
              <w14:schemeClr w14:val="tx1"/>
            </w14:solidFill>
          </w14:textFill>
        </w:rPr>
        <w:fldChar w:fldCharType="begin" w:fldLock="1"/>
      </w:r>
      <w:r>
        <w:rPr>
          <w:rFonts w:hint="eastAsia" w:ascii="Times New Roman" w:hAnsi="Times New Roman" w:cs="Times New Roman"/>
          <w:b w:val="0"/>
          <w:bCs w:val="0"/>
          <w:color w:val="000000" w:themeColor="text1"/>
          <w:sz w:val="20"/>
          <w:lang w:val="en-US" w:eastAsia="zh-CN"/>
          <w14:textFill>
            <w14:solidFill>
              <w14:schemeClr w14:val="tx1"/>
            </w14:solidFill>
          </w14:textFill>
        </w:rPr>
        <w:instrText xml:space="preserve">ADDIN Mendeley Bibliography CSL_BIBLIOGRAPHY </w:instrText>
      </w:r>
      <w:r>
        <w:rPr>
          <w:rFonts w:hint="default" w:ascii="Times New Roman" w:hAnsi="Times New Roman" w:cs="Times New Roman"/>
          <w:b w:val="0"/>
          <w:bCs w:val="0"/>
          <w:color w:val="000000" w:themeColor="text1"/>
          <w:sz w:val="20"/>
          <w:lang w:val="en-US" w:eastAsia="zh-CN"/>
          <w14:textFill>
            <w14:solidFill>
              <w14:schemeClr w14:val="tx1"/>
            </w14:solidFill>
          </w14:textFill>
        </w:rPr>
        <w:fldChar w:fldCharType="separate"/>
      </w:r>
      <w:r>
        <w:rPr>
          <w:rFonts w:hint="default" w:ascii="Times New Roman" w:hAnsi="Times New Roman" w:cs="Times New Roman"/>
          <w:sz w:val="20"/>
          <w:szCs w:val="24"/>
        </w:rPr>
        <w:t>[1]</w:t>
      </w:r>
      <w:r>
        <w:rPr>
          <w:rFonts w:hint="default" w:ascii="Times New Roman" w:hAnsi="Times New Roman" w:cs="Times New Roman"/>
          <w:sz w:val="20"/>
          <w:szCs w:val="24"/>
        </w:rPr>
        <w:tab/>
      </w:r>
      <w:r>
        <w:rPr>
          <w:rFonts w:hint="default" w:ascii="Times New Roman" w:hAnsi="Times New Roman" w:cs="Times New Roman"/>
          <w:sz w:val="20"/>
          <w:szCs w:val="24"/>
        </w:rPr>
        <w:t>Y. He, H. Lu, X. Zhang, S. Xu, H. Li, Y. Hu, Study on in situ laser shock modulation of molten pool and defects in wire-feed laser additive manufacturing of steel to aluminum alloy, Thin-Walled Struct. 204 (2024) 112326. https://doi.org/10.1016/j.tws.2024.112326.</w:t>
      </w:r>
    </w:p>
    <w:p w14:paraId="50B56147">
      <w:pPr>
        <w:keepNext w:val="0"/>
        <w:keepLines w:val="0"/>
        <w:pageBreakBefore w:val="0"/>
        <w:widowControl w:val="0"/>
        <w:kinsoku/>
        <w:wordWrap/>
        <w:overflowPunct/>
        <w:topLinePunct w:val="0"/>
        <w:autoSpaceDE/>
        <w:autoSpaceDN/>
        <w:bidi w:val="0"/>
        <w:adjustRightInd/>
        <w:snapToGrid/>
        <w:spacing w:line="480" w:lineRule="auto"/>
        <w:ind w:left="400" w:hanging="400" w:hangingChars="200"/>
        <w:jc w:val="both"/>
        <w:textAlignment w:val="auto"/>
        <w:rPr>
          <w:rFonts w:hint="default" w:ascii="Times New Roman" w:hAnsi="Times New Roman" w:cs="Times New Roman"/>
          <w:sz w:val="20"/>
        </w:rPr>
      </w:pPr>
      <w:r>
        <w:rPr>
          <w:rFonts w:hint="default" w:ascii="Times New Roman" w:hAnsi="Times New Roman" w:cs="Times New Roman"/>
          <w:sz w:val="20"/>
          <w:szCs w:val="24"/>
        </w:rPr>
        <w:t>[2]</w:t>
      </w:r>
      <w:r>
        <w:rPr>
          <w:rFonts w:hint="default" w:ascii="Times New Roman" w:hAnsi="Times New Roman" w:cs="Times New Roman"/>
          <w:sz w:val="20"/>
          <w:szCs w:val="24"/>
        </w:rPr>
        <w:tab/>
      </w:r>
      <w:r>
        <w:rPr>
          <w:rFonts w:hint="default" w:ascii="Times New Roman" w:hAnsi="Times New Roman" w:cs="Times New Roman"/>
          <w:sz w:val="20"/>
          <w:szCs w:val="24"/>
        </w:rPr>
        <w:t>H. Lu, X. Zhang, J. Liu, S. Zhao, X. Lin, H. Li, Y. Hu, Study on laser shock modulation of melt pool in laser additive manufacturing of FeCoCrNi high-entropy alloys, J. Alloys Compd. 925 (2022) 166720. https://doi.org/10.1016/j.jallcom.2022.166720.</w:t>
      </w:r>
    </w:p>
    <w:p w14:paraId="568BAA22">
      <w:pPr>
        <w:keepNext w:val="0"/>
        <w:keepLines w:val="0"/>
        <w:pageBreakBefore w:val="0"/>
        <w:widowControl w:val="0"/>
        <w:numPr>
          <w:ilvl w:val="0"/>
          <w:numId w:val="0"/>
        </w:numPr>
        <w:kinsoku/>
        <w:wordWrap/>
        <w:overflowPunct/>
        <w:topLinePunct w:val="0"/>
        <w:autoSpaceDE/>
        <w:autoSpaceDN/>
        <w:bidi w:val="0"/>
        <w:adjustRightInd/>
        <w:snapToGrid/>
        <w:spacing w:line="480" w:lineRule="auto"/>
        <w:ind w:left="400" w:hanging="400" w:hangingChars="200"/>
        <w:jc w:val="both"/>
        <w:textAlignment w:val="auto"/>
        <w:rPr>
          <w:rFonts w:hint="default" w:ascii="Times New Roman" w:hAnsi="Times New Roman" w:cs="Times New Roman"/>
          <w:b w:val="0"/>
          <w:bCs w:val="0"/>
          <w:color w:val="000000" w:themeColor="text1"/>
          <w:sz w:val="20"/>
          <w:lang w:val="en-US" w:eastAsia="zh-CN"/>
          <w14:textFill>
            <w14:solidFill>
              <w14:schemeClr w14:val="tx1"/>
            </w14:solidFill>
          </w14:textFill>
        </w:rPr>
      </w:pPr>
      <w:r>
        <w:rPr>
          <w:rFonts w:hint="default" w:ascii="Times New Roman" w:hAnsi="Times New Roman" w:cs="Times New Roman"/>
          <w:b w:val="0"/>
          <w:bCs w:val="0"/>
          <w:color w:val="000000" w:themeColor="text1"/>
          <w:sz w:val="20"/>
          <w:lang w:val="en-US" w:eastAsia="zh-CN"/>
          <w14:textFill>
            <w14:solidFill>
              <w14:schemeClr w14:val="tx1"/>
            </w14:solidFill>
          </w14:textFill>
        </w:rPr>
        <w:fldChar w:fldCharType="end"/>
      </w:r>
    </w:p>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egoe UI">
    <w:panose1 w:val="020B0502040204020203"/>
    <w:charset w:val="00"/>
    <w:family w:val="auto"/>
    <w:pitch w:val="default"/>
    <w:sig w:usb0="E4002EFF" w:usb1="C000E47F"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E1CEB">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096A98">
                          <w:pPr>
                            <w:pStyle w:val="4"/>
                            <w:rPr>
                              <w:rFonts w:hint="default" w:ascii="Times New Roman" w:hAnsi="Times New Roman" w:cs="Times New Roman"/>
                              <w:b/>
                              <w:bCs/>
                              <w:color w:val="000000" w:themeColor="text1"/>
                              <w:sz w:val="20"/>
                              <w:szCs w:val="20"/>
                              <w14:textFill>
                                <w14:solidFill>
                                  <w14:schemeClr w14:val="tx1"/>
                                </w14:solidFill>
                              </w14:textFill>
                            </w:rPr>
                          </w:pPr>
                          <w:r>
                            <w:rPr>
                              <w:rFonts w:hint="default" w:ascii="Times New Roman" w:hAnsi="Times New Roman" w:cs="Times New Roman"/>
                              <w:b/>
                              <w:bCs/>
                              <w:color w:val="000000" w:themeColor="text1"/>
                              <w:sz w:val="20"/>
                              <w:szCs w:val="20"/>
                              <w14:textFill>
                                <w14:solidFill>
                                  <w14:schemeClr w14:val="tx1"/>
                                </w14:solidFill>
                              </w14:textFill>
                            </w:rPr>
                            <w:fldChar w:fldCharType="begin"/>
                          </w:r>
                          <w:r>
                            <w:rPr>
                              <w:rFonts w:hint="default" w:ascii="Times New Roman" w:hAnsi="Times New Roman" w:cs="Times New Roman"/>
                              <w:b/>
                              <w:bCs/>
                              <w:color w:val="000000" w:themeColor="text1"/>
                              <w:sz w:val="20"/>
                              <w:szCs w:val="20"/>
                              <w14:textFill>
                                <w14:solidFill>
                                  <w14:schemeClr w14:val="tx1"/>
                                </w14:solidFill>
                              </w14:textFill>
                            </w:rPr>
                            <w:instrText xml:space="preserve"> PAGE  \* MERGEFORMAT </w:instrText>
                          </w:r>
                          <w:r>
                            <w:rPr>
                              <w:rFonts w:hint="default" w:ascii="Times New Roman" w:hAnsi="Times New Roman" w:cs="Times New Roman"/>
                              <w:b/>
                              <w:bCs/>
                              <w:color w:val="000000" w:themeColor="text1"/>
                              <w:sz w:val="20"/>
                              <w:szCs w:val="20"/>
                              <w14:textFill>
                                <w14:solidFill>
                                  <w14:schemeClr w14:val="tx1"/>
                                </w14:solidFill>
                              </w14:textFill>
                            </w:rPr>
                            <w:fldChar w:fldCharType="separate"/>
                          </w:r>
                          <w:r>
                            <w:rPr>
                              <w:rFonts w:hint="default" w:ascii="Times New Roman" w:hAnsi="Times New Roman" w:cs="Times New Roman"/>
                              <w:b/>
                              <w:bCs/>
                              <w:color w:val="000000" w:themeColor="text1"/>
                              <w:sz w:val="20"/>
                              <w:szCs w:val="20"/>
                              <w14:textFill>
                                <w14:solidFill>
                                  <w14:schemeClr w14:val="tx1"/>
                                </w14:solidFill>
                              </w14:textFill>
                            </w:rPr>
                            <w:t>1</w:t>
                          </w:r>
                          <w:r>
                            <w:rPr>
                              <w:rFonts w:hint="default" w:ascii="Times New Roman" w:hAnsi="Times New Roman" w:cs="Times New Roman"/>
                              <w:b/>
                              <w:bCs/>
                              <w:color w:val="000000" w:themeColor="text1"/>
                              <w:sz w:val="20"/>
                              <w:szCs w:val="20"/>
                              <w14:textFill>
                                <w14:solidFill>
                                  <w14:schemeClr w14:val="tx1"/>
                                </w14:solidFill>
                              </w14:textFill>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GA044yAgAAY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4YDTjjICAABhBAAADgAAAAAAAAABACAAAAAfAQAAZHJzL2Uyb0RvYy54bWxQSwUG&#10;AAAAAAYABgBZAQAAwwUAAAAA&#10;">
              <v:fill on="f" focussize="0,0"/>
              <v:stroke on="f" weight="0.5pt"/>
              <v:imagedata o:title=""/>
              <o:lock v:ext="edit" aspectratio="f"/>
              <v:textbox inset="0mm,0mm,0mm,0mm" style="mso-fit-shape-to-text:t;">
                <w:txbxContent>
                  <w:p w14:paraId="71096A98">
                    <w:pPr>
                      <w:pStyle w:val="4"/>
                      <w:rPr>
                        <w:rFonts w:hint="default" w:ascii="Times New Roman" w:hAnsi="Times New Roman" w:cs="Times New Roman"/>
                        <w:b/>
                        <w:bCs/>
                        <w:color w:val="000000" w:themeColor="text1"/>
                        <w:sz w:val="20"/>
                        <w:szCs w:val="20"/>
                        <w14:textFill>
                          <w14:solidFill>
                            <w14:schemeClr w14:val="tx1"/>
                          </w14:solidFill>
                        </w14:textFill>
                      </w:rPr>
                    </w:pPr>
                    <w:r>
                      <w:rPr>
                        <w:rFonts w:hint="default" w:ascii="Times New Roman" w:hAnsi="Times New Roman" w:cs="Times New Roman"/>
                        <w:b/>
                        <w:bCs/>
                        <w:color w:val="000000" w:themeColor="text1"/>
                        <w:sz w:val="20"/>
                        <w:szCs w:val="20"/>
                        <w14:textFill>
                          <w14:solidFill>
                            <w14:schemeClr w14:val="tx1"/>
                          </w14:solidFill>
                        </w14:textFill>
                      </w:rPr>
                      <w:fldChar w:fldCharType="begin"/>
                    </w:r>
                    <w:r>
                      <w:rPr>
                        <w:rFonts w:hint="default" w:ascii="Times New Roman" w:hAnsi="Times New Roman" w:cs="Times New Roman"/>
                        <w:b/>
                        <w:bCs/>
                        <w:color w:val="000000" w:themeColor="text1"/>
                        <w:sz w:val="20"/>
                        <w:szCs w:val="20"/>
                        <w14:textFill>
                          <w14:solidFill>
                            <w14:schemeClr w14:val="tx1"/>
                          </w14:solidFill>
                        </w14:textFill>
                      </w:rPr>
                      <w:instrText xml:space="preserve"> PAGE  \* MERGEFORMAT </w:instrText>
                    </w:r>
                    <w:r>
                      <w:rPr>
                        <w:rFonts w:hint="default" w:ascii="Times New Roman" w:hAnsi="Times New Roman" w:cs="Times New Roman"/>
                        <w:b/>
                        <w:bCs/>
                        <w:color w:val="000000" w:themeColor="text1"/>
                        <w:sz w:val="20"/>
                        <w:szCs w:val="20"/>
                        <w14:textFill>
                          <w14:solidFill>
                            <w14:schemeClr w14:val="tx1"/>
                          </w14:solidFill>
                        </w14:textFill>
                      </w:rPr>
                      <w:fldChar w:fldCharType="separate"/>
                    </w:r>
                    <w:r>
                      <w:rPr>
                        <w:rFonts w:hint="default" w:ascii="Times New Roman" w:hAnsi="Times New Roman" w:cs="Times New Roman"/>
                        <w:b/>
                        <w:bCs/>
                        <w:color w:val="000000" w:themeColor="text1"/>
                        <w:sz w:val="20"/>
                        <w:szCs w:val="20"/>
                        <w14:textFill>
                          <w14:solidFill>
                            <w14:schemeClr w14:val="tx1"/>
                          </w14:solidFill>
                        </w14:textFill>
                      </w:rPr>
                      <w:t>1</w:t>
                    </w:r>
                    <w:r>
                      <w:rPr>
                        <w:rFonts w:hint="default" w:ascii="Times New Roman" w:hAnsi="Times New Roman" w:cs="Times New Roman"/>
                        <w:b/>
                        <w:bCs/>
                        <w:color w:val="000000" w:themeColor="text1"/>
                        <w:sz w:val="20"/>
                        <w:szCs w:val="20"/>
                        <w14:textFill>
                          <w14:solidFill>
                            <w14:schemeClr w14:val="tx1"/>
                          </w14:solidFill>
                        </w14:textFill>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8EF47C6"/>
    <w:multiLevelType w:val="multilevel"/>
    <w:tmpl w:val="78EF47C6"/>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2NLA0sDQ2NjU1MTY1tjRS0lEKTi0uzszPAykwrgUAIUN3UCwAAAA="/>
  </w:docVars>
  <w:rsids>
    <w:rsidRoot w:val="00172A27"/>
    <w:rsid w:val="000749E3"/>
    <w:rsid w:val="00076554"/>
    <w:rsid w:val="002D1C9D"/>
    <w:rsid w:val="003200E9"/>
    <w:rsid w:val="00376425"/>
    <w:rsid w:val="00437B44"/>
    <w:rsid w:val="004607F4"/>
    <w:rsid w:val="004F4FB5"/>
    <w:rsid w:val="00750C19"/>
    <w:rsid w:val="00A67D58"/>
    <w:rsid w:val="00D92164"/>
    <w:rsid w:val="00E358F0"/>
    <w:rsid w:val="00E91D6B"/>
    <w:rsid w:val="00FE1942"/>
    <w:rsid w:val="00FE36E4"/>
    <w:rsid w:val="013C690E"/>
    <w:rsid w:val="0143581A"/>
    <w:rsid w:val="01543C57"/>
    <w:rsid w:val="0187402D"/>
    <w:rsid w:val="018D54B1"/>
    <w:rsid w:val="01AC5842"/>
    <w:rsid w:val="01D46B46"/>
    <w:rsid w:val="01F80A87"/>
    <w:rsid w:val="02096CC0"/>
    <w:rsid w:val="02210E79"/>
    <w:rsid w:val="022B2C0A"/>
    <w:rsid w:val="02405F8A"/>
    <w:rsid w:val="025D08EA"/>
    <w:rsid w:val="02647ECA"/>
    <w:rsid w:val="030D0562"/>
    <w:rsid w:val="032558AB"/>
    <w:rsid w:val="03433A17"/>
    <w:rsid w:val="03CA6453"/>
    <w:rsid w:val="040556DD"/>
    <w:rsid w:val="04243DB5"/>
    <w:rsid w:val="04342AFA"/>
    <w:rsid w:val="04846602"/>
    <w:rsid w:val="04DD3F64"/>
    <w:rsid w:val="050E236F"/>
    <w:rsid w:val="052B7684"/>
    <w:rsid w:val="05465FAD"/>
    <w:rsid w:val="058D7738"/>
    <w:rsid w:val="05CF5FA2"/>
    <w:rsid w:val="05E7509A"/>
    <w:rsid w:val="05F652DD"/>
    <w:rsid w:val="05FE0636"/>
    <w:rsid w:val="06484360"/>
    <w:rsid w:val="065A1D10"/>
    <w:rsid w:val="067B3A34"/>
    <w:rsid w:val="06DE46EF"/>
    <w:rsid w:val="07287718"/>
    <w:rsid w:val="07630750"/>
    <w:rsid w:val="07702E6D"/>
    <w:rsid w:val="079A613C"/>
    <w:rsid w:val="07A019A5"/>
    <w:rsid w:val="07B90CB8"/>
    <w:rsid w:val="07DB2DC2"/>
    <w:rsid w:val="07FC3629"/>
    <w:rsid w:val="080F6B2A"/>
    <w:rsid w:val="08273E74"/>
    <w:rsid w:val="08430582"/>
    <w:rsid w:val="084A1910"/>
    <w:rsid w:val="084C0216"/>
    <w:rsid w:val="08B1198F"/>
    <w:rsid w:val="08BC62FE"/>
    <w:rsid w:val="08CF4A14"/>
    <w:rsid w:val="092263E9"/>
    <w:rsid w:val="0951052A"/>
    <w:rsid w:val="095E38C5"/>
    <w:rsid w:val="09D678FF"/>
    <w:rsid w:val="0A424F95"/>
    <w:rsid w:val="0A801619"/>
    <w:rsid w:val="0A854E82"/>
    <w:rsid w:val="0A860ED3"/>
    <w:rsid w:val="0A8A2498"/>
    <w:rsid w:val="0A917CCA"/>
    <w:rsid w:val="0AC27E84"/>
    <w:rsid w:val="0AFC15E8"/>
    <w:rsid w:val="0B1701D0"/>
    <w:rsid w:val="0B332B30"/>
    <w:rsid w:val="0B423028"/>
    <w:rsid w:val="0B6B051B"/>
    <w:rsid w:val="0BC33EB3"/>
    <w:rsid w:val="0C01678A"/>
    <w:rsid w:val="0C5919D1"/>
    <w:rsid w:val="0C5D4A6E"/>
    <w:rsid w:val="0C6D2071"/>
    <w:rsid w:val="0C822574"/>
    <w:rsid w:val="0C8278CB"/>
    <w:rsid w:val="0CB35D94"/>
    <w:rsid w:val="0CF85DDF"/>
    <w:rsid w:val="0D5374B9"/>
    <w:rsid w:val="0D5C636E"/>
    <w:rsid w:val="0D692839"/>
    <w:rsid w:val="0D766D04"/>
    <w:rsid w:val="0D786F20"/>
    <w:rsid w:val="0D7C07BE"/>
    <w:rsid w:val="0D936598"/>
    <w:rsid w:val="0DEA1BCB"/>
    <w:rsid w:val="0E3F2189"/>
    <w:rsid w:val="0E462B7A"/>
    <w:rsid w:val="0E6F20D1"/>
    <w:rsid w:val="0E8611C8"/>
    <w:rsid w:val="0E92554F"/>
    <w:rsid w:val="0EA55AF2"/>
    <w:rsid w:val="0EC248F6"/>
    <w:rsid w:val="0ED63EFE"/>
    <w:rsid w:val="0EF95E3E"/>
    <w:rsid w:val="0F8B2F3A"/>
    <w:rsid w:val="0FB35FED"/>
    <w:rsid w:val="0FC30926"/>
    <w:rsid w:val="0FE75425"/>
    <w:rsid w:val="10797237"/>
    <w:rsid w:val="10937491"/>
    <w:rsid w:val="10E548CC"/>
    <w:rsid w:val="11020FDA"/>
    <w:rsid w:val="113F222E"/>
    <w:rsid w:val="115630D4"/>
    <w:rsid w:val="118063A3"/>
    <w:rsid w:val="119875D6"/>
    <w:rsid w:val="11B04EDA"/>
    <w:rsid w:val="124F4028"/>
    <w:rsid w:val="12AD766B"/>
    <w:rsid w:val="12DE7825"/>
    <w:rsid w:val="12F232D0"/>
    <w:rsid w:val="12F9465F"/>
    <w:rsid w:val="13516249"/>
    <w:rsid w:val="136E0BA9"/>
    <w:rsid w:val="139A1C63"/>
    <w:rsid w:val="13B15D9A"/>
    <w:rsid w:val="13E1581F"/>
    <w:rsid w:val="13F217DA"/>
    <w:rsid w:val="140C03C2"/>
    <w:rsid w:val="146401FE"/>
    <w:rsid w:val="147E33E7"/>
    <w:rsid w:val="14EA0703"/>
    <w:rsid w:val="14EC690C"/>
    <w:rsid w:val="14F41582"/>
    <w:rsid w:val="15273705"/>
    <w:rsid w:val="15A22D8C"/>
    <w:rsid w:val="162D4D4B"/>
    <w:rsid w:val="16421E79"/>
    <w:rsid w:val="164744BF"/>
    <w:rsid w:val="16DF591A"/>
    <w:rsid w:val="16F21AF1"/>
    <w:rsid w:val="1720665E"/>
    <w:rsid w:val="17290A30"/>
    <w:rsid w:val="176C53FF"/>
    <w:rsid w:val="178D35C8"/>
    <w:rsid w:val="17C57205"/>
    <w:rsid w:val="17E07B9B"/>
    <w:rsid w:val="181A0639"/>
    <w:rsid w:val="187A7FF0"/>
    <w:rsid w:val="18A6291D"/>
    <w:rsid w:val="18A92683"/>
    <w:rsid w:val="18DF60A5"/>
    <w:rsid w:val="193B07CC"/>
    <w:rsid w:val="196A1E12"/>
    <w:rsid w:val="1977008B"/>
    <w:rsid w:val="19EF056A"/>
    <w:rsid w:val="1A1F0E4F"/>
    <w:rsid w:val="1A253F8B"/>
    <w:rsid w:val="1A3F6DFB"/>
    <w:rsid w:val="1AAB623F"/>
    <w:rsid w:val="1AC45552"/>
    <w:rsid w:val="1AC83294"/>
    <w:rsid w:val="1ADD6614"/>
    <w:rsid w:val="1B157B5C"/>
    <w:rsid w:val="1B1F6C2C"/>
    <w:rsid w:val="1B50328A"/>
    <w:rsid w:val="1C4701E9"/>
    <w:rsid w:val="1C931680"/>
    <w:rsid w:val="1CBD66FD"/>
    <w:rsid w:val="1CFA525B"/>
    <w:rsid w:val="1D0460DA"/>
    <w:rsid w:val="1D42130E"/>
    <w:rsid w:val="1D5A219E"/>
    <w:rsid w:val="1DD0420E"/>
    <w:rsid w:val="1DDD64C7"/>
    <w:rsid w:val="1DE877AA"/>
    <w:rsid w:val="1DF3687A"/>
    <w:rsid w:val="1E5B61CE"/>
    <w:rsid w:val="1EC04283"/>
    <w:rsid w:val="1ECE5260"/>
    <w:rsid w:val="1EF36406"/>
    <w:rsid w:val="1EF54BEB"/>
    <w:rsid w:val="1F1A3993"/>
    <w:rsid w:val="1F3C5FFF"/>
    <w:rsid w:val="1F881244"/>
    <w:rsid w:val="1F901EA7"/>
    <w:rsid w:val="1FEC17D3"/>
    <w:rsid w:val="203647FC"/>
    <w:rsid w:val="204824B6"/>
    <w:rsid w:val="20B9461D"/>
    <w:rsid w:val="20D65FDF"/>
    <w:rsid w:val="20DA787E"/>
    <w:rsid w:val="20FE546B"/>
    <w:rsid w:val="21156B08"/>
    <w:rsid w:val="21353AAF"/>
    <w:rsid w:val="21464F13"/>
    <w:rsid w:val="21D73DBD"/>
    <w:rsid w:val="220E5FD5"/>
    <w:rsid w:val="22277108"/>
    <w:rsid w:val="228F31DD"/>
    <w:rsid w:val="22A53EBB"/>
    <w:rsid w:val="2305495A"/>
    <w:rsid w:val="236E47A5"/>
    <w:rsid w:val="23BF4396"/>
    <w:rsid w:val="23D05430"/>
    <w:rsid w:val="23DE58D7"/>
    <w:rsid w:val="23E27E67"/>
    <w:rsid w:val="23F46EA8"/>
    <w:rsid w:val="24066BDB"/>
    <w:rsid w:val="248F1FF8"/>
    <w:rsid w:val="249146F7"/>
    <w:rsid w:val="24B6415E"/>
    <w:rsid w:val="251D242F"/>
    <w:rsid w:val="259D531E"/>
    <w:rsid w:val="25A466AC"/>
    <w:rsid w:val="25CF31BB"/>
    <w:rsid w:val="25ED0053"/>
    <w:rsid w:val="25F50CB6"/>
    <w:rsid w:val="266B541C"/>
    <w:rsid w:val="26B40B71"/>
    <w:rsid w:val="26F21B50"/>
    <w:rsid w:val="26FD42C6"/>
    <w:rsid w:val="27383550"/>
    <w:rsid w:val="273F48DE"/>
    <w:rsid w:val="277327DA"/>
    <w:rsid w:val="279B3AF6"/>
    <w:rsid w:val="27C22E19"/>
    <w:rsid w:val="27C941A8"/>
    <w:rsid w:val="27D56FF1"/>
    <w:rsid w:val="28C332ED"/>
    <w:rsid w:val="28C66939"/>
    <w:rsid w:val="292C0E92"/>
    <w:rsid w:val="29C015DB"/>
    <w:rsid w:val="29C9048F"/>
    <w:rsid w:val="29E17ECF"/>
    <w:rsid w:val="2A1B4A63"/>
    <w:rsid w:val="2A337FFE"/>
    <w:rsid w:val="2A392ECC"/>
    <w:rsid w:val="2A8B3997"/>
    <w:rsid w:val="2AB033FD"/>
    <w:rsid w:val="2AE8703B"/>
    <w:rsid w:val="2B125E66"/>
    <w:rsid w:val="2B326508"/>
    <w:rsid w:val="2B391645"/>
    <w:rsid w:val="2B5B15BB"/>
    <w:rsid w:val="2B5E10AB"/>
    <w:rsid w:val="2B930385"/>
    <w:rsid w:val="2BD870AF"/>
    <w:rsid w:val="2C3F3C21"/>
    <w:rsid w:val="2C504E98"/>
    <w:rsid w:val="2C866B0B"/>
    <w:rsid w:val="2CAB6572"/>
    <w:rsid w:val="2CB05936"/>
    <w:rsid w:val="2CF775D2"/>
    <w:rsid w:val="2D7E77E3"/>
    <w:rsid w:val="2D9708A4"/>
    <w:rsid w:val="2DDB2E87"/>
    <w:rsid w:val="2E474078"/>
    <w:rsid w:val="2E7D4398"/>
    <w:rsid w:val="2ECD0A22"/>
    <w:rsid w:val="2F0C29EA"/>
    <w:rsid w:val="2F4A2072"/>
    <w:rsid w:val="2F803CE6"/>
    <w:rsid w:val="2F994DA8"/>
    <w:rsid w:val="301306B6"/>
    <w:rsid w:val="30314FE0"/>
    <w:rsid w:val="30823A8E"/>
    <w:rsid w:val="30A12166"/>
    <w:rsid w:val="30C145B6"/>
    <w:rsid w:val="30DD6F16"/>
    <w:rsid w:val="317C672F"/>
    <w:rsid w:val="31936645"/>
    <w:rsid w:val="31CF4AB1"/>
    <w:rsid w:val="31DB3455"/>
    <w:rsid w:val="32292413"/>
    <w:rsid w:val="327B69E7"/>
    <w:rsid w:val="32B55A55"/>
    <w:rsid w:val="3307027A"/>
    <w:rsid w:val="3334538E"/>
    <w:rsid w:val="33A72170"/>
    <w:rsid w:val="33D60378"/>
    <w:rsid w:val="33EC7B9C"/>
    <w:rsid w:val="340622E0"/>
    <w:rsid w:val="348F0527"/>
    <w:rsid w:val="34BB756E"/>
    <w:rsid w:val="34C208FD"/>
    <w:rsid w:val="34DD1293"/>
    <w:rsid w:val="34EC1683"/>
    <w:rsid w:val="34FF56AD"/>
    <w:rsid w:val="354E2190"/>
    <w:rsid w:val="356F66DB"/>
    <w:rsid w:val="3579545F"/>
    <w:rsid w:val="35CF32D1"/>
    <w:rsid w:val="35EB3E83"/>
    <w:rsid w:val="36B67FED"/>
    <w:rsid w:val="36C95F72"/>
    <w:rsid w:val="36EA5EE9"/>
    <w:rsid w:val="372A1930"/>
    <w:rsid w:val="373B6744"/>
    <w:rsid w:val="37737C8C"/>
    <w:rsid w:val="37BA3B0D"/>
    <w:rsid w:val="37F77219"/>
    <w:rsid w:val="381D0B9F"/>
    <w:rsid w:val="38455ACD"/>
    <w:rsid w:val="385775AE"/>
    <w:rsid w:val="38710670"/>
    <w:rsid w:val="387737AC"/>
    <w:rsid w:val="38BB5D8F"/>
    <w:rsid w:val="38F36F42"/>
    <w:rsid w:val="38FF3ECD"/>
    <w:rsid w:val="39331DC9"/>
    <w:rsid w:val="3938118D"/>
    <w:rsid w:val="39447B32"/>
    <w:rsid w:val="3984044C"/>
    <w:rsid w:val="3A4B4EF0"/>
    <w:rsid w:val="3A824DB6"/>
    <w:rsid w:val="3AD153F6"/>
    <w:rsid w:val="3BC66F24"/>
    <w:rsid w:val="3BED44B1"/>
    <w:rsid w:val="3C65673D"/>
    <w:rsid w:val="3CB7686D"/>
    <w:rsid w:val="3CC50F8A"/>
    <w:rsid w:val="3D2008B6"/>
    <w:rsid w:val="3D4225DB"/>
    <w:rsid w:val="3D712EC0"/>
    <w:rsid w:val="3D874491"/>
    <w:rsid w:val="3DA2751D"/>
    <w:rsid w:val="3E265A58"/>
    <w:rsid w:val="3E7B6F01"/>
    <w:rsid w:val="3E946E66"/>
    <w:rsid w:val="3EC84D62"/>
    <w:rsid w:val="3F087854"/>
    <w:rsid w:val="3F226537"/>
    <w:rsid w:val="3F23643C"/>
    <w:rsid w:val="3F3D74FE"/>
    <w:rsid w:val="3F4C7741"/>
    <w:rsid w:val="3F9A53F1"/>
    <w:rsid w:val="3FD87226"/>
    <w:rsid w:val="401F4E55"/>
    <w:rsid w:val="404258D3"/>
    <w:rsid w:val="404E573A"/>
    <w:rsid w:val="4093139F"/>
    <w:rsid w:val="40B03CFF"/>
    <w:rsid w:val="40B1443A"/>
    <w:rsid w:val="40C61775"/>
    <w:rsid w:val="410302D3"/>
    <w:rsid w:val="42672AE3"/>
    <w:rsid w:val="42884E46"/>
    <w:rsid w:val="42C10446"/>
    <w:rsid w:val="42F25864"/>
    <w:rsid w:val="43036368"/>
    <w:rsid w:val="4340580E"/>
    <w:rsid w:val="435E3EE6"/>
    <w:rsid w:val="435E7A42"/>
    <w:rsid w:val="436D4129"/>
    <w:rsid w:val="43784FA8"/>
    <w:rsid w:val="43AC2EA4"/>
    <w:rsid w:val="43B7662D"/>
    <w:rsid w:val="4447497A"/>
    <w:rsid w:val="445D5F4C"/>
    <w:rsid w:val="45717F01"/>
    <w:rsid w:val="45BB491C"/>
    <w:rsid w:val="45E71F71"/>
    <w:rsid w:val="462F56C6"/>
    <w:rsid w:val="46503FBA"/>
    <w:rsid w:val="46696E2A"/>
    <w:rsid w:val="46767799"/>
    <w:rsid w:val="467F21AA"/>
    <w:rsid w:val="46A72BE0"/>
    <w:rsid w:val="46AC4F69"/>
    <w:rsid w:val="46AD6644"/>
    <w:rsid w:val="46C027C2"/>
    <w:rsid w:val="471D19C3"/>
    <w:rsid w:val="4770243A"/>
    <w:rsid w:val="477E6905"/>
    <w:rsid w:val="479510FE"/>
    <w:rsid w:val="47A125F4"/>
    <w:rsid w:val="47A7416C"/>
    <w:rsid w:val="480A1F47"/>
    <w:rsid w:val="480F3A01"/>
    <w:rsid w:val="481B4154"/>
    <w:rsid w:val="486D0B9D"/>
    <w:rsid w:val="48927C38"/>
    <w:rsid w:val="48AB2599"/>
    <w:rsid w:val="49011C8F"/>
    <w:rsid w:val="49080B7C"/>
    <w:rsid w:val="491C4628"/>
    <w:rsid w:val="497B0D1B"/>
    <w:rsid w:val="49957F36"/>
    <w:rsid w:val="49E8275C"/>
    <w:rsid w:val="49FE5ADB"/>
    <w:rsid w:val="4AA77F21"/>
    <w:rsid w:val="4ACE3700"/>
    <w:rsid w:val="4B1D01E3"/>
    <w:rsid w:val="4B313C8F"/>
    <w:rsid w:val="4B461F07"/>
    <w:rsid w:val="4B82753C"/>
    <w:rsid w:val="4BA97CC9"/>
    <w:rsid w:val="4BD5286C"/>
    <w:rsid w:val="4BFC3F54"/>
    <w:rsid w:val="4C0520F9"/>
    <w:rsid w:val="4C12586E"/>
    <w:rsid w:val="4C856040"/>
    <w:rsid w:val="4CAD5597"/>
    <w:rsid w:val="4CCF375F"/>
    <w:rsid w:val="4CF971AF"/>
    <w:rsid w:val="4D297313"/>
    <w:rsid w:val="4D423712"/>
    <w:rsid w:val="4D97427D"/>
    <w:rsid w:val="4DA92202"/>
    <w:rsid w:val="4DCE1C69"/>
    <w:rsid w:val="4E434405"/>
    <w:rsid w:val="4E807407"/>
    <w:rsid w:val="4F7505EE"/>
    <w:rsid w:val="4F7F5B62"/>
    <w:rsid w:val="4F8D6993"/>
    <w:rsid w:val="4F905428"/>
    <w:rsid w:val="50066510"/>
    <w:rsid w:val="501F0559"/>
    <w:rsid w:val="501F1883"/>
    <w:rsid w:val="50414974"/>
    <w:rsid w:val="504E03B2"/>
    <w:rsid w:val="50AE3D2A"/>
    <w:rsid w:val="5124051D"/>
    <w:rsid w:val="513D338D"/>
    <w:rsid w:val="514566E6"/>
    <w:rsid w:val="517B2107"/>
    <w:rsid w:val="51FC440F"/>
    <w:rsid w:val="5246001F"/>
    <w:rsid w:val="525C3CE7"/>
    <w:rsid w:val="525E180D"/>
    <w:rsid w:val="525E4D8F"/>
    <w:rsid w:val="526B217C"/>
    <w:rsid w:val="52903990"/>
    <w:rsid w:val="529F0D75"/>
    <w:rsid w:val="52A03BD4"/>
    <w:rsid w:val="52B458D1"/>
    <w:rsid w:val="52D824F3"/>
    <w:rsid w:val="52DE6A3E"/>
    <w:rsid w:val="530E2837"/>
    <w:rsid w:val="53666903"/>
    <w:rsid w:val="537D6773"/>
    <w:rsid w:val="538779D4"/>
    <w:rsid w:val="538F66B1"/>
    <w:rsid w:val="53AB6CD4"/>
    <w:rsid w:val="54790B80"/>
    <w:rsid w:val="54DE4E87"/>
    <w:rsid w:val="55DB4F23"/>
    <w:rsid w:val="562763BA"/>
    <w:rsid w:val="5637484F"/>
    <w:rsid w:val="56821842"/>
    <w:rsid w:val="57435475"/>
    <w:rsid w:val="576F0018"/>
    <w:rsid w:val="57776ECD"/>
    <w:rsid w:val="579D4B86"/>
    <w:rsid w:val="57A646D9"/>
    <w:rsid w:val="57DE6F4C"/>
    <w:rsid w:val="57E74053"/>
    <w:rsid w:val="58134F45"/>
    <w:rsid w:val="583A27D5"/>
    <w:rsid w:val="584E5E80"/>
    <w:rsid w:val="587C0C3F"/>
    <w:rsid w:val="58A81A34"/>
    <w:rsid w:val="58C47EF0"/>
    <w:rsid w:val="58D42829"/>
    <w:rsid w:val="58DE7204"/>
    <w:rsid w:val="590F616B"/>
    <w:rsid w:val="5919648E"/>
    <w:rsid w:val="59A33FA9"/>
    <w:rsid w:val="59C3464B"/>
    <w:rsid w:val="5A296BA4"/>
    <w:rsid w:val="5A3317D1"/>
    <w:rsid w:val="5A5B4884"/>
    <w:rsid w:val="5AC02939"/>
    <w:rsid w:val="5B0B0058"/>
    <w:rsid w:val="5B1F58B2"/>
    <w:rsid w:val="5B435A44"/>
    <w:rsid w:val="5B4F07E4"/>
    <w:rsid w:val="5B8A71CF"/>
    <w:rsid w:val="5BA33419"/>
    <w:rsid w:val="5BCC3C8B"/>
    <w:rsid w:val="5BFE196B"/>
    <w:rsid w:val="5C0F3B78"/>
    <w:rsid w:val="5C4001D5"/>
    <w:rsid w:val="5C675EB2"/>
    <w:rsid w:val="5C8E2CEF"/>
    <w:rsid w:val="5D0B433F"/>
    <w:rsid w:val="5D270DF1"/>
    <w:rsid w:val="5D706898"/>
    <w:rsid w:val="5E4A0E97"/>
    <w:rsid w:val="5E8C14B0"/>
    <w:rsid w:val="5EC56770"/>
    <w:rsid w:val="5F0D0843"/>
    <w:rsid w:val="5F2C67EF"/>
    <w:rsid w:val="5F4C0C3F"/>
    <w:rsid w:val="5F7563E8"/>
    <w:rsid w:val="5FD27396"/>
    <w:rsid w:val="604A517F"/>
    <w:rsid w:val="604D1D2E"/>
    <w:rsid w:val="60536729"/>
    <w:rsid w:val="60940AF0"/>
    <w:rsid w:val="60E9469A"/>
    <w:rsid w:val="61167757"/>
    <w:rsid w:val="612376E2"/>
    <w:rsid w:val="61291238"/>
    <w:rsid w:val="6155569F"/>
    <w:rsid w:val="61695AD8"/>
    <w:rsid w:val="61730705"/>
    <w:rsid w:val="6175447D"/>
    <w:rsid w:val="61C64CD9"/>
    <w:rsid w:val="61D218D0"/>
    <w:rsid w:val="6232236E"/>
    <w:rsid w:val="62513031"/>
    <w:rsid w:val="626764BC"/>
    <w:rsid w:val="62A72D5C"/>
    <w:rsid w:val="62BE2F97"/>
    <w:rsid w:val="62DD052C"/>
    <w:rsid w:val="63057A83"/>
    <w:rsid w:val="63827325"/>
    <w:rsid w:val="6397692D"/>
    <w:rsid w:val="63C61435"/>
    <w:rsid w:val="63D00091"/>
    <w:rsid w:val="63D538F9"/>
    <w:rsid w:val="643E149E"/>
    <w:rsid w:val="64850E7B"/>
    <w:rsid w:val="64DB4F3F"/>
    <w:rsid w:val="64FD3107"/>
    <w:rsid w:val="64FF0C2E"/>
    <w:rsid w:val="652F0DE7"/>
    <w:rsid w:val="654900FB"/>
    <w:rsid w:val="65921AA2"/>
    <w:rsid w:val="65CA38DD"/>
    <w:rsid w:val="66525B41"/>
    <w:rsid w:val="66A26B3B"/>
    <w:rsid w:val="66CE250A"/>
    <w:rsid w:val="66EF6A80"/>
    <w:rsid w:val="66F410BB"/>
    <w:rsid w:val="67080B30"/>
    <w:rsid w:val="670818F0"/>
    <w:rsid w:val="671E1113"/>
    <w:rsid w:val="672524A2"/>
    <w:rsid w:val="676A4358"/>
    <w:rsid w:val="67CA4DF7"/>
    <w:rsid w:val="67FC4FEA"/>
    <w:rsid w:val="68262975"/>
    <w:rsid w:val="68525518"/>
    <w:rsid w:val="68A67612"/>
    <w:rsid w:val="68C1444C"/>
    <w:rsid w:val="68C31F72"/>
    <w:rsid w:val="68CF0917"/>
    <w:rsid w:val="68DC3034"/>
    <w:rsid w:val="697A1BEC"/>
    <w:rsid w:val="69823BDB"/>
    <w:rsid w:val="69AA3132"/>
    <w:rsid w:val="69D106BF"/>
    <w:rsid w:val="69F148BD"/>
    <w:rsid w:val="69FC1BE0"/>
    <w:rsid w:val="6A114F5F"/>
    <w:rsid w:val="6A234CFD"/>
    <w:rsid w:val="6A2922A9"/>
    <w:rsid w:val="6AD06BC8"/>
    <w:rsid w:val="6AFB1E97"/>
    <w:rsid w:val="6B5670CE"/>
    <w:rsid w:val="6B721A2E"/>
    <w:rsid w:val="6B777044"/>
    <w:rsid w:val="6BA928DB"/>
    <w:rsid w:val="6BE04BE9"/>
    <w:rsid w:val="6BE7241B"/>
    <w:rsid w:val="6C292A34"/>
    <w:rsid w:val="6C5630FD"/>
    <w:rsid w:val="6C964751"/>
    <w:rsid w:val="6CC80B73"/>
    <w:rsid w:val="6CDE381E"/>
    <w:rsid w:val="6DA02882"/>
    <w:rsid w:val="6E0252EB"/>
    <w:rsid w:val="6E49116B"/>
    <w:rsid w:val="6E4E761C"/>
    <w:rsid w:val="6E647D53"/>
    <w:rsid w:val="6EB65181"/>
    <w:rsid w:val="6F3E2352"/>
    <w:rsid w:val="6F434296"/>
    <w:rsid w:val="6F5E6E9E"/>
    <w:rsid w:val="6F767D3E"/>
    <w:rsid w:val="6FB7647C"/>
    <w:rsid w:val="6FE56C72"/>
    <w:rsid w:val="6FF82DE6"/>
    <w:rsid w:val="70875F7B"/>
    <w:rsid w:val="70952446"/>
    <w:rsid w:val="70A73F27"/>
    <w:rsid w:val="70D80585"/>
    <w:rsid w:val="712F289B"/>
    <w:rsid w:val="714B51FB"/>
    <w:rsid w:val="71A52B5D"/>
    <w:rsid w:val="71DE606F"/>
    <w:rsid w:val="729606F7"/>
    <w:rsid w:val="735637C7"/>
    <w:rsid w:val="73591E51"/>
    <w:rsid w:val="7375135A"/>
    <w:rsid w:val="737E18B7"/>
    <w:rsid w:val="73AA6208"/>
    <w:rsid w:val="741B44AC"/>
    <w:rsid w:val="7420471D"/>
    <w:rsid w:val="74493C73"/>
    <w:rsid w:val="744F348C"/>
    <w:rsid w:val="746C1710"/>
    <w:rsid w:val="74DD43BC"/>
    <w:rsid w:val="75023E22"/>
    <w:rsid w:val="75706FDE"/>
    <w:rsid w:val="75B55338"/>
    <w:rsid w:val="75C80BC8"/>
    <w:rsid w:val="75DC0B17"/>
    <w:rsid w:val="75FB71EF"/>
    <w:rsid w:val="770E4D00"/>
    <w:rsid w:val="77454C9B"/>
    <w:rsid w:val="77891421"/>
    <w:rsid w:val="77DA2E34"/>
    <w:rsid w:val="77FE4D75"/>
    <w:rsid w:val="780103C1"/>
    <w:rsid w:val="78056103"/>
    <w:rsid w:val="78232A2D"/>
    <w:rsid w:val="78482494"/>
    <w:rsid w:val="78490BBA"/>
    <w:rsid w:val="786D5A56"/>
    <w:rsid w:val="78AC657F"/>
    <w:rsid w:val="79490272"/>
    <w:rsid w:val="79CE69C9"/>
    <w:rsid w:val="7A0F64ED"/>
    <w:rsid w:val="7A2860D9"/>
    <w:rsid w:val="7A910122"/>
    <w:rsid w:val="7ABE07EB"/>
    <w:rsid w:val="7AF1471D"/>
    <w:rsid w:val="7AF34939"/>
    <w:rsid w:val="7B641393"/>
    <w:rsid w:val="7B712CF2"/>
    <w:rsid w:val="7B971768"/>
    <w:rsid w:val="7BA37D65"/>
    <w:rsid w:val="7C1728A9"/>
    <w:rsid w:val="7C173577"/>
    <w:rsid w:val="7C3D3992"/>
    <w:rsid w:val="7C7A6994"/>
    <w:rsid w:val="7C86358B"/>
    <w:rsid w:val="7C945CA8"/>
    <w:rsid w:val="7CB41EA6"/>
    <w:rsid w:val="7CCC5441"/>
    <w:rsid w:val="7CE43A4E"/>
    <w:rsid w:val="7CEF7382"/>
    <w:rsid w:val="7D63578A"/>
    <w:rsid w:val="7D637428"/>
    <w:rsid w:val="7DE247F1"/>
    <w:rsid w:val="7E2748F9"/>
    <w:rsid w:val="7E3C03A5"/>
    <w:rsid w:val="7E494870"/>
    <w:rsid w:val="7E694F12"/>
    <w:rsid w:val="7E9C0E44"/>
    <w:rsid w:val="7EAF6DC9"/>
    <w:rsid w:val="7F2A644F"/>
    <w:rsid w:val="7F372549"/>
    <w:rsid w:val="7F475253"/>
    <w:rsid w:val="7F671451"/>
    <w:rsid w:val="7F875650"/>
    <w:rsid w:val="7FCB7C32"/>
    <w:rsid w:val="7FEA6B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pPr>
      <w:spacing w:before="180" w:after="180"/>
    </w:pPr>
  </w:style>
  <w:style w:type="paragraph" w:styleId="3">
    <w:name w:val="Balloon Text"/>
    <w:basedOn w:val="1"/>
    <w:link w:val="12"/>
    <w:semiHidden/>
    <w:unhideWhenUsed/>
    <w:qFormat/>
    <w:uiPriority w:val="99"/>
    <w:rPr>
      <w:sz w:val="18"/>
      <w:szCs w:val="18"/>
    </w:rPr>
  </w:style>
  <w:style w:type="paragraph" w:styleId="4">
    <w:name w:val="footer"/>
    <w:basedOn w:val="1"/>
    <w:link w:val="10"/>
    <w:unhideWhenUsed/>
    <w:qFormat/>
    <w:uiPriority w:val="99"/>
    <w:pPr>
      <w:tabs>
        <w:tab w:val="center" w:pos="4153"/>
        <w:tab w:val="right" w:pos="8306"/>
      </w:tabs>
      <w:snapToGrid w:val="0"/>
      <w:jc w:val="left"/>
    </w:pPr>
    <w:rPr>
      <w:sz w:val="18"/>
      <w:szCs w:val="18"/>
    </w:rPr>
  </w:style>
  <w:style w:type="paragraph" w:styleId="5">
    <w:name w:val="header"/>
    <w:basedOn w:val="1"/>
    <w:link w:val="9"/>
    <w:unhideWhenUsed/>
    <w:qFormat/>
    <w:uiPriority w:val="99"/>
    <w:pPr>
      <w:pBdr>
        <w:bottom w:val="single" w:color="auto" w:sz="6" w:space="1"/>
      </w:pBdr>
      <w:tabs>
        <w:tab w:val="center" w:pos="4153"/>
        <w:tab w:val="right" w:pos="8306"/>
      </w:tabs>
      <w:snapToGrid w:val="0"/>
      <w:jc w:val="center"/>
    </w:pPr>
    <w:rPr>
      <w:sz w:val="18"/>
      <w:szCs w:val="18"/>
    </w:rPr>
  </w:style>
  <w:style w:type="table" w:styleId="7">
    <w:name w:val="Table Grid"/>
    <w:basedOn w:val="6"/>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9">
    <w:name w:val="页眉 Char"/>
    <w:basedOn w:val="8"/>
    <w:link w:val="5"/>
    <w:qFormat/>
    <w:uiPriority w:val="99"/>
    <w:rPr>
      <w:sz w:val="18"/>
      <w:szCs w:val="18"/>
    </w:rPr>
  </w:style>
  <w:style w:type="character" w:customStyle="1" w:styleId="10">
    <w:name w:val="页脚 Char"/>
    <w:basedOn w:val="8"/>
    <w:link w:val="4"/>
    <w:qFormat/>
    <w:uiPriority w:val="99"/>
    <w:rPr>
      <w:sz w:val="18"/>
      <w:szCs w:val="18"/>
    </w:rPr>
  </w:style>
  <w:style w:type="paragraph" w:styleId="11">
    <w:name w:val="List Paragraph"/>
    <w:basedOn w:val="1"/>
    <w:qFormat/>
    <w:uiPriority w:val="34"/>
    <w:pPr>
      <w:ind w:firstLine="420" w:firstLineChars="200"/>
    </w:pPr>
  </w:style>
  <w:style w:type="character" w:customStyle="1" w:styleId="12">
    <w:name w:val="批注框文本 Char"/>
    <w:basedOn w:val="8"/>
    <w:link w:val="3"/>
    <w:semiHidden/>
    <w:qFormat/>
    <w:uiPriority w:val="99"/>
    <w:rPr>
      <w:sz w:val="18"/>
      <w:szCs w:val="18"/>
    </w:rPr>
  </w:style>
  <w:style w:type="paragraph" w:customStyle="1" w:styleId="13">
    <w:name w:val="First Paragraph"/>
    <w:basedOn w:val="2"/>
    <w:next w:val="2"/>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numbering" Target="numbering.xml"/><Relationship Id="rId10" Type="http://schemas.openxmlformats.org/officeDocument/2006/relationships/customXml" Target="../customXml/item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WHU</Company>
  <Pages>7</Pages>
  <Words>459</Words>
  <Characters>2343</Characters>
  <Lines>15</Lines>
  <Paragraphs>4</Paragraphs>
  <TotalTime>4</TotalTime>
  <ScaleCrop>false</ScaleCrop>
  <LinksUpToDate>false</LinksUpToDate>
  <CharactersWithSpaces>2792</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2022-10-22T10:48:00Z</dcterms:created>
  <dc:creator>Admin</dc:creator>
  <cp:lastModifiedBy>陆恒</cp:lastModifiedBy>
  <dcterms:modified xsi:type="dcterms:W3CDTF">2025-07-24T08:56:28Z</dcterms:modified>
  <cp:revision>23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28C59E242D8D49FC992BD7B044C00F0A_12</vt:lpwstr>
  </property>
  <property fmtid="{D5CDD505-2E9C-101B-9397-08002B2CF9AE}" pid="4" name="Mendeley Recent Style Id 0_1">
    <vt:lpwstr>http://www.zotero.org/styles/additive-manufacturing</vt:lpwstr>
  </property>
  <property fmtid="{D5CDD505-2E9C-101B-9397-08002B2CF9AE}" pid="5" name="Mendeley Recent Style Name 0_1">
    <vt:lpwstr>Additive Manufacturing</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7th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 6th edition</vt:lpwstr>
  </property>
  <property fmtid="{D5CDD505-2E9C-101B-9397-08002B2CF9AE}" pid="10" name="Mendeley Recent Style Id 3_1">
    <vt:lpwstr>http://www.zotero.org/styles/applied-thermal-engineering</vt:lpwstr>
  </property>
  <property fmtid="{D5CDD505-2E9C-101B-9397-08002B2CF9AE}" pid="11" name="Mendeley Recent Style Name 3_1">
    <vt:lpwstr>Applied Thermal Engineering</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http://www.zotero.org/styles/institute-of-physics-numeric</vt:lpwstr>
  </property>
  <property fmtid="{D5CDD505-2E9C-101B-9397-08002B2CF9AE}" pid="17" name="Mendeley Recent Style Name 6_1">
    <vt:lpwstr>Institute of Physics (numeric)</vt:lpwstr>
  </property>
  <property fmtid="{D5CDD505-2E9C-101B-9397-08002B2CF9AE}" pid="18" name="Mendeley Recent Style Id 7_1">
    <vt:lpwstr>http://www.zotero.org/styles/international-journal-of-heat-and-mass-transfer</vt:lpwstr>
  </property>
  <property fmtid="{D5CDD505-2E9C-101B-9397-08002B2CF9AE}" pid="19" name="Mendeley Recent Style Name 7_1">
    <vt:lpwstr>International Journal of Heat and Mass Transfer</vt:lpwstr>
  </property>
  <property fmtid="{D5CDD505-2E9C-101B-9397-08002B2CF9AE}" pid="20" name="Mendeley Recent Style Id 8_1">
    <vt:lpwstr>http://www.zotero.org/styles/modern-humanities-research-association</vt:lpwstr>
  </property>
  <property fmtid="{D5CDD505-2E9C-101B-9397-08002B2CF9AE}" pid="21" name="Mendeley Recent Style Name 8_1">
    <vt:lpwstr>Modern Humanities Research Association 3rd edition (note with bibliography)</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Document_1">
    <vt:lpwstr>True</vt:lpwstr>
  </property>
  <property fmtid="{D5CDD505-2E9C-101B-9397-08002B2CF9AE}" pid="25" name="Mendeley Unique User Id_1">
    <vt:lpwstr>8fee6dc9-d199-35fe-a44c-e9a8473e8225</vt:lpwstr>
  </property>
  <property fmtid="{D5CDD505-2E9C-101B-9397-08002B2CF9AE}" pid="26" name="Mendeley Citation Style_1">
    <vt:lpwstr>http://www.zotero.org/styles/applied-thermal-engineering</vt:lpwstr>
  </property>
  <property fmtid="{D5CDD505-2E9C-101B-9397-08002B2CF9AE}" pid="27" name="KSOTemplateDocerSaveRecord">
    <vt:lpwstr>eyJoZGlkIjoiYzJkYTEyNzZkNWVmMDRhMTg3MzQyY2I4NjE0Y2I1YzUiLCJ1c2VySWQiOiIxNjYxNjAxODYwIn0=</vt:lpwstr>
  </property>
</Properties>
</file>