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bookmarkStart w:id="0" w:name="OLE_LINK6"/>
      <w:r>
        <w:rPr>
          <w:rFonts w:hint="default" w:ascii="Times New Roman" w:hAnsi="Times New Roman" w:cs="Times New Roman"/>
          <w:b/>
          <w:bCs w:val="0"/>
          <w:color w:val="000000" w:themeColor="text1"/>
          <w:sz w:val="24"/>
          <w:szCs w:val="24"/>
          <w:lang w:val="en-US" w:eastAsia="zh-CN"/>
          <w14:textFill>
            <w14:solidFill>
              <w14:schemeClr w14:val="tx1"/>
            </w14:solidFill>
          </w14:textFill>
        </w:rPr>
        <w:t xml:space="preserve">Supplement </w:t>
      </w:r>
      <w:r>
        <w:rPr>
          <w:rFonts w:hint="default" w:ascii="Times New Roman" w:hAnsi="Times New Roman" w:eastAsia="Segoe UI" w:cs="Times New Roman"/>
          <w:b/>
          <w:bCs/>
          <w:i w:val="0"/>
          <w:iCs w:val="0"/>
          <w:caps w:val="0"/>
          <w:color w:val="000000" w:themeColor="text1"/>
          <w:spacing w:val="0"/>
          <w:sz w:val="24"/>
          <w:szCs w:val="24"/>
          <w:shd w:val="clear" w:fill="FFFFFF"/>
          <w14:textFill>
            <w14:solidFill>
              <w14:schemeClr w14:val="tx1"/>
            </w14:solidFill>
          </w14:textFill>
        </w:rPr>
        <w:t>information</w:t>
      </w:r>
    </w:p>
    <w:bookmarkEnd w:id="0"/>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 xml:space="preserve">Nattokinase-mediated </w:t>
      </w:r>
      <w:r>
        <w:rPr>
          <w:rFonts w:hint="eastAsia" w:ascii="Times New Roman" w:hAnsi="Times New Roman" w:cs="Times New Roman"/>
          <w:b/>
          <w:bCs w:val="0"/>
          <w:color w:val="000000" w:themeColor="text1"/>
          <w:kern w:val="2"/>
          <w:sz w:val="24"/>
          <w:szCs w:val="24"/>
          <w:lang w:val="en-US" w:eastAsia="zh-CN" w:bidi="ar"/>
          <w14:textFill>
            <w14:solidFill>
              <w14:schemeClr w14:val="tx1"/>
            </w14:solidFill>
          </w14:textFill>
          <w14:ligatures w14:val="standardContextual"/>
        </w:rPr>
        <w:t>r</w:t>
      </w:r>
      <w:r>
        <w:rPr>
          <w:rFonts w:ascii="Times New Roman" w:hAnsi="Times New Roman" w:cs="Times New Roman" w:eastAsiaTheme="minorEastAsia"/>
          <w:b/>
          <w:bCs w:val="0"/>
          <w:color w:val="000000" w:themeColor="text1"/>
          <w:kern w:val="2"/>
          <w:sz w:val="24"/>
          <w:szCs w:val="24"/>
          <w:lang w:val="en-US" w:eastAsia="zh-CN" w:bidi="ar"/>
          <w14:textFill>
            <w14:solidFill>
              <w14:schemeClr w14:val="tx1"/>
            </w14:solidFill>
          </w14:textFill>
          <w14:ligatures w14:val="standardContextual"/>
        </w:rPr>
        <w:t xml:space="preserve">egulation of </w:t>
      </w:r>
      <w:r>
        <w:rPr>
          <w:rFonts w:hint="eastAsia" w:ascii="Times New Roman" w:hAnsi="Times New Roman" w:cs="Times New Roman"/>
          <w:b/>
          <w:bCs w:val="0"/>
          <w:color w:val="000000" w:themeColor="text1"/>
          <w:kern w:val="2"/>
          <w:sz w:val="24"/>
          <w:szCs w:val="24"/>
          <w:lang w:val="en-US" w:eastAsia="zh-CN" w:bidi="ar"/>
          <w14:textFill>
            <w14:solidFill>
              <w14:schemeClr w14:val="tx1"/>
            </w14:solidFill>
          </w14:textFill>
          <w14:ligatures w14:val="standardContextual"/>
        </w:rPr>
        <w:t>t</w:t>
      </w:r>
      <w:r>
        <w:rPr>
          <w:rFonts w:ascii="Times New Roman" w:hAnsi="Times New Roman" w:cs="Times New Roman" w:eastAsiaTheme="minorEastAsia"/>
          <w:b/>
          <w:bCs w:val="0"/>
          <w:color w:val="000000" w:themeColor="text1"/>
          <w:kern w:val="2"/>
          <w:sz w:val="24"/>
          <w:szCs w:val="24"/>
          <w:lang w:val="en-US" w:eastAsia="zh-CN" w:bidi="ar"/>
          <w14:textFill>
            <w14:solidFill>
              <w14:schemeClr w14:val="tx1"/>
            </w14:solidFill>
          </w14:textFill>
          <w14:ligatures w14:val="standardContextual"/>
        </w:rPr>
        <w:t xml:space="preserve">umor </w:t>
      </w:r>
      <w:r>
        <w:rPr>
          <w:rFonts w:hint="eastAsia" w:ascii="Times New Roman" w:hAnsi="Times New Roman" w:cs="Times New Roman"/>
          <w:b/>
          <w:bCs w:val="0"/>
          <w:color w:val="000000" w:themeColor="text1"/>
          <w:kern w:val="2"/>
          <w:sz w:val="24"/>
          <w:szCs w:val="24"/>
          <w:lang w:val="en-US" w:eastAsia="zh-CN" w:bidi="ar"/>
          <w14:textFill>
            <w14:solidFill>
              <w14:schemeClr w14:val="tx1"/>
            </w14:solidFill>
          </w14:textFill>
          <w14:ligatures w14:val="standardContextual"/>
        </w:rPr>
        <w:t>p</w:t>
      </w:r>
      <w:r>
        <w:rPr>
          <w:rFonts w:hint="default" w:ascii="Times New Roman" w:hAnsi="Times New Roman" w:cs="Times New Roman" w:eastAsiaTheme="minorEastAsia"/>
          <w:b/>
          <w:bCs w:val="0"/>
          <w:color w:val="000000" w:themeColor="text1"/>
          <w:kern w:val="2"/>
          <w:sz w:val="24"/>
          <w:szCs w:val="24"/>
          <w:lang w:val="en-US" w:eastAsia="zh-CN" w:bidi="ar"/>
          <w14:textFill>
            <w14:solidFill>
              <w14:schemeClr w14:val="tx1"/>
            </w14:solidFill>
          </w14:textFill>
          <w14:ligatures w14:val="standardContextual"/>
        </w:rPr>
        <w:t xml:space="preserve">hysical </w:t>
      </w:r>
      <w:r>
        <w:rPr>
          <w:rFonts w:hint="eastAsia" w:ascii="Times New Roman" w:hAnsi="Times New Roman" w:cs="Times New Roman"/>
          <w:b/>
          <w:bCs w:val="0"/>
          <w:color w:val="000000" w:themeColor="text1"/>
          <w:kern w:val="2"/>
          <w:sz w:val="24"/>
          <w:szCs w:val="24"/>
          <w:lang w:val="en-US" w:eastAsia="zh-CN" w:bidi="ar"/>
          <w14:textFill>
            <w14:solidFill>
              <w14:schemeClr w14:val="tx1"/>
            </w14:solidFill>
          </w14:textFill>
          <w14:ligatures w14:val="standardContextual"/>
        </w:rPr>
        <w:t>m</w:t>
      </w:r>
      <w:r>
        <w:rPr>
          <w:rFonts w:hint="default" w:ascii="Times New Roman" w:hAnsi="Times New Roman" w:cs="Times New Roman" w:eastAsiaTheme="minorEastAsia"/>
          <w:b/>
          <w:bCs w:val="0"/>
          <w:color w:val="000000" w:themeColor="text1"/>
          <w:kern w:val="2"/>
          <w:sz w:val="24"/>
          <w:szCs w:val="24"/>
          <w:lang w:val="en-US" w:eastAsia="zh-CN" w:bidi="ar"/>
          <w14:textFill>
            <w14:solidFill>
              <w14:schemeClr w14:val="tx1"/>
            </w14:solidFill>
          </w14:textFill>
          <w14:ligatures w14:val="standardContextual"/>
        </w:rPr>
        <w:t xml:space="preserve">icroenvironment to </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 xml:space="preserve"> enhance </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 xml:space="preserve">the therapeutic effect of photosensitive in situ gel vaccine for </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tumor synergistic therapy</w:t>
      </w: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Chunmin Deng,</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Dong Shen,</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Mengyi Li,</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bookmarkStart w:id="1" w:name="OLE_LINK12"/>
      <w:r>
        <w:rPr>
          <w:rFonts w:hint="default" w:ascii="Times New Roman" w:hAnsi="Times New Roman" w:cs="Times New Roman"/>
          <w:color w:val="000000" w:themeColor="text1"/>
          <w:sz w:val="24"/>
          <w:szCs w:val="24"/>
          <w:lang w:val="en-US" w:eastAsia="zh-CN"/>
          <w14:textFill>
            <w14:solidFill>
              <w14:schemeClr w14:val="tx1"/>
            </w14:solidFill>
          </w14:textFill>
        </w:rPr>
        <w:t>Changsong Zhang</w:t>
      </w:r>
      <w:bookmarkEnd w:id="1"/>
      <w:r>
        <w:rPr>
          <w:rFonts w:hint="default" w:ascii="Times New Roman" w:hAnsi="Times New Roman" w:cs="Times New Roman"/>
          <w:color w:val="000000" w:themeColor="text1"/>
          <w:sz w:val="24"/>
          <w:szCs w:val="24"/>
          <w:lang w:val="en-US" w:eastAsia="zh-CN"/>
          <w14:textFill>
            <w14:solidFill>
              <w14:schemeClr w14:val="tx1"/>
            </w14:solidFill>
          </w14:textFill>
        </w:rPr>
        <w:t>,</w:t>
      </w:r>
      <w:bookmarkStart w:id="2" w:name="OLE_LINK9"/>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w:t>
      </w:r>
      <w:bookmarkEnd w:id="2"/>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bookmarkStart w:id="3" w:name="OLE_LINK71"/>
      <w:r>
        <w:rPr>
          <w:rFonts w:hint="eastAsia" w:ascii="Times New Roman" w:hAnsi="Times New Roman" w:cs="Times New Roman"/>
          <w:color w:val="000000" w:themeColor="text1"/>
          <w:sz w:val="24"/>
          <w:szCs w:val="24"/>
          <w:lang w:val="en-US" w:eastAsia="zh-CN"/>
          <w14:textFill>
            <w14:solidFill>
              <w14:schemeClr w14:val="tx1"/>
            </w14:solidFill>
          </w14:textFill>
        </w:rPr>
        <w:t>Qingzhen Wang</w:t>
      </w:r>
      <w:bookmarkEnd w:id="3"/>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after="0" w:line="480" w:lineRule="auto"/>
        <w:ind w:left="288" w:hanging="288" w:hangingChars="12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Suzhou Research Center of Medical School, Suzhou Hospital, Affliated Hospital of Medical School, Nanjing University, Suzhou 215153, Jiangsu Province, China.</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*Corresponding author email: </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CN"/>
          <w14:textFill>
            <w14:solidFill>
              <w14:schemeClr w14:val="tx1"/>
            </w14:solidFill>
          </w14:textFill>
        </w:rPr>
        <w:instrText xml:space="preserve"> HYPERLINK "mailto:hbzcs@126.com" </w:instrTex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val="en-US" w:eastAsia="zh-CN"/>
          <w14:textFill>
            <w14:solidFill>
              <w14:schemeClr w14:val="tx1"/>
            </w14:solidFill>
          </w14:textFill>
        </w:rPr>
        <w:t>hbzcs@126.com</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(Changsong Zhang) and </w:t>
      </w:r>
      <w:bookmarkStart w:id="4" w:name="OLE_LINK13"/>
      <w:r>
        <w:rPr>
          <w:rFonts w:hint="default" w:ascii="Times New Roman" w:hAnsi="Times New Roman" w:cs="Times New Roman"/>
          <w:color w:val="000000" w:themeColor="text1"/>
          <w:sz w:val="24"/>
          <w:szCs w:val="24"/>
          <w:lang w:val="en-US" w:eastAsia="zh-CN"/>
          <w14:textFill>
            <w14:solidFill>
              <w14:schemeClr w14:val="tx1"/>
            </w14:solidFill>
          </w14:textFill>
        </w:rPr>
        <w:t>17715187193@163.com</w:t>
      </w:r>
      <w:bookmarkEnd w:id="4"/>
      <w:r>
        <w:rPr>
          <w:rFonts w:hint="default" w:ascii="Times New Roman" w:hAnsi="Times New Roman" w:cs="Times New Roman"/>
          <w:color w:val="000000" w:themeColor="text1"/>
          <w:sz w:val="24"/>
          <w:szCs w:val="24"/>
          <w:lang w:val="en-US" w:eastAsia="zh-CN"/>
          <w14:textFill>
            <w14:solidFill>
              <w14:schemeClr w14:val="tx1"/>
            </w14:solidFill>
          </w14:textFill>
        </w:rPr>
        <w:t xml:space="preserve"> (Changsong Zhang)</w:t>
      </w:r>
    </w:p>
    <w:p>
      <w:pPr>
        <w:spacing w:line="48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Times New Roman" w:hAnsi="Times New Roman" w:eastAsia="AdvTT96740c24" w:cs="Times New Roman"/>
          <w:b/>
          <w:bCs/>
          <w:color w:val="000000" w:themeColor="text1"/>
          <w:kern w:val="0"/>
          <w:sz w:val="24"/>
          <w:szCs w:val="24"/>
          <w14:textFill>
            <w14:solidFill>
              <w14:schemeClr w14:val="tx1"/>
            </w14:solidFill>
          </w14:textFill>
        </w:rPr>
      </w:pPr>
      <w:r>
        <w:rPr>
          <w:rFonts w:hint="default" w:ascii="Times New Roman" w:hAnsi="Times New Roman" w:eastAsia="AdvTT96740c24" w:cs="Times New Roman"/>
          <w:b/>
          <w:bCs/>
          <w:color w:val="000000" w:themeColor="text1"/>
          <w:kern w:val="0"/>
          <w:sz w:val="24"/>
          <w:szCs w:val="24"/>
          <w14:textFill>
            <w14:solidFill>
              <w14:schemeClr w14:val="tx1"/>
            </w14:solidFill>
          </w14:textFill>
        </w:rPr>
        <w:t xml:space="preserve">Experimental section </w:t>
      </w: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 xml:space="preserve">Materials </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eastAsia="TimesNewRomanPSMT"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Folic acid (FA), 4-(4,6-Dimethoxy-1,3,5-triazin-2-yl)-4-methylmorpholinium chloride (DMTMM), 4-Aminophenylboronic acid hydrochloride (contains varying amounts of water), Polyvinyl alcohol, </w:t>
      </w:r>
      <w:bookmarkStart w:id="5" w:name="OLE_LINK24"/>
      <w:r>
        <w:rPr>
          <w:rFonts w:hint="default" w:ascii="Times New Roman" w:hAnsi="Times New Roman" w:eastAsia="TimesNewRomanPSMT" w:cs="Times New Roman"/>
          <w:color w:val="000000" w:themeColor="text1"/>
          <w:kern w:val="0"/>
          <w:sz w:val="24"/>
          <w:szCs w:val="24"/>
          <w14:textFill>
            <w14:solidFill>
              <w14:schemeClr w14:val="tx1"/>
            </w14:solidFill>
          </w14:textFill>
        </w:rPr>
        <w:t>Serotonin</w:t>
      </w:r>
      <w:bookmarkEnd w:id="5"/>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w:t>
      </w:r>
      <w:bookmarkStart w:id="6" w:name="OLE_LINK26"/>
      <w:r>
        <w:rPr>
          <w:rFonts w:hint="default" w:ascii="Times New Roman" w:hAnsi="Times New Roman" w:eastAsia="TimesNewRomanPSMT" w:cs="Times New Roman"/>
          <w:color w:val="000000" w:themeColor="text1"/>
          <w:kern w:val="0"/>
          <w:sz w:val="24"/>
          <w:szCs w:val="24"/>
          <w14:textFill>
            <w14:solidFill>
              <w14:schemeClr w14:val="tx1"/>
            </w14:solidFill>
          </w14:textFill>
        </w:rPr>
        <w:t>N-(3-Dimethylaminopropyl)-N′-ethylcarbodiimide hydrochloride</w:t>
      </w:r>
      <w:bookmarkEnd w:id="6"/>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(EDC), Hyaluronic acid (HA), </w:t>
      </w:r>
      <w:bookmarkStart w:id="7" w:name="OLE_LINK27"/>
      <w:r>
        <w:rPr>
          <w:rFonts w:hint="default" w:ascii="Times New Roman" w:hAnsi="Times New Roman" w:eastAsia="TimesNewRomanPSMT" w:cs="Times New Roman"/>
          <w:color w:val="000000" w:themeColor="text1"/>
          <w:kern w:val="0"/>
          <w:sz w:val="24"/>
          <w:szCs w:val="24"/>
          <w14:textFill>
            <w14:solidFill>
              <w14:schemeClr w14:val="tx1"/>
            </w14:solidFill>
          </w14:textFill>
        </w:rPr>
        <w:t>N-hydroxysuccinimide</w:t>
      </w:r>
      <w:bookmarkEnd w:id="7"/>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(NHS), calreticulin rabbit monoclonal antibody-AF1666, HMGB1 and ATP ELISA kit were purchased from Aladdin Reagent Company (Shanghai, China). Potassium permanganate was purchased from Sinopharm Chemical Reagent (Beijing, China). </w:t>
      </w:r>
      <w:bookmarkStart w:id="8" w:name="OLE_LINK17"/>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bookmarkEnd w:id="8"/>
      <w:r>
        <w:rPr>
          <w:rFonts w:hint="default" w:ascii="Times New Roman" w:hAnsi="Times New Roman" w:eastAsia="TimesNewRomanPSMT"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CD3, </w:t>
      </w:r>
      <w:bookmarkStart w:id="9" w:name="OLE_LINK18"/>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bookmarkEnd w:id="9"/>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CD8a,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CD44,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CD62L,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CD11c,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CD80,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TimesNewRomanPSMT" w:cs="Times New Roman"/>
          <w:color w:val="000000" w:themeColor="text1"/>
          <w:kern w:val="0"/>
          <w:sz w:val="24"/>
          <w:szCs w:val="24"/>
          <w14:textFill>
            <w14:solidFill>
              <w14:schemeClr w14:val="tx1"/>
            </w14:solidFill>
          </w14:textFill>
        </w:rPr>
        <w:t>nti-mouse</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TimesNewRomanPSMT" w:cs="Times New Roman"/>
          <w:color w:val="000000" w:themeColor="text1"/>
          <w:kern w:val="0"/>
          <w:sz w:val="24"/>
          <w:szCs w:val="24"/>
          <w14:textFill>
            <w14:solidFill>
              <w14:schemeClr w14:val="tx1"/>
            </w14:solidFill>
          </w14:textFill>
        </w:rPr>
        <w:t>CD86, Cell counting kit-8 (CCK</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TimesNewRomanPSMT" w:cs="Times New Roman"/>
          <w:color w:val="000000" w:themeColor="text1"/>
          <w:kern w:val="0"/>
          <w:sz w:val="24"/>
          <w:szCs w:val="24"/>
          <w14:textFill>
            <w14:solidFill>
              <w14:schemeClr w14:val="tx1"/>
            </w14:solidFill>
          </w14:textFill>
        </w:rPr>
        <w:t>8) and DAPI were purchased from Sigma (New York, NY, USA). Fetal bovine serum (FBS), Trypsin, RPMI Medium Modified (RPMI-1640), Phosphate buffered saline (PBS) and penicillin-streptomycin were procured from Hyclone (Logan, UT, USA). Nattokinase was purchased from Yangtze River Delta Health Research Institute (Zhengjiang China). Deionized water was used in the experiments. C</w:t>
      </w:r>
      <w:bookmarkStart w:id="10" w:name="OLE_LINK196"/>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alreticulin rabbit monoclonal antibody-AF1666, </w:t>
      </w:r>
      <w:bookmarkStart w:id="11" w:name="OLE_LINK195"/>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HMGB1 and </w:t>
      </w:r>
      <w:bookmarkEnd w:id="11"/>
      <w:r>
        <w:rPr>
          <w:rFonts w:hint="default" w:ascii="Times New Roman" w:hAnsi="Times New Roman" w:eastAsia="TimesNewRomanPSMT" w:cs="Times New Roman"/>
          <w:color w:val="000000" w:themeColor="text1"/>
          <w:kern w:val="0"/>
          <w:sz w:val="24"/>
          <w:szCs w:val="24"/>
          <w14:textFill>
            <w14:solidFill>
              <w14:schemeClr w14:val="tx1"/>
            </w14:solidFill>
          </w14:textFill>
        </w:rPr>
        <w:t>ATP ELISA kit</w:t>
      </w:r>
      <w:bookmarkEnd w:id="10"/>
      <w:r>
        <w:rPr>
          <w:rFonts w:hint="default" w:ascii="Times New Roman" w:hAnsi="Times New Roman" w:eastAsia="TimesNewRomanPSMT" w:cs="Times New Roman"/>
          <w:color w:val="000000" w:themeColor="text1"/>
          <w:kern w:val="0"/>
          <w:sz w:val="24"/>
          <w:szCs w:val="24"/>
          <w:lang w:val="en-US" w:eastAsia="zh-CN"/>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480" w:lineRule="auto"/>
        <w:ind w:firstLine="0" w:firstLineChars="0"/>
        <w:textAlignment w:val="auto"/>
        <w:outlineLvl w:val="1"/>
        <w:rPr>
          <w:rFonts w:hint="default" w:ascii="Times New Roman" w:hAnsi="Times New Roman" w:eastAsia="TimesNewRomanPS-ItalicMT" w:cs="Times New Roman"/>
          <w:b/>
          <w:bCs/>
          <w:color w:val="000000" w:themeColor="text1"/>
          <w:kern w:val="0"/>
          <w:sz w:val="24"/>
          <w:szCs w:val="24"/>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480" w:lineRule="auto"/>
        <w:ind w:firstLine="0" w:firstLineChars="0"/>
        <w:textAlignment w:val="auto"/>
        <w:outlineLvl w:val="1"/>
        <w:rPr>
          <w:rFonts w:hint="default" w:ascii="Times New Roman" w:hAnsi="Times New Roman" w:eastAsia="TimesNewRomanPS-ItalicMT" w:cs="Times New Roman"/>
          <w:b/>
          <w:bCs/>
          <w:color w:val="000000" w:themeColor="text1"/>
          <w:kern w:val="0"/>
          <w:sz w:val="24"/>
          <w:szCs w:val="24"/>
          <w14:textFill>
            <w14:solidFill>
              <w14:schemeClr w14:val="tx1"/>
            </w14:solidFill>
          </w14:textFill>
        </w:rPr>
      </w:pPr>
      <w:r>
        <w:rPr>
          <w:rFonts w:hint="default" w:ascii="Times New Roman" w:hAnsi="Times New Roman" w:eastAsia="TimesNewRomanPS-ItalicMT" w:cs="Times New Roman"/>
          <w:b/>
          <w:bCs/>
          <w:color w:val="000000" w:themeColor="text1"/>
          <w:kern w:val="0"/>
          <w:sz w:val="24"/>
          <w:szCs w:val="24"/>
          <w14:textFill>
            <w14:solidFill>
              <w14:schemeClr w14:val="tx1"/>
            </w14:solidFill>
          </w14:textFill>
        </w:rPr>
        <w:t xml:space="preserve">Apparatus and </w:t>
      </w:r>
      <w:r>
        <w:rPr>
          <w:rFonts w:hint="default" w:ascii="Times New Roman" w:hAnsi="Times New Roman" w:eastAsia="TimesNewRomanPS-ItalicMT" w:cs="Times New Roman"/>
          <w:b/>
          <w:bCs/>
          <w:color w:val="000000" w:themeColor="text1"/>
          <w:kern w:val="0"/>
          <w:sz w:val="24"/>
          <w:szCs w:val="24"/>
          <w:lang w:val="en-US" w:eastAsia="zh-CN"/>
          <w14:textFill>
            <w14:solidFill>
              <w14:schemeClr w14:val="tx1"/>
            </w14:solidFill>
          </w14:textFill>
        </w:rPr>
        <w:t>p</w:t>
      </w:r>
      <w:r>
        <w:rPr>
          <w:rFonts w:hint="default" w:ascii="Times New Roman" w:hAnsi="Times New Roman" w:eastAsia="TimesNewRomanPS-ItalicMT" w:cs="Times New Roman"/>
          <w:b/>
          <w:bCs/>
          <w:color w:val="000000" w:themeColor="text1"/>
          <w:kern w:val="0"/>
          <w:sz w:val="24"/>
          <w:szCs w:val="24"/>
          <w14:textFill>
            <w14:solidFill>
              <w14:schemeClr w14:val="tx1"/>
            </w14:solidFill>
          </w14:textFill>
        </w:rPr>
        <w:t>rocedures</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Transmission electron microscopy (TEM) image was </w:t>
      </w:r>
      <w:r>
        <w:rPr>
          <w:rFonts w:hint="default" w:ascii="Times New Roman" w:hAnsi="Times New Roman" w:cs="Times New Roman"/>
          <w:color w:val="000000" w:themeColor="text1"/>
          <w:sz w:val="24"/>
          <w:szCs w:val="24"/>
          <w14:textFill>
            <w14:solidFill>
              <w14:schemeClr w14:val="tx1"/>
            </w14:solidFill>
          </w14:textFill>
        </w:rPr>
        <w:t>required</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through</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a JEOL 2100 transmission electron microscope. </w:t>
      </w:r>
      <w:r>
        <w:rPr>
          <w:rFonts w:hint="default" w:ascii="Times New Roman" w:hAnsi="Times New Roman" w:cs="Times New Roman"/>
          <w:color w:val="000000" w:themeColor="text1"/>
          <w:sz w:val="24"/>
          <w:szCs w:val="24"/>
          <w14:textFill>
            <w14:solidFill>
              <w14:schemeClr w14:val="tx1"/>
            </w14:solidFill>
          </w14:textFill>
        </w:rPr>
        <w:t xml:space="preserve">Fourier transform infrared (FTIR) spectra was </w:t>
      </w:r>
      <w:r>
        <w:rPr>
          <w:rFonts w:hint="default" w:ascii="Times New Roman" w:hAnsi="Times New Roman" w:cs="Times New Roman"/>
          <w:color w:val="000000" w:themeColor="text1"/>
          <w:kern w:val="0"/>
          <w:sz w:val="24"/>
          <w:szCs w:val="24"/>
          <w14:textFill>
            <w14:solidFill>
              <w14:schemeClr w14:val="tx1"/>
            </w14:solidFill>
          </w14:textFill>
        </w:rPr>
        <w:t>acquired</w:t>
      </w:r>
      <w:r>
        <w:rPr>
          <w:rFonts w:hint="default" w:ascii="Times New Roman" w:hAnsi="Times New Roman" w:cs="Times New Roman"/>
          <w:color w:val="000000" w:themeColor="text1"/>
          <w:sz w:val="24"/>
          <w:szCs w:val="24"/>
          <w14:textFill>
            <w14:solidFill>
              <w14:schemeClr w14:val="tx1"/>
            </w14:solidFill>
          </w14:textFill>
        </w:rPr>
        <w:t xml:space="preserve"> by a NicoletNexus 470 spectrometer (USA). </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ζ-potential measurement was </w:t>
      </w:r>
      <w:r>
        <w:rPr>
          <w:rFonts w:hint="default" w:ascii="Times New Roman" w:hAnsi="Times New Roman" w:cs="Times New Roman"/>
          <w:color w:val="000000" w:themeColor="text1"/>
          <w:sz w:val="24"/>
          <w:szCs w:val="24"/>
          <w14:textFill>
            <w14:solidFill>
              <w14:schemeClr w14:val="tx1"/>
            </w14:solidFill>
          </w14:textFill>
        </w:rPr>
        <w:t>performed</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via</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a NanoBrook Omni (Brookhaven, USA). </w:t>
      </w:r>
      <w:r>
        <w:rPr>
          <w:rFonts w:hint="default" w:ascii="Times New Roman" w:hAnsi="Times New Roman" w:cs="Times New Roman"/>
          <w:color w:val="000000" w:themeColor="text1"/>
          <w:sz w:val="24"/>
          <w:szCs w:val="24"/>
          <w14:textFill>
            <w14:solidFill>
              <w14:schemeClr w14:val="tx1"/>
            </w14:solidFill>
          </w14:textFill>
        </w:rPr>
        <w:t>X-ray photoelectron spectroscopy (XPS) was acquired from XPS spectrometer (Thermo Kalpha). Gelation time was measured through the tube inversion test.</w:t>
      </w:r>
      <w:r>
        <w:rPr>
          <w:rFonts w:hint="default" w:ascii="Times New Roman" w:hAnsi="Times New Roman" w:cs="Times New Roman"/>
          <w:color w:val="000000" w:themeColor="text1"/>
          <w:kern w:val="0"/>
          <w:sz w:val="24"/>
          <w:szCs w:val="24"/>
          <w14:textFill>
            <w14:solidFill>
              <w14:schemeClr w14:val="tx1"/>
            </w14:solidFill>
          </w14:textFill>
        </w:rPr>
        <w:t xml:space="preserve"> T</w:t>
      </w:r>
      <w:r>
        <w:rPr>
          <w:rFonts w:hint="default" w:ascii="Times New Roman" w:hAnsi="Times New Roman" w:cs="Times New Roman"/>
          <w:color w:val="000000" w:themeColor="text1"/>
          <w:sz w:val="24"/>
          <w:szCs w:val="24"/>
          <w14:textFill>
            <w14:solidFill>
              <w14:schemeClr w14:val="tx1"/>
            </w14:solidFill>
          </w14:textFill>
        </w:rPr>
        <w:t xml:space="preserve">he morphology of </w:t>
      </w:r>
      <w:r>
        <w:rPr>
          <w:rFonts w:hint="default" w:ascii="Times New Roman" w:hAnsi="Times New Roman" w:eastAsia="楷体" w:cs="Times New Roman"/>
          <w:color w:val="000000" w:themeColor="text1"/>
          <w:sz w:val="24"/>
          <w:szCs w:val="24"/>
          <w14:textFill>
            <w14:solidFill>
              <w14:schemeClr w14:val="tx1"/>
            </w14:solidFill>
          </w14:textFill>
        </w:rPr>
        <w:t>FPLT@DOX PA</w:t>
      </w:r>
      <w:r>
        <w:rPr>
          <w:rFonts w:hint="default" w:ascii="Times New Roman" w:hAnsi="Times New Roman" w:cs="Times New Roman"/>
          <w:color w:val="000000" w:themeColor="text1"/>
          <w:sz w:val="24"/>
          <w:szCs w:val="24"/>
          <w14:textFill>
            <w14:solidFill>
              <w14:schemeClr w14:val="tx1"/>
            </w14:solidFill>
          </w14:textFill>
        </w:rPr>
        <w:t xml:space="preserve"> was tested via ZEISS SIGMA scanning electron microscope</w:t>
      </w:r>
      <w:r>
        <w:rPr>
          <w:rFonts w:hint="default" w:ascii="Times New Roman" w:hAnsi="Times New Roman"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Mechanical property of </w:t>
      </w:r>
      <w:bookmarkStart w:id="12" w:name="OLE_LINK19"/>
      <w:r>
        <w:rPr>
          <w:rFonts w:hint="default" w:ascii="Times New Roman" w:hAnsi="Times New Roman" w:eastAsia="楷体" w:cs="Times New Roman"/>
          <w:color w:val="000000" w:themeColor="text1"/>
          <w:sz w:val="24"/>
          <w:szCs w:val="24"/>
          <w14:textFill>
            <w14:solidFill>
              <w14:schemeClr w14:val="tx1"/>
            </w14:solidFill>
          </w14:textFill>
        </w:rPr>
        <w:t>FPLT@DOX PA</w:t>
      </w:r>
      <w:bookmarkEnd w:id="12"/>
      <w:r>
        <w:rPr>
          <w:rFonts w:hint="default" w:ascii="Times New Roman" w:hAnsi="Times New Roman" w:cs="Times New Roman"/>
          <w:color w:val="000000" w:themeColor="text1"/>
          <w:sz w:val="24"/>
          <w:szCs w:val="24"/>
          <w14:textFill>
            <w14:solidFill>
              <w14:schemeClr w14:val="tx1"/>
            </w14:solidFill>
          </w14:textFill>
        </w:rPr>
        <w:t xml:space="preserve"> was measured through compression testing by a universal material experiment machine (WDW3020, China). </w:t>
      </w:r>
      <w:bookmarkStart w:id="13" w:name="OLE_LINK20"/>
      <w:r>
        <w:rPr>
          <w:rFonts w:hint="default" w:ascii="Times New Roman" w:hAnsi="Times New Roman" w:eastAsia="楷体" w:cs="Times New Roman"/>
          <w:color w:val="000000" w:themeColor="text1"/>
          <w:sz w:val="24"/>
          <w:szCs w:val="24"/>
          <w14:textFill>
            <w14:solidFill>
              <w14:schemeClr w14:val="tx1"/>
            </w14:solidFill>
          </w14:textFill>
        </w:rPr>
        <w:t>FPLT@DOX PA</w:t>
      </w:r>
      <w:bookmarkEnd w:id="13"/>
      <w:r>
        <w:rPr>
          <w:rFonts w:hint="default" w:ascii="Times New Roman" w:hAnsi="Times New Roman" w:cs="Times New Roman"/>
          <w:color w:val="000000" w:themeColor="text1"/>
          <w:sz w:val="24"/>
          <w:szCs w:val="24"/>
          <w14:textFill>
            <w14:solidFill>
              <w14:schemeClr w14:val="tx1"/>
            </w14:solidFill>
          </w14:textFill>
        </w:rPr>
        <w:t xml:space="preserve"> was cuted into two semicircles to examine their self-healing ability. </w:t>
      </w:r>
      <w:r>
        <w:rPr>
          <w:rFonts w:hint="default" w:ascii="Times New Roman" w:hAnsi="Times New Roman" w:eastAsia="楷体" w:cs="Times New Roman"/>
          <w:color w:val="000000" w:themeColor="text1"/>
          <w:sz w:val="24"/>
          <w:szCs w:val="24"/>
          <w14:textFill>
            <w14:solidFill>
              <w14:schemeClr w14:val="tx1"/>
            </w14:solidFill>
          </w14:textFill>
        </w:rPr>
        <w:t>F</w:t>
      </w:r>
      <w:bookmarkStart w:id="14" w:name="OLE_LINK23"/>
      <w:r>
        <w:rPr>
          <w:rFonts w:hint="default" w:ascii="Times New Roman" w:hAnsi="Times New Roman" w:eastAsia="楷体" w:cs="Times New Roman"/>
          <w:color w:val="000000" w:themeColor="text1"/>
          <w:sz w:val="24"/>
          <w:szCs w:val="24"/>
          <w14:textFill>
            <w14:solidFill>
              <w14:schemeClr w14:val="tx1"/>
            </w14:solidFill>
          </w14:textFill>
        </w:rPr>
        <w:t>PLT@DOX</w:t>
      </w:r>
      <w:bookmarkEnd w:id="14"/>
      <w:r>
        <w:rPr>
          <w:rFonts w:hint="default" w:ascii="Times New Roman" w:hAnsi="Times New Roman" w:eastAsia="楷体" w:cs="Times New Roman"/>
          <w:color w:val="000000" w:themeColor="text1"/>
          <w:sz w:val="24"/>
          <w:szCs w:val="24"/>
          <w14:textFill>
            <w14:solidFill>
              <w14:schemeClr w14:val="tx1"/>
            </w14:solidFill>
          </w14:textFill>
        </w:rPr>
        <w:t xml:space="preserve"> PA</w:t>
      </w:r>
      <w:r>
        <w:rPr>
          <w:rFonts w:hint="default" w:ascii="Times New Roman" w:hAnsi="Times New Roman" w:cs="Times New Roman"/>
          <w:color w:val="000000" w:themeColor="text1"/>
          <w:sz w:val="24"/>
          <w:szCs w:val="24"/>
          <w14:textFill>
            <w14:solidFill>
              <w14:schemeClr w14:val="tx1"/>
            </w14:solidFill>
          </w14:textFill>
        </w:rPr>
        <w:t xml:space="preserve"> was placed into a syringe and injected into a star-shaped mold via a needle of 25 to measure their injectable. A TA rheometer (DHR-2) was measured to test rheological property of </w:t>
      </w:r>
      <w:r>
        <w:rPr>
          <w:rFonts w:hint="default" w:ascii="Times New Roman" w:hAnsi="Times New Roman" w:eastAsia="楷体" w:cs="Times New Roman"/>
          <w:color w:val="000000" w:themeColor="text1"/>
          <w:sz w:val="24"/>
          <w:szCs w:val="24"/>
          <w14:textFill>
            <w14:solidFill>
              <w14:schemeClr w14:val="tx1"/>
            </w14:solidFill>
          </w14:textFill>
        </w:rPr>
        <w:t>FPLT@DOX PA</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 xml:space="preserve"> 808 nm i</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rradiation laser was </w:t>
      </w:r>
      <w:r>
        <w:rPr>
          <w:rFonts w:hint="default" w:ascii="Times New Roman" w:hAnsi="Times New Roman" w:cs="Times New Roman"/>
          <w:color w:val="000000" w:themeColor="text1"/>
          <w:kern w:val="0"/>
          <w:sz w:val="24"/>
          <w:szCs w:val="24"/>
          <w14:textFill>
            <w14:solidFill>
              <w14:schemeClr w14:val="tx1"/>
            </w14:solidFill>
          </w14:textFill>
        </w:rPr>
        <w:t>performed</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via</w:t>
      </w:r>
      <w:r>
        <w:rPr>
          <w:rFonts w:hint="default" w:ascii="Times New Roman" w:hAnsi="Times New Roman" w:eastAsia="TimesNewRomanPSMT" w:cs="Times New Roman"/>
          <w:color w:val="000000" w:themeColor="text1"/>
          <w:kern w:val="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shd w:val="clear" w:color="auto" w:fill="FFFFFF"/>
          <w14:textFill>
            <w14:solidFill>
              <w14:schemeClr w14:val="tx1"/>
            </w14:solidFill>
          </w14:textFill>
        </w:rPr>
        <w:t>a fiber-coupled NIR laser (</w:t>
      </w:r>
      <w:r>
        <w:rPr>
          <w:rFonts w:hint="default" w:ascii="Times New Roman" w:hAnsi="Times New Roman" w:eastAsia="Segoe UI" w:cs="Times New Roman"/>
          <w:color w:val="000000" w:themeColor="text1"/>
          <w:sz w:val="24"/>
          <w:szCs w:val="24"/>
          <w:shd w:val="clear" w:color="auto" w:fill="FFFFFF"/>
          <w14:textFill>
            <w14:solidFill>
              <w14:schemeClr w14:val="tx1"/>
            </w14:solidFill>
          </w14:textFill>
        </w:rPr>
        <w:t>MDL-N-808</w:t>
      </w:r>
      <w:r>
        <w:rPr>
          <w:rFonts w:hint="default"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hint="default" w:ascii="Times New Roman" w:hAnsi="Times New Roman" w:eastAsia="Segoe UI" w:cs="Times New Roman"/>
          <w:color w:val="000000" w:themeColor="text1"/>
          <w:sz w:val="24"/>
          <w:szCs w:val="24"/>
          <w:shd w:val="clear" w:color="auto" w:fill="FFFFFF"/>
          <w14:textFill>
            <w14:solidFill>
              <w14:schemeClr w14:val="tx1"/>
            </w14:solidFill>
          </w14:textFill>
        </w:rPr>
        <w:t>nm-10W,</w:t>
      </w:r>
      <w:r>
        <w:rPr>
          <w:rFonts w:hint="default"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hint="default" w:ascii="Times New Roman" w:hAnsi="Times New Roman" w:eastAsia="Segoe UI" w:cs="Times New Roman"/>
          <w:color w:val="000000" w:themeColor="text1"/>
          <w:sz w:val="24"/>
          <w:szCs w:val="24"/>
          <w:shd w:val="clear" w:color="auto" w:fill="FFFFFF"/>
          <w14:textFill>
            <w14:solidFill>
              <w14:schemeClr w14:val="tx1"/>
            </w14:solidFill>
          </w14:textFill>
        </w:rPr>
        <w:t>Beijing Laserwave OptoElectronics Technology Co., Ltd.,</w:t>
      </w:r>
      <w:r>
        <w:rPr>
          <w:rFonts w:hint="default" w:ascii="Times New Roman" w:hAnsi="Times New Roman" w:cs="Times New Roman"/>
          <w:color w:val="000000" w:themeColor="text1"/>
          <w:sz w:val="24"/>
          <w:szCs w:val="24"/>
          <w:shd w:val="clear" w:color="auto" w:fill="FFFFFF"/>
          <w14:textFill>
            <w14:solidFill>
              <w14:schemeClr w14:val="tx1"/>
            </w14:solidFill>
          </w14:textFill>
        </w:rPr>
        <w:t xml:space="preserve"> Beijing, China). The infrared thermal camera (HT-19, Guangzhou, China) was utilized to taken the infrared thermal photos and record the temperature changes.</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shd w:val="clear" w:color="auto" w:fill="FFFFFF"/>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Synthesis of </w:t>
      </w:r>
      <w:r>
        <w:rPr>
          <w:rFonts w:hint="default" w:ascii="Times New Roman" w:hAnsi="Times New Roman" w:eastAsia="楷体" w:cs="Times New Roman"/>
          <w:b/>
          <w:color w:val="000000" w:themeColor="text1"/>
          <w:sz w:val="24"/>
          <w:szCs w:val="24"/>
          <w14:textFill>
            <w14:solidFill>
              <w14:schemeClr w14:val="tx1"/>
            </w14:solidFill>
          </w14:textFill>
        </w:rPr>
        <w:t>PPLT@DOX</w:t>
      </w:r>
      <w:r>
        <w:rPr>
          <w:rFonts w:hint="default" w:ascii="Times New Roman" w:hAnsi="Times New Roman" w:cs="Times New Roman"/>
          <w:b/>
          <w:color w:val="000000" w:themeColor="text1"/>
          <w:sz w:val="24"/>
          <w:szCs w:val="24"/>
          <w14:textFill>
            <w14:solidFill>
              <w14:schemeClr w14:val="tx1"/>
            </w14:solidFill>
          </w14:textFill>
        </w:rPr>
        <w:t xml:space="preserve"> NAs</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The synthesis steps of PPLT@DOX NAs were slightly modified according to the previous method.</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1-2</w:t>
      </w:r>
      <w:r>
        <w:rPr>
          <w:rFonts w:hint="default" w:ascii="Times New Roman" w:hAnsi="Times New Roman" w:cs="Times New Roman"/>
          <w:color w:val="000000" w:themeColor="text1"/>
          <w:sz w:val="24"/>
          <w:szCs w:val="24"/>
          <w:vertAlign w:val="superscript"/>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20 mg polyvinyl alcohol (PVA) was dissolved into 20 mL ultrapure water and stirred at 90 °C for 30 min until PVA was completely dissolved. Once PVA solution cooled down to room temperature, 300 mg </w:t>
      </w:r>
      <w:r>
        <w:rPr>
          <w:rFonts w:hint="default" w:ascii="Times New Roman" w:hAnsi="Times New Roman" w:cs="Times New Roman"/>
          <w:color w:val="000000" w:themeColor="text1"/>
          <w:kern w:val="0"/>
          <w:sz w:val="24"/>
          <w:szCs w:val="24"/>
          <w14:textFill>
            <w14:solidFill>
              <w14:schemeClr w14:val="tx1"/>
            </w14:solidFill>
          </w14:textFill>
        </w:rPr>
        <w:t>serotonin</w:t>
      </w:r>
      <w:r>
        <w:rPr>
          <w:rFonts w:hint="default" w:ascii="Times New Roman" w:hAnsi="Times New Roman" w:cs="Times New Roman"/>
          <w:color w:val="000000" w:themeColor="text1"/>
          <w:sz w:val="24"/>
          <w:szCs w:val="24"/>
          <w14:textFill>
            <w14:solidFill>
              <w14:schemeClr w14:val="tx1"/>
            </w14:solidFill>
          </w14:textFill>
        </w:rPr>
        <w:t>, 100 mg KMnO</w:t>
      </w:r>
      <w:r>
        <w:rPr>
          <w:rFonts w:hint="default" w:ascii="Times New Roman" w:hAnsi="Times New Roman" w:cs="Times New Roman"/>
          <w:color w:val="000000" w:themeColor="text1"/>
          <w:sz w:val="24"/>
          <w:szCs w:val="24"/>
          <w:vertAlign w:val="subscript"/>
          <w14:textFill>
            <w14:solidFill>
              <w14:schemeClr w14:val="tx1"/>
            </w14:solidFill>
          </w14:textFill>
        </w:rPr>
        <w:t xml:space="preserve">4 </w:t>
      </w:r>
      <w:r>
        <w:rPr>
          <w:rFonts w:hint="default" w:ascii="Times New Roman" w:hAnsi="Times New Roman" w:cs="Times New Roman"/>
          <w:color w:val="000000" w:themeColor="text1"/>
          <w:sz w:val="24"/>
          <w:szCs w:val="24"/>
          <w14:textFill>
            <w14:solidFill>
              <w14:schemeClr w14:val="tx1"/>
            </w14:solidFill>
          </w14:textFill>
        </w:rPr>
        <w:t>and 10 mg doxorubicin were added into above solution and stirred at room temperature for 2 h. And then, the solution was collected and precipitated by centrifugation at 5000 rpm for 5 min, after which the supernatant was placed into a dialysis bag (MWCO 100,000) and dialyzed for 3 days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(the water was changed every 12 h). Finally, </w:t>
      </w:r>
      <w:bookmarkStart w:id="15" w:name="OLE_LINK29"/>
      <w:r>
        <w:rPr>
          <w:rFonts w:hint="default" w:ascii="Times New Roman" w:hAnsi="Times New Roman" w:cs="Times New Roman"/>
          <w:color w:val="000000" w:themeColor="text1"/>
          <w:sz w:val="24"/>
          <w:szCs w:val="24"/>
          <w14:textFill>
            <w14:solidFill>
              <w14:schemeClr w14:val="tx1"/>
            </w14:solidFill>
          </w14:textFill>
        </w:rPr>
        <w:t>the resulting dialysis solution was freeze-dried via a vacuum freeze dryer</w:t>
      </w:r>
      <w:bookmarkEnd w:id="15"/>
      <w:r>
        <w:rPr>
          <w:rFonts w:hint="default" w:ascii="Times New Roman" w:hAnsi="Times New Roman" w:cs="Times New Roman"/>
          <w:color w:val="000000" w:themeColor="text1"/>
          <w:sz w:val="24"/>
          <w:szCs w:val="24"/>
          <w14:textFill>
            <w14:solidFill>
              <w14:schemeClr w14:val="tx1"/>
            </w14:solidFill>
          </w14:textFill>
        </w:rPr>
        <w:t xml:space="preserve">. The obtained black powder was </w:t>
      </w:r>
      <w:bookmarkStart w:id="16" w:name="OLE_LINK25"/>
      <w:r>
        <w:rPr>
          <w:rFonts w:hint="default" w:ascii="Times New Roman" w:hAnsi="Times New Roman" w:eastAsia="楷体" w:cs="Times New Roman"/>
          <w:color w:val="000000" w:themeColor="text1"/>
          <w:sz w:val="24"/>
          <w:szCs w:val="24"/>
          <w14:textFill>
            <w14:solidFill>
              <w14:schemeClr w14:val="tx1"/>
            </w14:solidFill>
          </w14:textFill>
        </w:rPr>
        <w:t>PPLT@DOX</w:t>
      </w:r>
      <w:r>
        <w:rPr>
          <w:rFonts w:hint="default" w:ascii="Times New Roman" w:hAnsi="Times New Roman" w:cs="Times New Roman"/>
          <w:color w:val="000000" w:themeColor="text1"/>
          <w:sz w:val="24"/>
          <w:szCs w:val="24"/>
          <w14:textFill>
            <w14:solidFill>
              <w14:schemeClr w14:val="tx1"/>
            </w14:solidFill>
          </w14:textFill>
        </w:rPr>
        <w:t xml:space="preserve"> NAs</w:t>
      </w:r>
      <w:bookmarkEnd w:id="16"/>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Synthesis of </w:t>
      </w:r>
      <w:bookmarkStart w:id="17" w:name="OLE_LINK10"/>
      <w:r>
        <w:rPr>
          <w:rFonts w:hint="default" w:ascii="Times New Roman" w:hAnsi="Times New Roman" w:cs="Times New Roman"/>
          <w:b/>
          <w:color w:val="000000" w:themeColor="text1"/>
          <w:sz w:val="24"/>
          <w:szCs w:val="24"/>
          <w14:textFill>
            <w14:solidFill>
              <w14:schemeClr w14:val="tx1"/>
            </w14:solidFill>
          </w14:textFill>
        </w:rPr>
        <w:t>boronic acid-modified hyaluronic acid</w:t>
      </w:r>
      <w:bookmarkEnd w:id="17"/>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0.6 mmol </w:t>
      </w:r>
      <w:r>
        <w:rPr>
          <w:rFonts w:hint="default" w:ascii="Times New Roman" w:hAnsi="Times New Roman" w:cs="Times New Roman"/>
          <w:color w:val="000000" w:themeColor="text1"/>
          <w:sz w:val="24"/>
          <w:szCs w:val="24"/>
          <w:lang w:val="en-US" w:eastAsia="zh-CN"/>
          <w14:textFill>
            <w14:solidFill>
              <w14:schemeClr w14:val="tx1"/>
            </w14:solidFill>
          </w14:textFill>
        </w:rPr>
        <w:t>hyaluronic acid (</w:t>
      </w:r>
      <w:r>
        <w:rPr>
          <w:rFonts w:hint="default" w:ascii="Times New Roman" w:hAnsi="Times New Roman" w:cs="Times New Roman"/>
          <w:color w:val="000000" w:themeColor="text1"/>
          <w:sz w:val="24"/>
          <w:szCs w:val="24"/>
          <w14:textFill>
            <w14:solidFill>
              <w14:schemeClr w14:val="tx1"/>
            </w14:solidFill>
          </w14:textFill>
        </w:rPr>
        <w:t>HA</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was added into 50 mL deionized water and stirred until HA was completely dissolved. Next, 0.6 mmol DMTMM was added into 1 mL deionized water and dropped into HA solution. After being stirred for 4 h, 1 mL 4-aminophenylboronic acid hydrochloride solution (0.6 mmol) was dropped into above mixture and stirring was continued for 72 h. Finally, the mixed solution was dropped into a dialysis bag (MWCO 100,000) and dialyzed for 3 days. The obtained dialysate was freeze-dried in a vacuum freeze dryer to obtain </w:t>
      </w:r>
      <w:bookmarkStart w:id="18" w:name="OLE_LINK3"/>
      <w:r>
        <w:rPr>
          <w:rFonts w:hint="default" w:ascii="Times New Roman" w:hAnsi="Times New Roman" w:cs="Times New Roman"/>
          <w:color w:val="000000" w:themeColor="text1"/>
          <w:sz w:val="24"/>
          <w:szCs w:val="24"/>
          <w14:textFill>
            <w14:solidFill>
              <w14:schemeClr w14:val="tx1"/>
            </w14:solidFill>
          </w14:textFill>
        </w:rPr>
        <w:t>boric acid modified hyaluronic acid (PA)</w:t>
      </w:r>
      <w:bookmarkEnd w:id="18"/>
      <w:r>
        <w:rPr>
          <w:rFonts w:hint="default" w:ascii="Times New Roman" w:hAnsi="Times New Roman" w:cs="Times New Roman"/>
          <w:color w:val="000000" w:themeColor="text1"/>
          <w:sz w:val="24"/>
          <w:szCs w:val="24"/>
          <w14:textFill>
            <w14:solidFill>
              <w14:schemeClr w14:val="tx1"/>
            </w14:solidFill>
          </w14:textFill>
        </w:rPr>
        <w:t>.</w:t>
      </w:r>
      <w:bookmarkStart w:id="19" w:name="OLE_LINK8"/>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3-4</w:t>
      </w:r>
      <w:bookmarkEnd w:id="19"/>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Cs/>
          <w:color w:val="000000" w:themeColor="text1"/>
          <w:sz w:val="24"/>
          <w:szCs w:val="24"/>
          <w:vertAlign w:val="superscript"/>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DOX releasing behavior</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To verify the release behavior of </w:t>
      </w:r>
      <w:r>
        <w:rPr>
          <w:rFonts w:hint="default" w:ascii="Times New Roman" w:hAnsi="Times New Roman" w:cs="Times New Roman"/>
          <w:color w:val="000000" w:themeColor="text1"/>
          <w:sz w:val="24"/>
          <w:szCs w:val="24"/>
          <w:lang w:val="en-US" w:eastAsia="zh-CN"/>
          <w14:textFill>
            <w14:solidFill>
              <w14:schemeClr w14:val="tx1"/>
            </w14:solidFill>
          </w14:textFill>
        </w:rPr>
        <w:t>DOX</w:t>
      </w:r>
      <w:r>
        <w:rPr>
          <w:rFonts w:hint="default" w:ascii="Times New Roman" w:hAnsi="Times New Roman" w:cs="Times New Roman"/>
          <w:color w:val="000000" w:themeColor="text1"/>
          <w:sz w:val="24"/>
          <w:szCs w:val="24"/>
          <w14:textFill>
            <w14:solidFill>
              <w14:schemeClr w14:val="tx1"/>
            </w14:solidFill>
          </w14:textFill>
        </w:rPr>
        <w:t xml:space="preserve"> from </w:t>
      </w:r>
      <w:bookmarkStart w:id="20" w:name="OLE_LINK28"/>
      <w:r>
        <w:rPr>
          <w:rFonts w:hint="default" w:ascii="Times New Roman" w:hAnsi="Times New Roman" w:cs="Times New Roman"/>
          <w:color w:val="000000" w:themeColor="text1"/>
          <w:sz w:val="24"/>
          <w:szCs w:val="24"/>
          <w14:textFill>
            <w14:solidFill>
              <w14:schemeClr w14:val="tx1"/>
            </w14:solidFill>
          </w14:textFill>
        </w:rPr>
        <w:t>FA-PPLT@DOX NAs</w:t>
      </w:r>
      <w:bookmarkEnd w:id="20"/>
      <w:r>
        <w:rPr>
          <w:rFonts w:hint="default" w:ascii="Times New Roman" w:hAnsi="Times New Roman" w:cs="Times New Roman"/>
          <w:color w:val="000000" w:themeColor="text1"/>
          <w:sz w:val="24"/>
          <w:szCs w:val="24"/>
          <w14:textFill>
            <w14:solidFill>
              <w14:schemeClr w14:val="tx1"/>
            </w14:solidFill>
          </w14:textFill>
        </w:rPr>
        <w:t xml:space="preserve"> in different environments, </w:t>
      </w:r>
      <w:bookmarkStart w:id="21" w:name="OLE_LINK32"/>
      <w:r>
        <w:rPr>
          <w:rFonts w:hint="default" w:ascii="Times New Roman" w:hAnsi="Times New Roman" w:cs="Times New Roman"/>
          <w:color w:val="000000" w:themeColor="text1"/>
          <w:sz w:val="24"/>
          <w:szCs w:val="24"/>
          <w14:textFill>
            <w14:solidFill>
              <w14:schemeClr w14:val="tx1"/>
            </w14:solidFill>
          </w14:textFill>
        </w:rPr>
        <w:t>FA-PPLT@DOX NAs</w:t>
      </w:r>
      <w:bookmarkEnd w:id="21"/>
      <w:r>
        <w:rPr>
          <w:rFonts w:hint="default" w:ascii="Times New Roman" w:hAnsi="Times New Roman" w:cs="Times New Roman"/>
          <w:color w:val="000000" w:themeColor="text1"/>
          <w:sz w:val="24"/>
          <w:szCs w:val="24"/>
          <w14:textFill>
            <w14:solidFill>
              <w14:schemeClr w14:val="tx1"/>
            </w14:solidFill>
          </w14:textFill>
        </w:rPr>
        <w:t xml:space="preserve"> was immersed in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PBS</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w:t>
      </w:r>
      <w:bookmarkStart w:id="22" w:name="OLE_LINK30"/>
      <w:bookmarkStart w:id="23" w:name="OLE_LINK31"/>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6.5</w:t>
      </w:r>
      <w:bookmarkEnd w:id="22"/>
      <w:r>
        <w:rPr>
          <w:rFonts w:hint="default" w:ascii="Times New Roman" w:hAnsi="Times New Roman" w:cs="Times New Roman"/>
          <w:color w:val="000000" w:themeColor="text1"/>
          <w:sz w:val="24"/>
          <w:szCs w:val="24"/>
          <w14:textFill>
            <w14:solidFill>
              <w14:schemeClr w14:val="tx1"/>
            </w14:solidFill>
          </w14:textFill>
        </w:rPr>
        <w:t>, pH</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6.5</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 NIR</w:t>
      </w:r>
      <w:bookmarkEnd w:id="23"/>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pH</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5</w:t>
      </w:r>
      <w:r>
        <w:rPr>
          <w:rFonts w:hint="default" w:ascii="Times New Roman" w:hAnsi="Times New Roman" w:cs="Times New Roman"/>
          <w:color w:val="000000" w:themeColor="text1"/>
          <w:sz w:val="24"/>
          <w:szCs w:val="24"/>
          <w14:textFill>
            <w14:solidFill>
              <w14:schemeClr w14:val="tx1"/>
            </w14:solidFill>
          </w14:textFill>
        </w:rPr>
        <w:t xml:space="preserve">.5,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and </w:t>
      </w:r>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5</w:t>
      </w:r>
      <w:r>
        <w:rPr>
          <w:rFonts w:hint="default" w:ascii="Times New Roman" w:hAnsi="Times New Roman" w:cs="Times New Roman"/>
          <w:color w:val="000000" w:themeColor="text1"/>
          <w:sz w:val="24"/>
          <w:szCs w:val="24"/>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 NIR </w:t>
      </w:r>
      <w:r>
        <w:rPr>
          <w:rFonts w:hint="default" w:ascii="Times New Roman" w:hAnsi="Times New Roman" w:cs="Times New Roman"/>
          <w:color w:val="000000" w:themeColor="text1"/>
          <w:sz w:val="24"/>
          <w:szCs w:val="24"/>
          <w14:textFill>
            <w14:solidFill>
              <w14:schemeClr w14:val="tx1"/>
            </w14:solidFill>
          </w14:textFill>
        </w:rPr>
        <w:t xml:space="preserve">to evaluate </w:t>
      </w:r>
      <w:r>
        <w:rPr>
          <w:rFonts w:hint="default" w:ascii="Times New Roman" w:hAnsi="Times New Roman" w:cs="Times New Roman"/>
          <w:color w:val="000000" w:themeColor="text1"/>
          <w:sz w:val="24"/>
          <w:szCs w:val="24"/>
          <w:lang w:val="en-US" w:eastAsia="zh-CN"/>
          <w14:textFill>
            <w14:solidFill>
              <w14:schemeClr w14:val="tx1"/>
            </w14:solidFill>
          </w14:textFill>
        </w:rPr>
        <w:t>DOX releasing</w:t>
      </w:r>
      <w:r>
        <w:rPr>
          <w:rFonts w:hint="default" w:ascii="Times New Roman" w:hAnsi="Times New Roman" w:cs="Times New Roman"/>
          <w:color w:val="000000" w:themeColor="text1"/>
          <w:sz w:val="24"/>
          <w:szCs w:val="24"/>
          <w14:textFill>
            <w14:solidFill>
              <w14:schemeClr w14:val="tx1"/>
            </w14:solidFill>
          </w14:textFill>
        </w:rPr>
        <w:t xml:space="preserve"> behavior </w:t>
      </w:r>
      <w:r>
        <w:rPr>
          <w:rFonts w:hint="default" w:ascii="Times New Roman" w:hAnsi="Times New Roman" w:cs="Times New Roman"/>
          <w:color w:val="000000" w:themeColor="text1"/>
          <w:sz w:val="24"/>
          <w:szCs w:val="24"/>
          <w:lang w:val="en-US" w:eastAsia="zh-CN"/>
          <w14:textFill>
            <w14:solidFill>
              <w14:schemeClr w14:val="tx1"/>
            </w14:solidFill>
          </w14:textFill>
        </w:rPr>
        <w:t>from</w:t>
      </w:r>
      <w:r>
        <w:rPr>
          <w:rFonts w:hint="default" w:ascii="Times New Roman" w:hAnsi="Times New Roman" w:cs="Times New Roman"/>
          <w:color w:val="000000" w:themeColor="text1"/>
          <w:sz w:val="24"/>
          <w:szCs w:val="24"/>
          <w14:textFill>
            <w14:solidFill>
              <w14:schemeClr w14:val="tx1"/>
            </w14:solidFill>
          </w14:textFill>
        </w:rPr>
        <w:t xml:space="preserve"> </w:t>
      </w:r>
      <w:bookmarkStart w:id="24" w:name="OLE_LINK34"/>
      <w:r>
        <w:rPr>
          <w:rFonts w:hint="default" w:ascii="Times New Roman" w:hAnsi="Times New Roman" w:cs="Times New Roman"/>
          <w:color w:val="000000" w:themeColor="text1"/>
          <w:sz w:val="24"/>
          <w:szCs w:val="24"/>
          <w14:textFill>
            <w14:solidFill>
              <w14:schemeClr w14:val="tx1"/>
            </w14:solidFill>
          </w14:textFill>
        </w:rPr>
        <w:t>FA-PPLT@DOX NAs</w:t>
      </w:r>
      <w:bookmarkEnd w:id="24"/>
      <w:r>
        <w:rPr>
          <w:rFonts w:hint="default" w:ascii="Times New Roman" w:hAnsi="Times New Roman" w:cs="Times New Roman"/>
          <w:color w:val="000000" w:themeColor="text1"/>
          <w:sz w:val="24"/>
          <w:szCs w:val="24"/>
          <w14:textFill>
            <w14:solidFill>
              <w14:schemeClr w14:val="tx1"/>
            </w14:solidFill>
          </w14:textFill>
        </w:rPr>
        <w:t xml:space="preserve">. The absorbance of </w:t>
      </w:r>
      <w:r>
        <w:rPr>
          <w:rFonts w:hint="default" w:ascii="Times New Roman" w:hAnsi="Times New Roman" w:cs="Times New Roman"/>
          <w:color w:val="000000" w:themeColor="text1"/>
          <w:sz w:val="24"/>
          <w:szCs w:val="24"/>
          <w:lang w:val="en-US" w:eastAsia="zh-CN"/>
          <w14:textFill>
            <w14:solidFill>
              <w14:schemeClr w14:val="tx1"/>
            </w14:solidFill>
          </w14:textFill>
        </w:rPr>
        <w:t>DOX</w:t>
      </w:r>
      <w:r>
        <w:rPr>
          <w:rFonts w:hint="default" w:ascii="Times New Roman" w:hAnsi="Times New Roman" w:cs="Times New Roman"/>
          <w:color w:val="000000" w:themeColor="text1"/>
          <w:sz w:val="24"/>
          <w:szCs w:val="24"/>
          <w14:textFill>
            <w14:solidFill>
              <w14:schemeClr w14:val="tx1"/>
            </w14:solidFill>
          </w14:textFill>
        </w:rPr>
        <w:t xml:space="preserve"> was detected by </w:t>
      </w:r>
      <w:r>
        <w:rPr>
          <w:rFonts w:hint="default" w:ascii="Times New Roman" w:hAnsi="Times New Roman" w:cs="Times New Roman"/>
          <w:color w:val="000000" w:themeColor="text1"/>
          <w:sz w:val="24"/>
          <w:szCs w:val="24"/>
          <w:lang w:val="en-US" w:eastAsia="zh-CN"/>
          <w14:textFill>
            <w14:solidFill>
              <w14:schemeClr w14:val="tx1"/>
            </w14:solidFill>
          </w14:textFill>
        </w:rPr>
        <w:t>Fluorescence spectrometer</w:t>
      </w:r>
      <w:r>
        <w:rPr>
          <w:rFonts w:hint="default" w:ascii="Times New Roman" w:hAnsi="Times New Roman" w:cs="Times New Roman"/>
          <w:color w:val="000000" w:themeColor="text1"/>
          <w:sz w:val="24"/>
          <w:szCs w:val="24"/>
          <w14:textFill>
            <w14:solidFill>
              <w14:schemeClr w14:val="tx1"/>
            </w14:solidFill>
          </w14:textFill>
        </w:rPr>
        <w:t xml:space="preserve"> at </w:t>
      </w:r>
      <w:r>
        <w:rPr>
          <w:rFonts w:hint="default" w:ascii="Times New Roman" w:hAnsi="Times New Roman" w:cs="Times New Roman"/>
          <w:color w:val="000000" w:themeColor="text1"/>
          <w:sz w:val="24"/>
          <w:szCs w:val="24"/>
          <w:lang w:val="en-US" w:eastAsia="zh-CN"/>
          <w14:textFill>
            <w14:solidFill>
              <w14:schemeClr w14:val="tx1"/>
            </w14:solidFill>
          </w14:textFill>
        </w:rPr>
        <w:t>designed</w:t>
      </w:r>
      <w:r>
        <w:rPr>
          <w:rFonts w:hint="default" w:ascii="Times New Roman" w:hAnsi="Times New Roman" w:cs="Times New Roman"/>
          <w:color w:val="000000" w:themeColor="text1"/>
          <w:sz w:val="24"/>
          <w:szCs w:val="24"/>
          <w14:textFill>
            <w14:solidFill>
              <w14:schemeClr w14:val="tx1"/>
            </w14:solidFill>
          </w14:textFill>
        </w:rPr>
        <w:t xml:space="preserve"> time point to evaluate the degradation performance of FA-PPLT@DOX NAs in </w:t>
      </w:r>
      <w:r>
        <w:rPr>
          <w:rFonts w:hint="default" w:ascii="Times New Roman" w:hAnsi="Times New Roman" w:cs="Times New Roman"/>
          <w:color w:val="000000" w:themeColor="text1"/>
          <w:sz w:val="24"/>
          <w:szCs w:val="24"/>
          <w:lang w:val="en-US" w:eastAsia="zh-CN"/>
          <w14:textFill>
            <w14:solidFill>
              <w14:schemeClr w14:val="tx1"/>
            </w14:solidFill>
          </w14:textFill>
        </w:rPr>
        <w:t>different environment</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5</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Cell </w:t>
      </w:r>
      <w:r>
        <w:rPr>
          <w:rFonts w:hint="default" w:ascii="Times New Roman" w:hAnsi="Times New Roman" w:cs="Times New Roman"/>
          <w:b/>
          <w:bCs/>
          <w:color w:val="000000" w:themeColor="text1"/>
          <w:sz w:val="24"/>
          <w:szCs w:val="24"/>
          <w:lang w:val="en-US" w:eastAsia="zh-CN"/>
          <w14:textFill>
            <w14:solidFill>
              <w14:schemeClr w14:val="tx1"/>
            </w14:solidFill>
          </w14:textFill>
        </w:rPr>
        <w:t>c</w:t>
      </w:r>
      <w:r>
        <w:rPr>
          <w:rFonts w:hint="default" w:ascii="Times New Roman" w:hAnsi="Times New Roman" w:cs="Times New Roman"/>
          <w:b/>
          <w:bCs/>
          <w:color w:val="000000" w:themeColor="text1"/>
          <w:sz w:val="24"/>
          <w:szCs w:val="24"/>
          <w14:textFill>
            <w14:solidFill>
              <w14:schemeClr w14:val="tx1"/>
            </w14:solidFill>
          </w14:textFill>
        </w:rPr>
        <w:t>ulture</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bookmarkStart w:id="25" w:name="OLE_LINK33"/>
      <w:bookmarkStart w:id="42" w:name="_GoBack"/>
      <w:r>
        <w:rPr>
          <w:rFonts w:hint="default" w:ascii="Times New Roman" w:hAnsi="Times New Roman" w:cs="Times New Roman"/>
          <w:color w:val="FF0000"/>
          <w:sz w:val="24"/>
          <w:szCs w:val="24"/>
        </w:rPr>
        <w:t>4T1 cells (</w:t>
      </w:r>
      <w:r>
        <w:rPr>
          <w:rFonts w:hint="default" w:ascii="Times New Roman" w:hAnsi="Times New Roman" w:cs="Times New Roman"/>
          <w:color w:val="FF0000"/>
          <w:sz w:val="24"/>
          <w:szCs w:val="24"/>
          <w:lang w:val="en-US" w:eastAsia="zh-CN"/>
        </w:rPr>
        <w:t>M</w:t>
      </w:r>
      <w:r>
        <w:rPr>
          <w:rFonts w:hint="default" w:ascii="Times New Roman" w:hAnsi="Times New Roman" w:cs="Times New Roman"/>
          <w:color w:val="FF0000"/>
          <w:sz w:val="24"/>
          <w:szCs w:val="24"/>
        </w:rPr>
        <w:t xml:space="preserve">ouse breast cancer cells), and </w:t>
      </w:r>
      <w:r>
        <w:rPr>
          <w:rFonts w:hint="default" w:ascii="Times New Roman" w:hAnsi="Times New Roman" w:cs="Times New Roman"/>
          <w:color w:val="FF0000"/>
          <w:sz w:val="24"/>
          <w:szCs w:val="24"/>
          <w:lang w:val="en-US" w:eastAsia="zh-CN"/>
        </w:rPr>
        <w:t>293T</w:t>
      </w:r>
      <w:r>
        <w:rPr>
          <w:rFonts w:hint="default" w:ascii="Times New Roman" w:hAnsi="Times New Roman" w:cs="Times New Roman"/>
          <w:color w:val="FF0000"/>
          <w:sz w:val="24"/>
          <w:szCs w:val="24"/>
        </w:rPr>
        <w:t xml:space="preserve"> cells (Human renal epithelial cell</w:t>
      </w:r>
      <w:r>
        <w:rPr>
          <w:rFonts w:hint="default" w:ascii="Times New Roman" w:hAnsi="Times New Roman" w:cs="Times New Roman"/>
          <w:color w:val="FF0000"/>
          <w:sz w:val="24"/>
          <w:szCs w:val="24"/>
          <w:lang w:val="en-US" w:eastAsia="zh-CN"/>
        </w:rPr>
        <w:t>s</w:t>
      </w:r>
      <w:r>
        <w:rPr>
          <w:rFonts w:hint="default" w:ascii="Times New Roman" w:hAnsi="Times New Roman" w:cs="Times New Roman"/>
          <w:color w:val="FF0000"/>
          <w:sz w:val="24"/>
          <w:szCs w:val="24"/>
        </w:rPr>
        <w:t>) were obtained from SUNNCELL Biotechnology Co., Ltd.</w:t>
      </w:r>
      <w:bookmarkEnd w:id="25"/>
      <w:bookmarkEnd w:id="42"/>
      <w:r>
        <w:rPr>
          <w:rFonts w:hint="default" w:ascii="Times New Roman" w:hAnsi="Times New Roman" w:cs="Times New Roman"/>
          <w:color w:val="000000" w:themeColor="text1"/>
          <w:sz w:val="24"/>
          <w:szCs w:val="24"/>
          <w14:textFill>
            <w14:solidFill>
              <w14:schemeClr w14:val="tx1"/>
            </w14:solidFill>
          </w14:textFill>
        </w:rPr>
        <w:t xml:space="preserve"> These cells were incubated in fresh RPMI-1640 medium containing 10% heat-inactivated fetal bovine serum and 1% penicillin-streptomycin. All cell lines were approved by </w:t>
      </w:r>
      <w:r>
        <w:rPr>
          <w:rFonts w:hint="default" w:ascii="Times New Roman" w:hAnsi="Times New Roman" w:cs="Times New Roman"/>
          <w:color w:val="000000" w:themeColor="text1"/>
          <w:sz w:val="24"/>
          <w:szCs w:val="24"/>
          <w:lang w:val="en-US" w:eastAsia="zh-CN"/>
          <w14:textFill>
            <w14:solidFill>
              <w14:schemeClr w14:val="tx1"/>
            </w14:solidFill>
          </w14:textFill>
        </w:rPr>
        <w:t>Nanjing</w:t>
      </w:r>
      <w:r>
        <w:rPr>
          <w:rFonts w:hint="default" w:ascii="Times New Roman" w:hAnsi="Times New Roman" w:cs="Times New Roman"/>
          <w:color w:val="000000" w:themeColor="text1"/>
          <w:sz w:val="24"/>
          <w:szCs w:val="24"/>
          <w14:textFill>
            <w14:solidFill>
              <w14:schemeClr w14:val="tx1"/>
            </w14:solidFill>
          </w14:textFill>
        </w:rPr>
        <w:t xml:space="preserve"> University.</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Apoptosis in tumor cells and release of tumor antigens induced by </w:t>
      </w:r>
      <w:r>
        <w:rPr>
          <w:rFonts w:hint="default" w:ascii="Times New Roman" w:hAnsi="Times New Roman" w:cs="Times New Roman"/>
          <w:b/>
          <w:bCs/>
          <w:color w:val="000000" w:themeColor="text1"/>
          <w:sz w:val="24"/>
          <w:szCs w:val="24"/>
          <w14:textFill>
            <w14:solidFill>
              <w14:schemeClr w14:val="tx1"/>
            </w14:solidFill>
          </w14:textFill>
        </w:rPr>
        <w:t xml:space="preserve"> FA-PPLT@DOX PA combined with NIR.</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HMGB1 enzyme-linked immunosorbent assay: 4T1 cells (2×10</w:t>
      </w:r>
      <w:r>
        <w:rPr>
          <w:rFonts w:hint="default" w:ascii="Times New Roman" w:hAnsi="Times New Roman" w:cs="Times New Roman"/>
          <w:color w:val="000000" w:themeColor="text1"/>
          <w:sz w:val="24"/>
          <w:szCs w:val="24"/>
          <w:vertAlign w:val="superscript"/>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/well) were inoculated into a 24-well culture plate and placed in a cell incubator (37℃, 5% CO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After 12 h, DOX, FA-PPLT@DOX NAs and FA-PPLT@DOX PA were added to the above culture plates and </w:t>
      </w:r>
      <w:r>
        <w:rPr>
          <w:rFonts w:hint="default" w:ascii="Times New Roman" w:hAnsi="Times New Roman" w:cs="Times New Roman"/>
          <w:color w:val="000000" w:themeColor="text1"/>
          <w:sz w:val="24"/>
          <w:szCs w:val="24"/>
          <w:lang w:val="en-US" w:eastAsia="zh-CN"/>
          <w14:textFill>
            <w14:solidFill>
              <w14:schemeClr w14:val="tx1"/>
            </w14:solidFill>
          </w14:textFill>
        </w:rPr>
        <w:t>exposed under</w:t>
      </w:r>
      <w:r>
        <w:rPr>
          <w:rFonts w:hint="default" w:ascii="Times New Roman" w:hAnsi="Times New Roman" w:cs="Times New Roman"/>
          <w:color w:val="000000" w:themeColor="text1"/>
          <w:sz w:val="24"/>
          <w:szCs w:val="24"/>
          <w14:textFill>
            <w14:solidFill>
              <w14:schemeClr w14:val="tx1"/>
            </w14:solidFill>
          </w14:textFill>
        </w:rPr>
        <w:t xml:space="preserve"> NIR</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irradiation </w:t>
      </w:r>
      <w:r>
        <w:rPr>
          <w:rFonts w:hint="default" w:ascii="Times New Roman" w:hAnsi="Times New Roman" w:cs="Times New Roman"/>
          <w:color w:val="000000" w:themeColor="text1"/>
          <w:sz w:val="24"/>
          <w:szCs w:val="24"/>
          <w14:textFill>
            <w14:solidFill>
              <w14:schemeClr w14:val="tx1"/>
            </w14:solidFill>
          </w14:textFill>
        </w:rPr>
        <w:t>(0.75 W/cm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2 min). After 12 h, the supernatant of each treatment group was sucked into </w:t>
      </w:r>
      <w:r>
        <w:rPr>
          <w:rFonts w:hint="default" w:ascii="Times New Roman" w:hAnsi="Times New Roman" w:cs="Times New Roman"/>
          <w:color w:val="000000" w:themeColor="text1"/>
          <w:sz w:val="24"/>
          <w:szCs w:val="24"/>
          <w:lang w:val="en-US" w:eastAsia="zh-CN"/>
          <w14:textFill>
            <w14:solidFill>
              <w14:schemeClr w14:val="tx1"/>
            </w14:solidFill>
          </w14:textFill>
        </w:rPr>
        <w:t>e</w:t>
      </w:r>
      <w:r>
        <w:rPr>
          <w:rFonts w:hint="default" w:ascii="Times New Roman" w:hAnsi="Times New Roman" w:cs="Times New Roman"/>
          <w:color w:val="000000" w:themeColor="text1"/>
          <w:sz w:val="24"/>
          <w:szCs w:val="24"/>
          <w14:textFill>
            <w14:solidFill>
              <w14:schemeClr w14:val="tx1"/>
            </w14:solidFill>
          </w14:textFill>
        </w:rPr>
        <w:t xml:space="preserve">ppendorf </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14:textFill>
            <w14:solidFill>
              <w14:schemeClr w14:val="tx1"/>
            </w14:solidFill>
          </w14:textFill>
        </w:rPr>
        <w:t xml:space="preserve">icrotest </w:t>
      </w:r>
      <w:r>
        <w:rPr>
          <w:rFonts w:hint="default" w:ascii="Times New Roman" w:hAnsi="Times New Roman" w:cs="Times New Roman"/>
          <w:color w:val="000000" w:themeColor="text1"/>
          <w:sz w:val="24"/>
          <w:szCs w:val="24"/>
          <w:lang w:val="en-US" w:eastAsia="zh-CN"/>
          <w14:textFill>
            <w14:solidFill>
              <w14:schemeClr w14:val="tx1"/>
            </w14:solidFill>
          </w14:textFill>
        </w:rPr>
        <w:t>t</w:t>
      </w:r>
      <w:r>
        <w:rPr>
          <w:rFonts w:hint="default" w:ascii="Times New Roman" w:hAnsi="Times New Roman" w:cs="Times New Roman"/>
          <w:color w:val="000000" w:themeColor="text1"/>
          <w:sz w:val="24"/>
          <w:szCs w:val="24"/>
          <w14:textFill>
            <w14:solidFill>
              <w14:schemeClr w14:val="tx1"/>
            </w14:solidFill>
          </w14:textFill>
        </w:rPr>
        <w:t>ubes. Subsequently, the standards and samples were respectively added to the pre-coated strips at a ratio of 100 μL per well (</w:t>
      </w:r>
      <w:r>
        <w:rPr>
          <w:rFonts w:hint="default" w:ascii="Times New Roman" w:hAnsi="Times New Roman" w:cs="Times New Roman"/>
          <w:color w:val="000000" w:themeColor="text1"/>
          <w:sz w:val="24"/>
          <w:szCs w:val="24"/>
          <w:lang w:val="en-US" w:eastAsia="zh-CN"/>
          <w14:textFill>
            <w14:solidFill>
              <w14:schemeClr w14:val="tx1"/>
            </w14:solidFill>
          </w14:textFill>
        </w:rPr>
        <w:t>n =</w:t>
      </w:r>
      <w:r>
        <w:rPr>
          <w:rFonts w:hint="default" w:ascii="Times New Roman" w:hAnsi="Times New Roman" w:cs="Times New Roman"/>
          <w:color w:val="000000" w:themeColor="text1"/>
          <w:sz w:val="24"/>
          <w:szCs w:val="24"/>
          <w14:textFill>
            <w14:solidFill>
              <w14:schemeClr w14:val="tx1"/>
            </w14:solidFill>
          </w14:textFill>
        </w:rPr>
        <w:t xml:space="preserve"> 3</w:t>
      </w:r>
      <w:r>
        <w:rPr>
          <w:rFonts w:hint="default" w:ascii="Times New Roman" w:hAnsi="Times New Roman" w:cs="Times New Roman"/>
          <w:color w:val="000000" w:themeColor="text1"/>
          <w:sz w:val="24"/>
          <w:szCs w:val="24"/>
          <w:lang w:val="en-US" w:eastAsia="zh-CN"/>
          <w14:textFill>
            <w14:solidFill>
              <w14:schemeClr w14:val="tx1"/>
            </w14:solidFill>
          </w14:textFill>
        </w:rPr>
        <w:t>/group</w:t>
      </w:r>
      <w:r>
        <w:rPr>
          <w:rFonts w:hint="default" w:ascii="Times New Roman" w:hAnsi="Times New Roman" w:cs="Times New Roman"/>
          <w:color w:val="000000" w:themeColor="text1"/>
          <w:sz w:val="24"/>
          <w:szCs w:val="24"/>
          <w14:textFill>
            <w14:solidFill>
              <w14:schemeClr w14:val="tx1"/>
            </w14:solidFill>
          </w14:textFill>
        </w:rPr>
        <w:t xml:space="preserve">). After washing the incubation plate for five times, 100 μL antibody labeled with horseradish peroxidase was added to each well and incubated for 1 h at room temperature with the reaction wells being sealed with transparent plate sealing film. After </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 xml:space="preserve"> times of cleaning, 100 μL of TMB solution was added to each well and incubated for 20 min at room temperature in the dark, with the reaction wells being sealed with white sealing film. Finally, 50 μL of stop solution was added to each well and the absorbance of each group was detected at 450 nm after mixing.</w:t>
      </w:r>
      <w:r>
        <w:rPr>
          <w:rFonts w:hint="default" w:ascii="Times New Roman" w:hAnsi="Times New Roman" w:cs="Times New Roman"/>
          <w:bCs/>
          <w:color w:val="000000" w:themeColor="text1"/>
          <w:sz w:val="24"/>
          <w:szCs w:val="24"/>
          <w:vertAlign w:val="superscript"/>
          <w:lang w:val="en-US" w:eastAsia="zh-CN"/>
          <w14:textFill>
            <w14:solidFill>
              <w14:schemeClr w14:val="tx1"/>
            </w14:solidFill>
          </w14:textFill>
        </w:rPr>
        <w:t>6</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ATP detection: 4T1 cells (2×10</w:t>
      </w:r>
      <w:r>
        <w:rPr>
          <w:rFonts w:hint="default" w:ascii="Times New Roman" w:hAnsi="Times New Roman" w:cs="Times New Roman"/>
          <w:color w:val="000000" w:themeColor="text1"/>
          <w:sz w:val="24"/>
          <w:szCs w:val="24"/>
          <w:vertAlign w:val="superscript"/>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/well) were inoculated into a 24-well culture plate and placed in a cell incubator (37℃, 5% CO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After 12 h, DOX, FA-PPLT@DOX NAs and FPLT@DOX PA were added to the above culture plates and </w:t>
      </w:r>
      <w:r>
        <w:rPr>
          <w:rFonts w:hint="default" w:ascii="Times New Roman" w:hAnsi="Times New Roman" w:cs="Times New Roman"/>
          <w:color w:val="000000" w:themeColor="text1"/>
          <w:sz w:val="24"/>
          <w:szCs w:val="24"/>
          <w:lang w:val="en-US" w:eastAsia="zh-CN"/>
          <w14:textFill>
            <w14:solidFill>
              <w14:schemeClr w14:val="tx1"/>
            </w14:solidFill>
          </w14:textFill>
        </w:rPr>
        <w:t>exposed under</w:t>
      </w:r>
      <w:r>
        <w:rPr>
          <w:rFonts w:hint="default" w:ascii="Times New Roman" w:hAnsi="Times New Roman" w:cs="Times New Roman"/>
          <w:color w:val="000000" w:themeColor="text1"/>
          <w:sz w:val="24"/>
          <w:szCs w:val="24"/>
          <w14:textFill>
            <w14:solidFill>
              <w14:schemeClr w14:val="tx1"/>
            </w14:solidFill>
          </w14:textFill>
        </w:rPr>
        <w:t xml:space="preserve"> NIR</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irradiation </w:t>
      </w:r>
      <w:r>
        <w:rPr>
          <w:rFonts w:hint="default" w:ascii="Times New Roman" w:hAnsi="Times New Roman" w:cs="Times New Roman"/>
          <w:color w:val="000000" w:themeColor="text1"/>
          <w:sz w:val="24"/>
          <w:szCs w:val="24"/>
          <w14:textFill>
            <w14:solidFill>
              <w14:schemeClr w14:val="tx1"/>
            </w14:solidFill>
          </w14:textFill>
        </w:rPr>
        <w:t>(0.75 W/cm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2 min). After 12 h, the supernatant of each treatment group was sucked into EP tube. Next, add 100 μL ATP detection working solution into the detection tube for each hole. Subsequently, add 20 </w:t>
      </w:r>
      <w:bookmarkStart w:id="26" w:name="OLE_LINK201"/>
      <w:r>
        <w:rPr>
          <w:rFonts w:hint="default" w:ascii="Times New Roman" w:hAnsi="Times New Roman" w:cs="Times New Roman"/>
          <w:color w:val="000000" w:themeColor="text1"/>
          <w:sz w:val="24"/>
          <w:szCs w:val="24"/>
          <w14:textFill>
            <w14:solidFill>
              <w14:schemeClr w14:val="tx1"/>
            </w14:solidFill>
          </w14:textFill>
        </w:rPr>
        <w:t>μL</w:t>
      </w:r>
      <w:bookmarkEnd w:id="26"/>
      <w:r>
        <w:rPr>
          <w:rFonts w:hint="default" w:ascii="Times New Roman" w:hAnsi="Times New Roman" w:cs="Times New Roman"/>
          <w:color w:val="000000" w:themeColor="text1"/>
          <w:sz w:val="24"/>
          <w:szCs w:val="24"/>
          <w14:textFill>
            <w14:solidFill>
              <w14:schemeClr w14:val="tx1"/>
            </w14:solidFill>
          </w14:textFill>
        </w:rPr>
        <w:t xml:space="preserve"> of standard and sample per hole into the detection tube respectively and quickly mix it with a pipette gun. The RLU value was detected with a chemiluminescence instrument and the concentration of ATP was calculated by standard curve.</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7</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Tumor </w:t>
      </w:r>
      <w:r>
        <w:rPr>
          <w:rFonts w:hint="default" w:ascii="Times New Roman" w:hAnsi="Times New Roman" w:cs="Times New Roman"/>
          <w:b/>
          <w:bCs/>
          <w:color w:val="000000" w:themeColor="text1"/>
          <w:sz w:val="24"/>
          <w:szCs w:val="24"/>
          <w:lang w:val="en-US" w:eastAsia="zh-CN"/>
          <w14:textFill>
            <w14:solidFill>
              <w14:schemeClr w14:val="tx1"/>
            </w14:solidFill>
          </w14:textFill>
        </w:rPr>
        <w:t>m</w:t>
      </w:r>
      <w:r>
        <w:rPr>
          <w:rFonts w:hint="default" w:ascii="Times New Roman" w:hAnsi="Times New Roman" w:cs="Times New Roman"/>
          <w:b/>
          <w:bCs/>
          <w:color w:val="000000" w:themeColor="text1"/>
          <w:sz w:val="24"/>
          <w:szCs w:val="24"/>
          <w14:textFill>
            <w14:solidFill>
              <w14:schemeClr w14:val="tx1"/>
            </w14:solidFill>
          </w14:textFill>
        </w:rPr>
        <w:t xml:space="preserve">odels and </w:t>
      </w:r>
      <w:r>
        <w:rPr>
          <w:rFonts w:hint="default" w:ascii="Times New Roman" w:hAnsi="Times New Roman" w:cs="Times New Roman"/>
          <w:b/>
          <w:bCs/>
          <w:color w:val="000000" w:themeColor="text1"/>
          <w:sz w:val="24"/>
          <w:szCs w:val="24"/>
          <w:lang w:val="en-US" w:eastAsia="zh-CN"/>
          <w14:textFill>
            <w14:solidFill>
              <w14:schemeClr w14:val="tx1"/>
            </w14:solidFill>
          </w14:textFill>
        </w:rPr>
        <w:t>a</w:t>
      </w:r>
      <w:r>
        <w:rPr>
          <w:rFonts w:hint="default" w:ascii="Times New Roman" w:hAnsi="Times New Roman" w:cs="Times New Roman"/>
          <w:b/>
          <w:bCs/>
          <w:color w:val="000000" w:themeColor="text1"/>
          <w:sz w:val="24"/>
          <w:szCs w:val="24"/>
          <w14:textFill>
            <w14:solidFill>
              <w14:schemeClr w14:val="tx1"/>
            </w14:solidFill>
          </w14:textFill>
        </w:rPr>
        <w:t>nimal welfare</w:t>
      </w:r>
    </w:p>
    <w:p>
      <w:pPr>
        <w:keepNext w:val="0"/>
        <w:keepLines w:val="0"/>
        <w:pageBreakBefore w:val="0"/>
        <w:numPr>
          <w:ilvl w:val="0"/>
          <w:numId w:val="2"/>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week-old BALB/c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female </w:t>
      </w:r>
      <w:r>
        <w:rPr>
          <w:rFonts w:hint="default" w:ascii="Times New Roman" w:hAnsi="Times New Roman" w:cs="Times New Roman"/>
          <w:color w:val="000000" w:themeColor="text1"/>
          <w:sz w:val="24"/>
          <w:szCs w:val="24"/>
          <w14:textFill>
            <w14:solidFill>
              <w14:schemeClr w14:val="tx1"/>
            </w14:solidFill>
          </w14:textFill>
        </w:rPr>
        <w:t>mice were purchased from Qinglongshan Biotechnology Co., LTD (</w:t>
      </w:r>
      <w:r>
        <w:rPr>
          <w:rFonts w:hint="default" w:ascii="Times New Roman" w:hAnsi="Times New Roman" w:cs="Times New Roman"/>
          <w:color w:val="000000" w:themeColor="text1"/>
          <w:sz w:val="24"/>
          <w:szCs w:val="24"/>
          <w:lang w:val="en-US" w:eastAsia="zh-CN"/>
          <w14:textFill>
            <w14:solidFill>
              <w14:schemeClr w14:val="tx1"/>
            </w14:solidFill>
          </w14:textFill>
        </w:rPr>
        <w:t>Nanjing</w:t>
      </w:r>
      <w:r>
        <w:rPr>
          <w:rFonts w:hint="default" w:ascii="Times New Roman" w:hAnsi="Times New Roman" w:cs="Times New Roman"/>
          <w:color w:val="000000" w:themeColor="text1"/>
          <w:sz w:val="24"/>
          <w:szCs w:val="24"/>
          <w14:textFill>
            <w14:solidFill>
              <w14:schemeClr w14:val="tx1"/>
            </w14:solidFill>
          </w14:textFill>
        </w:rPr>
        <w:t>, China) and fed in the specific pathogen-free-conditions. 200 μL of 4T1 (1×10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 cells were injected subcutaneously into the right lower mammary gland of female BALB/c mice to establish a subcutaneous transplanted tumor model. When the tumor volume exceeds 1500 mm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 xml:space="preserve">, the mouse is considered dead. All animal experiments were performed by the protocol approved of Institutional Animal Care and Use Committee of </w:t>
      </w:r>
      <w:r>
        <w:rPr>
          <w:rFonts w:hint="default" w:ascii="Times New Roman" w:hAnsi="Times New Roman" w:cs="Times New Roman"/>
          <w:color w:val="000000" w:themeColor="text1"/>
          <w:sz w:val="24"/>
          <w:szCs w:val="24"/>
          <w:lang w:val="en-US" w:eastAsia="zh-CN"/>
          <w14:textFill>
            <w14:solidFill>
              <w14:schemeClr w14:val="tx1"/>
            </w14:solidFill>
          </w14:textFill>
        </w:rPr>
        <w:t>Nanjing</w:t>
      </w:r>
      <w:r>
        <w:rPr>
          <w:rFonts w:hint="default" w:ascii="Times New Roman" w:hAnsi="Times New Roman" w:cs="Times New Roman"/>
          <w:color w:val="000000" w:themeColor="text1"/>
          <w:sz w:val="24"/>
          <w:szCs w:val="24"/>
          <w14:textFill>
            <w14:solidFill>
              <w14:schemeClr w14:val="tx1"/>
            </w14:solidFill>
          </w14:textFill>
        </w:rPr>
        <w:t xml:space="preserve"> University. All efforts were made to minimize the animals</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suffering and reduce the frequency of animal use.</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he </w:t>
      </w:r>
      <w:r>
        <w:rPr>
          <w:rFonts w:hint="default" w:ascii="Times New Roman" w:hAnsi="Times New Roman" w:cs="Times New Roman"/>
          <w:color w:val="000000" w:themeColor="text1"/>
          <w:sz w:val="24"/>
          <w:szCs w:val="24"/>
          <w:shd w:val="clear" w:color="auto" w:fill="FFFFFF"/>
          <w14:textFill>
            <w14:solidFill>
              <w14:schemeClr w14:val="tx1"/>
            </w14:solidFill>
          </w14:textFill>
        </w:rPr>
        <w:t>animal</w:t>
      </w:r>
      <w:r>
        <w:rPr>
          <w:rFonts w:hint="default" w:ascii="Times New Roman" w:hAnsi="Times New Roman" w:cs="Times New Roman"/>
          <w:color w:val="000000" w:themeColor="text1"/>
          <w:sz w:val="24"/>
          <w:szCs w:val="24"/>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study is reported in accordance </w:t>
      </w:r>
      <w:r>
        <w:rPr>
          <w:rFonts w:hint="default" w:ascii="Times New Roman" w:hAnsi="Times New Roman" w:cs="Times New Roman"/>
          <w:color w:val="000000" w:themeColor="text1"/>
          <w:sz w:val="24"/>
          <w:szCs w:val="24"/>
          <w:shd w:val="clear" w:color="auto" w:fill="FFFFFF"/>
          <w:lang w:val="en-US" w:eastAsia="zh-CN"/>
          <w14:textFill>
            <w14:solidFill>
              <w14:schemeClr w14:val="tx1"/>
            </w14:solidFill>
          </w14:textFill>
        </w:rPr>
        <w:t>with ARRIVE guidelines and a</w:t>
      </w:r>
      <w:r>
        <w:rPr>
          <w:rFonts w:hint="default" w:ascii="Times New Roman" w:hAnsi="Times New Roman" w:cs="Times New Roman"/>
          <w:color w:val="000000" w:themeColor="text1"/>
          <w:sz w:val="24"/>
          <w:szCs w:val="24"/>
          <w:shd w:val="clear" w:color="auto" w:fill="FFFFFF"/>
          <w14:textFill>
            <w14:solidFill>
              <w14:schemeClr w14:val="tx1"/>
            </w14:solidFill>
          </w14:textFill>
        </w:rPr>
        <w:t>ll methods were carried out in accordance with relevant guidelines and regulations.</w:t>
      </w: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T cell analysis of tumor tissue</w:t>
      </w: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Distant tumors of 4T1 transplanted mice in each treatment group were chopped and digested with Dulbecco modified Eagle medium containing DNase I</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(100 μg/mL), hyaluronidase (100 μg/mL), collagenase Ⅳ (1 mg/mL) and 10% fetal bovine serum at 37℃ and 200 rpm for 30 min. Then they were purified with erythrocyte lysate and 40% percoll solution. The lymphocytes were collected and stained with </w:t>
      </w:r>
      <w:bookmarkStart w:id="27" w:name="OLE_LINK22"/>
      <w:r>
        <w:rPr>
          <w:rFonts w:hint="default" w:ascii="Times New Roman" w:hAnsi="Times New Roman" w:cs="Times New Roman"/>
          <w:color w:val="000000" w:themeColor="text1"/>
          <w:sz w:val="24"/>
          <w:szCs w:val="24"/>
          <w14:textFill>
            <w14:solidFill>
              <w14:schemeClr w14:val="tx1"/>
            </w14:solidFill>
          </w14:textFill>
        </w:rPr>
        <w:t>anti-mouse</w:t>
      </w:r>
      <w:bookmarkEnd w:id="27"/>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CD3, anti-mouse</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CD4 and anti-mouse</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CD8a for flow cytometry analysis.</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8</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Safety </w:t>
      </w:r>
      <w:r>
        <w:rPr>
          <w:rFonts w:hint="default" w:ascii="Times New Roman" w:hAnsi="Times New Roman" w:cs="Times New Roman"/>
          <w:b/>
          <w:bCs/>
          <w:color w:val="000000" w:themeColor="text1"/>
          <w:sz w:val="24"/>
          <w:szCs w:val="24"/>
          <w:lang w:val="en-US" w:eastAsia="zh-CN"/>
          <w14:textFill>
            <w14:solidFill>
              <w14:schemeClr w14:val="tx1"/>
            </w14:solidFill>
          </w14:textFill>
        </w:rPr>
        <w:t>e</w:t>
      </w:r>
      <w:r>
        <w:rPr>
          <w:rFonts w:hint="default" w:ascii="Times New Roman" w:hAnsi="Times New Roman" w:cs="Times New Roman"/>
          <w:b/>
          <w:bCs/>
          <w:color w:val="000000" w:themeColor="text1"/>
          <w:sz w:val="24"/>
          <w:szCs w:val="24"/>
          <w14:textFill>
            <w14:solidFill>
              <w14:schemeClr w14:val="tx1"/>
            </w14:solidFill>
          </w14:textFill>
        </w:rPr>
        <w:t xml:space="preserve">valuation </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Mice were treated with PBS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DOX</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PPLT@DOX NAs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FA-PPLT@DOX NAs and FPLT@DOX PA via intratumor injection as in the schedule for the </w:t>
      </w:r>
      <w:r>
        <w:rPr>
          <w:rFonts w:hint="default" w:ascii="Times New Roman" w:hAnsi="Times New Roman" w:cs="Times New Roman"/>
          <w:i/>
          <w:iCs/>
          <w:color w:val="000000" w:themeColor="text1"/>
          <w:sz w:val="24"/>
          <w:szCs w:val="24"/>
          <w14:textFill>
            <w14:solidFill>
              <w14:schemeClr w14:val="tx1"/>
            </w14:solidFill>
          </w14:textFill>
        </w:rPr>
        <w:t>in vivo</w:t>
      </w:r>
      <w:r>
        <w:rPr>
          <w:rFonts w:hint="default" w:ascii="Times New Roman" w:hAnsi="Times New Roman" w:cs="Times New Roman"/>
          <w:color w:val="000000" w:themeColor="text1"/>
          <w:sz w:val="24"/>
          <w:szCs w:val="24"/>
          <w14:textFill>
            <w14:solidFill>
              <w14:schemeClr w14:val="tx1"/>
            </w14:solidFill>
          </w14:textFill>
        </w:rPr>
        <w:t xml:space="preserve"> anti</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tumor efficacy study. Body weights were detected every day at the beginning of the experiment. Major organs (heart, liver, spleen, lungs, and kidney) were obtained after the last treatment and fixed with H&amp;E staining to assess toxicity. </w:t>
      </w:r>
      <w:r>
        <w:rPr>
          <w:rFonts w:hint="default" w:ascii="Times New Roman" w:hAnsi="Times New Roman" w:cs="Times New Roman"/>
          <w:color w:val="000000" w:themeColor="text1"/>
          <w:sz w:val="24"/>
          <w:szCs w:val="24"/>
          <w:lang w:val="en-US" w:eastAsia="zh-CN"/>
          <w14:textFill>
            <w14:solidFill>
              <w14:schemeClr w14:val="tx1"/>
            </w14:solidFill>
          </w14:textFill>
        </w:rPr>
        <w:t>Besides</w:t>
      </w:r>
      <w:r>
        <w:rPr>
          <w:rFonts w:hint="default" w:ascii="Times New Roman" w:hAnsi="Times New Roman" w:cs="Times New Roman"/>
          <w:color w:val="000000" w:themeColor="text1"/>
          <w:sz w:val="24"/>
          <w:szCs w:val="24"/>
          <w14:textFill>
            <w14:solidFill>
              <w14:schemeClr w14:val="tx1"/>
            </w14:solidFill>
          </w14:textFill>
        </w:rPr>
        <w:t>, blood samples were collected into anti</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coagulated tubes to analyze the hemocyte indexes as well as the serum levels of blood liver and kidney function indexes.</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10</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Statistical Analysis</w:t>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The experimental data were analyzed using OriginPro and SPSS 17.0. All experiments were repeated at least three times, and the results were expressed as mean ± standard deviation. Statistical significance was determined using the t-test. A p-value &lt; 0.05 was considered statistically significant. * p &lt; 0.05, ** p &lt; 0.01, *** p &lt; 0.001.</w:t>
      </w:r>
    </w:p>
    <w:p>
      <w:pPr>
        <w:spacing w:line="480" w:lineRule="auto"/>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pP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t>Results</w:t>
      </w:r>
    </w:p>
    <w:p>
      <w:pPr>
        <w:spacing w:line="480" w:lineRule="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5268595" cy="2358390"/>
            <wp:effectExtent l="0" t="0" r="444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8595" cy="2358390"/>
                    </a:xfrm>
                    <a:prstGeom prst="rect">
                      <a:avLst/>
                    </a:prstGeom>
                    <a:noFill/>
                    <a:ln>
                      <a:noFill/>
                    </a:ln>
                  </pic:spPr>
                </pic:pic>
              </a:graphicData>
            </a:graphic>
          </wp:inline>
        </w:drawing>
      </w:r>
    </w:p>
    <w:p>
      <w:pPr>
        <w:spacing w:line="480" w:lineRule="auto"/>
        <w:rPr>
          <w:rFonts w:hint="default" w:ascii="Times New Roman" w:hAnsi="Times New Roman" w:eastAsia="楷体" w:cs="Times New Roman"/>
          <w:color w:val="000000" w:themeColor="text1"/>
          <w:sz w:val="24"/>
          <w:szCs w:val="24"/>
          <w14:textFill>
            <w14:solidFill>
              <w14:schemeClr w14:val="tx1"/>
            </w14:solidFill>
          </w14:textFill>
        </w:rPr>
      </w:pPr>
      <w:bookmarkStart w:id="28" w:name="OLE_LINK7"/>
      <w:r>
        <w:rPr>
          <w:rFonts w:hint="default" w:ascii="Times New Roman" w:hAnsi="Times New Roman" w:cs="Times New Roman"/>
          <w:color w:val="000000" w:themeColor="text1"/>
          <w:sz w:val="24"/>
          <w:szCs w:val="24"/>
          <w14:textFill>
            <w14:solidFill>
              <w14:schemeClr w14:val="tx1"/>
            </w14:solidFill>
          </w14:textFill>
        </w:rPr>
        <w:t>Figure S1.</w:t>
      </w:r>
      <w:bookmarkEnd w:id="28"/>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Schematic illustration of the synthesis process of</w:t>
      </w:r>
      <w:r>
        <w:rPr>
          <w:rFonts w:hint="default" w:ascii="Times New Roman" w:hAnsi="Times New Roman" w:eastAsia="楷体" w:cs="Times New Roman"/>
          <w:color w:val="000000" w:themeColor="text1"/>
          <w:sz w:val="24"/>
          <w:szCs w:val="24"/>
          <w14:textFill>
            <w14:solidFill>
              <w14:schemeClr w14:val="tx1"/>
            </w14:solidFill>
          </w14:textFill>
        </w:rPr>
        <w:t xml:space="preserve"> FA-</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PPST</w:t>
      </w:r>
      <w:r>
        <w:rPr>
          <w:rFonts w:hint="default" w:ascii="Times New Roman" w:hAnsi="Times New Roman" w:eastAsia="楷体" w:cs="Times New Roman"/>
          <w:color w:val="000000" w:themeColor="text1"/>
          <w:sz w:val="24"/>
          <w:szCs w:val="24"/>
          <w14:textFill>
            <w14:solidFill>
              <w14:schemeClr w14:val="tx1"/>
            </w14:solidFill>
          </w14:textFill>
        </w:rPr>
        <w:t>@DOX NAs.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楷体"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Schematic illustration of the synthesis process of</w:t>
      </w:r>
      <w:r>
        <w:rPr>
          <w:rFonts w:hint="default" w:ascii="Times New Roman" w:hAnsi="Times New Roman" w:eastAsia="楷体" w:cs="Times New Roman"/>
          <w:color w:val="000000" w:themeColor="text1"/>
          <w:sz w:val="24"/>
          <w:szCs w:val="24"/>
          <w14:textFill>
            <w14:solidFill>
              <w14:schemeClr w14:val="tx1"/>
            </w14:solidFill>
          </w14:textFill>
        </w:rPr>
        <w:t xml:space="preserve"> PA.</w:t>
      </w:r>
    </w:p>
    <w:p>
      <w:pPr>
        <w:spacing w:line="48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p>
    <w:p>
      <w:pPr>
        <w:spacing w:line="48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br w:type="page"/>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drawing>
          <wp:inline distT="0" distB="0" distL="114300" distR="114300">
            <wp:extent cx="5420360" cy="2025650"/>
            <wp:effectExtent l="0" t="0" r="508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420360" cy="2025650"/>
                    </a:xfrm>
                    <a:prstGeom prst="rect">
                      <a:avLst/>
                    </a:prstGeom>
                    <a:noFill/>
                    <a:ln>
                      <a:noFill/>
                    </a:ln>
                  </pic:spPr>
                </pic:pic>
              </a:graphicData>
            </a:graphic>
          </wp:inline>
        </w:drawing>
      </w:r>
    </w:p>
    <w:p>
      <w:pPr>
        <w:spacing w:line="480" w:lineRule="auto"/>
        <w:rPr>
          <w:rFonts w:hint="default" w:ascii="Times New Roman" w:hAnsi="Times New Roman" w:cs="Times New Roman"/>
          <w:color w:val="000000" w:themeColor="text1"/>
          <w:sz w:val="24"/>
          <w:szCs w:val="24"/>
          <w14:textFill>
            <w14:solidFill>
              <w14:schemeClr w14:val="tx1"/>
            </w14:solidFill>
          </w14:textFill>
        </w:rPr>
      </w:pPr>
      <w:bookmarkStart w:id="29" w:name="OLE_LINK11"/>
      <w:r>
        <w:rPr>
          <w:rFonts w:hint="default" w:ascii="Times New Roman" w:hAnsi="Times New Roman" w:cs="Times New Roman"/>
          <w:color w:val="000000" w:themeColor="text1"/>
          <w:sz w:val="24"/>
          <w:szCs w:val="24"/>
          <w14:textFill>
            <w14:solidFill>
              <w14:schemeClr w14:val="tx1"/>
            </w14:solidFill>
          </w14:textFill>
        </w:rPr>
        <w:t>Figure S</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bookmarkEnd w:id="29"/>
      <w:r>
        <w:rPr>
          <w:rFonts w:hint="default"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(A) </w:t>
      </w:r>
      <w:r>
        <w:rPr>
          <w:rFonts w:hint="default" w:ascii="Times New Roman" w:hAnsi="Times New Roman" w:cs="Times New Roman"/>
          <w:color w:val="000000" w:themeColor="text1"/>
          <w:sz w:val="24"/>
          <w:szCs w:val="24"/>
          <w14:textFill>
            <w14:solidFill>
              <w14:schemeClr w14:val="tx1"/>
            </w14:solidFill>
          </w14:textFill>
        </w:rPr>
        <w:t xml:space="preserve">Photographs of PA solution, FA-PPLT@DOX NAs dispersion solution, and FPLT@DOX PA at room temperature.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(B) </w:t>
      </w:r>
      <w:r>
        <w:rPr>
          <w:rFonts w:hint="default" w:ascii="Times New Roman" w:hAnsi="Times New Roman" w:cs="Times New Roman"/>
          <w:color w:val="000000" w:themeColor="text1"/>
          <w:sz w:val="24"/>
          <w:szCs w:val="24"/>
          <w14:textFill>
            <w14:solidFill>
              <w14:schemeClr w14:val="tx1"/>
            </w14:solidFill>
          </w14:textFill>
        </w:rPr>
        <w:t xml:space="preserve">The injectability of </w:t>
      </w:r>
      <w:r>
        <w:rPr>
          <w:rFonts w:hint="default" w:ascii="Times New Roman" w:hAnsi="Times New Roman" w:cs="Times New Roman"/>
          <w:color w:val="000000" w:themeColor="text1"/>
          <w:sz w:val="24"/>
          <w:szCs w:val="24"/>
          <w:lang w:val="en-US" w:eastAsia="zh-CN"/>
          <w14:textFill>
            <w14:solidFill>
              <w14:schemeClr w14:val="tx1"/>
            </w14:solidFill>
          </w14:textFill>
        </w:rPr>
        <w:t>FPLT@DOX PA</w:t>
      </w:r>
      <w:r>
        <w:rPr>
          <w:rFonts w:hint="default" w:ascii="Times New Roman" w:hAnsi="Times New Roman" w:cs="Times New Roman"/>
          <w:color w:val="000000" w:themeColor="text1"/>
          <w:sz w:val="24"/>
          <w:szCs w:val="24"/>
          <w14:textFill>
            <w14:solidFill>
              <w14:schemeClr w14:val="tx1"/>
            </w14:solidFill>
          </w14:textFill>
        </w:rPr>
        <w:t xml:space="preserve"> in PBS solution.</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C</w:t>
      </w:r>
      <w:r>
        <w:rPr>
          <w:rFonts w:hint="default" w:ascii="Times New Roman" w:hAnsi="Times New Roman" w:cs="Times New Roman"/>
          <w:color w:val="000000" w:themeColor="text1"/>
          <w:sz w:val="24"/>
          <w:szCs w:val="24"/>
          <w14:textFill>
            <w14:solidFill>
              <w14:schemeClr w14:val="tx1"/>
            </w14:solidFill>
          </w14:textFill>
        </w:rPr>
        <w:t xml:space="preserve">) Self-healing performance of FPLT@DOX PA. </w:t>
      </w:r>
      <w:r>
        <w:rPr>
          <w:rFonts w:hint="default" w:ascii="Times New Roman" w:hAnsi="Times New Roman" w:cs="Times New Roman"/>
          <w:color w:val="000000" w:themeColor="text1"/>
          <w:sz w:val="24"/>
          <w:szCs w:val="24"/>
          <w14:textFill>
            <w14:solidFill>
              <w14:schemeClr w14:val="tx1"/>
            </w14:solidFill>
          </w14:textFill>
        </w:rPr>
        <w:br w:type="page"/>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4234815" cy="2037080"/>
            <wp:effectExtent l="0" t="0" r="190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234815" cy="2037080"/>
                    </a:xfrm>
                    <a:prstGeom prst="rect">
                      <a:avLst/>
                    </a:prstGeom>
                    <a:noFill/>
                    <a:ln>
                      <a:noFill/>
                    </a:ln>
                  </pic:spPr>
                </pic:pic>
              </a:graphicData>
            </a:graphic>
          </wp:inline>
        </w:drawing>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Figure S</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(A) </w:t>
      </w:r>
      <w:r>
        <w:rPr>
          <w:rFonts w:hint="default" w:ascii="Times New Roman" w:hAnsi="Times New Roman" w:cs="Times New Roman"/>
          <w:color w:val="000000" w:themeColor="text1"/>
          <w:sz w:val="24"/>
          <w:szCs w:val="24"/>
          <w14:textFill>
            <w14:solidFill>
              <w14:schemeClr w14:val="tx1"/>
            </w14:solidFill>
          </w14:textFill>
        </w:rPr>
        <w:t xml:space="preserve">Photograph of FPLT@DOX PA immersed into different solution at 0 h and 48 h. </w:t>
      </w:r>
      <w:r>
        <w:rPr>
          <w:rFonts w:hint="default" w:ascii="Times New Roman" w:hAnsi="Times New Roman" w:cs="Times New Roman"/>
          <w:color w:val="000000" w:themeColor="text1"/>
          <w:sz w:val="24"/>
          <w:szCs w:val="24"/>
          <w:lang w:val="en-US" w:eastAsia="zh-CN"/>
          <w14:textFill>
            <w14:solidFill>
              <w14:schemeClr w14:val="tx1"/>
            </w14:solidFill>
          </w14:textFill>
        </w:rPr>
        <w:t>(B)</w:t>
      </w:r>
      <w:r>
        <w:rPr>
          <w:rFonts w:hint="default" w:ascii="Times New Roman" w:hAnsi="Times New Roman" w:eastAsia="楷体" w:cs="Times New Roman"/>
          <w:color w:val="000000" w:themeColor="text1"/>
          <w:sz w:val="24"/>
          <w:szCs w:val="24"/>
          <w:lang w:val="en-US" w:eastAsia="zh-CN" w:bidi="en-US"/>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Fluorescence spectra of</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DOX once </w:t>
      </w:r>
      <w:bookmarkStart w:id="30" w:name="OLE_LINK52"/>
      <w:r>
        <w:rPr>
          <w:rFonts w:hint="default" w:ascii="Times New Roman" w:hAnsi="Times New Roman" w:cs="Times New Roman"/>
          <w:color w:val="000000" w:themeColor="text1"/>
          <w:sz w:val="24"/>
          <w:szCs w:val="24"/>
          <w14:textFill>
            <w14:solidFill>
              <w14:schemeClr w14:val="tx1"/>
            </w14:solidFill>
          </w14:textFill>
        </w:rPr>
        <w:t>FA-PPLT@DOX NAs</w:t>
      </w:r>
      <w:bookmarkEnd w:id="30"/>
      <w:r>
        <w:rPr>
          <w:rFonts w:hint="default" w:ascii="Times New Roman" w:hAnsi="Times New Roman" w:eastAsia="楷体" w:cs="Times New Roman"/>
          <w:color w:val="000000" w:themeColor="text1"/>
          <w:sz w:val="24"/>
          <w:szCs w:val="24"/>
          <w:lang w:val="en-US" w:eastAsia="zh-CN" w:bidi="en-US"/>
          <w14:textFill>
            <w14:solidFill>
              <w14:schemeClr w14:val="tx1"/>
            </w14:solidFill>
          </w14:textFill>
        </w:rPr>
        <w:t xml:space="preserve"> </w:t>
      </w:r>
      <w:r>
        <w:rPr>
          <w:rFonts w:hint="default" w:ascii="Times New Roman" w:hAnsi="Times New Roman" w:eastAsia="楷体" w:cs="Times New Roman"/>
          <w:color w:val="000000" w:themeColor="text1"/>
          <w:sz w:val="24"/>
          <w:szCs w:val="24"/>
          <w:lang w:bidi="en-US"/>
          <w14:textFill>
            <w14:solidFill>
              <w14:schemeClr w14:val="tx1"/>
            </w14:solidFill>
          </w14:textFill>
        </w:rPr>
        <w:t>immersed into different solution</w:t>
      </w:r>
      <w:r>
        <w:rPr>
          <w:rFonts w:hint="default" w:ascii="Times New Roman" w:hAnsi="Times New Roman" w:eastAsia="楷体" w:cs="Times New Roman"/>
          <w:color w:val="000000" w:themeColor="text1"/>
          <w:sz w:val="24"/>
          <w:szCs w:val="24"/>
          <w:lang w:val="en-US" w:eastAsia="zh-CN" w:bidi="en-US"/>
          <w14:textFill>
            <w14:solidFill>
              <w14:schemeClr w14:val="tx1"/>
            </w14:solidFill>
          </w14:textFill>
        </w:rPr>
        <w:t xml:space="preserve"> after 24 h.</w:t>
      </w:r>
      <w:r>
        <w:rPr>
          <w:rFonts w:hint="default" w:ascii="Times New Roman" w:hAnsi="Times New Roman" w:cs="Times New Roman"/>
          <w:color w:val="000000" w:themeColor="text1"/>
          <w:sz w:val="24"/>
          <w:szCs w:val="24"/>
          <w14:textFill>
            <w14:solidFill>
              <w14:schemeClr w14:val="tx1"/>
            </w14:solidFill>
          </w14:textFill>
        </w:rPr>
        <w:br w:type="page"/>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168650" cy="2851150"/>
            <wp:effectExtent l="0" t="0" r="127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168650" cy="2851150"/>
                    </a:xfrm>
                    <a:prstGeom prst="rect">
                      <a:avLst/>
                    </a:prstGeom>
                    <a:noFill/>
                    <a:ln>
                      <a:noFill/>
                    </a:ln>
                  </pic:spPr>
                </pic:pic>
              </a:graphicData>
            </a:graphic>
          </wp:inline>
        </w:drawing>
      </w:r>
    </w:p>
    <w:p>
      <w:pPr>
        <w:spacing w:line="480" w:lineRule="auto"/>
        <w:rPr>
          <w:rFonts w:hint="default" w:ascii="Times New Roman" w:hAnsi="Times New Roman" w:cs="Times New Roman"/>
          <w:color w:val="000000" w:themeColor="text1"/>
          <w:sz w:val="24"/>
          <w:szCs w:val="24"/>
          <w14:textFill>
            <w14:solidFill>
              <w14:schemeClr w14:val="tx1"/>
            </w14:solidFill>
          </w14:textFill>
        </w:rPr>
      </w:pPr>
      <w:bookmarkStart w:id="31" w:name="OLE_LINK15"/>
      <w:r>
        <w:rPr>
          <w:rFonts w:hint="default" w:ascii="Times New Roman" w:hAnsi="Times New Roman" w:cs="Times New Roman"/>
          <w:color w:val="000000" w:themeColor="text1"/>
          <w:sz w:val="24"/>
          <w:szCs w:val="24"/>
          <w14:textFill>
            <w14:solidFill>
              <w14:schemeClr w14:val="tx1"/>
            </w14:solidFill>
          </w14:textFill>
        </w:rPr>
        <w:t>Figure S</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bookmarkEnd w:id="31"/>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Fluorescence imaging of CRT exposed on the surface of 4T1 cells after treated with </w:t>
      </w:r>
      <w:bookmarkStart w:id="32" w:name="OLE_LINK16"/>
      <w:r>
        <w:rPr>
          <w:rFonts w:hint="default" w:ascii="Times New Roman" w:hAnsi="Times New Roman" w:cs="Times New Roman"/>
          <w:color w:val="000000" w:themeColor="text1"/>
          <w:sz w:val="24"/>
          <w:szCs w:val="24"/>
          <w14:textFill>
            <w14:solidFill>
              <w14:schemeClr w14:val="tx1"/>
            </w14:solidFill>
          </w14:textFill>
        </w:rPr>
        <w:t>PBS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bookmarkStart w:id="33" w:name="OLE_LINK14"/>
      <w:r>
        <w:rPr>
          <w:rFonts w:hint="default" w:ascii="Times New Roman" w:hAnsi="Times New Roman" w:cs="Times New Roman"/>
          <w:color w:val="000000" w:themeColor="text1"/>
          <w:sz w:val="24"/>
          <w:szCs w:val="24"/>
          <w:lang w:val="en-US" w:eastAsia="zh-CN"/>
          <w14:textFill>
            <w14:solidFill>
              <w14:schemeClr w14:val="tx1"/>
            </w14:solidFill>
          </w14:textFill>
        </w:rPr>
        <w:t>(1)</w:t>
      </w:r>
      <w:bookmarkEnd w:id="33"/>
      <w:r>
        <w:rPr>
          <w:rFonts w:hint="default" w:ascii="Times New Roman" w:hAnsi="Times New Roman" w:cs="Times New Roman"/>
          <w:color w:val="000000" w:themeColor="text1"/>
          <w:sz w:val="24"/>
          <w:szCs w:val="24"/>
          <w14:textFill>
            <w14:solidFill>
              <w14:schemeClr w14:val="tx1"/>
            </w14:solidFill>
          </w14:textFill>
        </w:rPr>
        <w:t>, FPLT@DOX PA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and </w:t>
      </w:r>
      <w:r>
        <w:rPr>
          <w:rFonts w:hint="default" w:ascii="Times New Roman" w:hAnsi="Times New Roman" w:cs="Times New Roman"/>
          <w:color w:val="000000" w:themeColor="text1"/>
          <w:sz w:val="24"/>
          <w:szCs w:val="24"/>
          <w14:textFill>
            <w14:solidFill>
              <w14:schemeClr w14:val="tx1"/>
            </w14:solidFill>
          </w14:textFill>
        </w:rPr>
        <w:t>FPLT@DOX PA under NIR irradiation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(3)</w:t>
      </w:r>
      <w:r>
        <w:rPr>
          <w:rFonts w:hint="default" w:ascii="Times New Roman" w:hAnsi="Times New Roman" w:cs="Times New Roman"/>
          <w:color w:val="000000" w:themeColor="text1"/>
          <w:sz w:val="24"/>
          <w:szCs w:val="24"/>
          <w14:textFill>
            <w14:solidFill>
              <w14:schemeClr w14:val="tx1"/>
            </w14:solidFill>
          </w14:textFill>
        </w:rPr>
        <w:t xml:space="preserve">. </w:t>
      </w:r>
      <w:bookmarkEnd w:id="32"/>
      <w:r>
        <w:rPr>
          <w:rFonts w:hint="default" w:ascii="Times New Roman" w:hAnsi="Times New Roman" w:cs="Times New Roman"/>
          <w:color w:val="000000" w:themeColor="text1"/>
          <w:sz w:val="24"/>
          <w:szCs w:val="24"/>
          <w14:textFill>
            <w14:solidFill>
              <w14:schemeClr w14:val="tx1"/>
            </w14:solidFill>
          </w14:textFill>
        </w:rPr>
        <w:br w:type="page"/>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4361180" cy="1839595"/>
            <wp:effectExtent l="0" t="0" r="1270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361180" cy="1839595"/>
                    </a:xfrm>
                    <a:prstGeom prst="rect">
                      <a:avLst/>
                    </a:prstGeom>
                    <a:noFill/>
                    <a:ln>
                      <a:noFill/>
                    </a:ln>
                  </pic:spPr>
                </pic:pic>
              </a:graphicData>
            </a:graphic>
          </wp:inline>
        </w:drawing>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Figure S</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Cs/>
          <w:color w:val="000000" w:themeColor="text1"/>
          <w:sz w:val="24"/>
          <w:szCs w:val="24"/>
          <w14:textFill>
            <w14:solidFill>
              <w14:schemeClr w14:val="tx1"/>
            </w14:solidFill>
          </w14:textFill>
        </w:rPr>
        <w:t>Extracellular release of (</w:t>
      </w:r>
      <w:r>
        <w:rPr>
          <w:rFonts w:hint="default" w:ascii="Times New Roman" w:hAnsi="Times New Roman" w:cs="Times New Roman"/>
          <w:bCs/>
          <w:color w:val="000000" w:themeColor="text1"/>
          <w:sz w:val="24"/>
          <w:szCs w:val="24"/>
          <w:lang w:val="en-US" w:eastAsia="zh-CN"/>
          <w14:textFill>
            <w14:solidFill>
              <w14:schemeClr w14:val="tx1"/>
            </w14:solidFill>
          </w14:textFill>
        </w:rPr>
        <w:t>A</w:t>
      </w:r>
      <w:r>
        <w:rPr>
          <w:rFonts w:hint="default" w:ascii="Times New Roman" w:hAnsi="Times New Roman" w:cs="Times New Roman"/>
          <w:bCs/>
          <w:color w:val="000000" w:themeColor="text1"/>
          <w:sz w:val="24"/>
          <w:szCs w:val="24"/>
          <w14:textFill>
            <w14:solidFill>
              <w14:schemeClr w14:val="tx1"/>
            </w14:solidFill>
          </w14:textFill>
        </w:rPr>
        <w:t>) HMGB1 and (</w:t>
      </w:r>
      <w:r>
        <w:rPr>
          <w:rFonts w:hint="default" w:ascii="Times New Roman" w:hAnsi="Times New Roman" w:cs="Times New Roman"/>
          <w:bCs/>
          <w:color w:val="000000" w:themeColor="text1"/>
          <w:sz w:val="24"/>
          <w:szCs w:val="24"/>
          <w:lang w:val="en-US" w:eastAsia="zh-CN"/>
          <w14:textFill>
            <w14:solidFill>
              <w14:schemeClr w14:val="tx1"/>
            </w14:solidFill>
          </w14:textFill>
        </w:rPr>
        <w:t>B</w:t>
      </w:r>
      <w:r>
        <w:rPr>
          <w:rFonts w:hint="default" w:ascii="Times New Roman" w:hAnsi="Times New Roman" w:cs="Times New Roman"/>
          <w:bCs/>
          <w:color w:val="000000" w:themeColor="text1"/>
          <w:sz w:val="24"/>
          <w:szCs w:val="24"/>
          <w14:textFill>
            <w14:solidFill>
              <w14:schemeClr w14:val="tx1"/>
            </w14:solidFill>
          </w14:textFill>
        </w:rPr>
        <w:t xml:space="preserve">) ATP from 4T1 cells after treated with </w:t>
      </w:r>
      <w:r>
        <w:rPr>
          <w:rFonts w:hint="default" w:ascii="Times New Roman" w:hAnsi="Times New Roman" w:cs="Times New Roman"/>
          <w:color w:val="000000" w:themeColor="text1"/>
          <w:sz w:val="24"/>
          <w:szCs w:val="24"/>
          <w14:textFill>
            <w14:solidFill>
              <w14:schemeClr w14:val="tx1"/>
            </w14:solidFill>
          </w14:textFill>
        </w:rPr>
        <w:t>PBS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r>
        <w:rPr>
          <w:rFonts w:hint="default" w:ascii="Times New Roman" w:hAnsi="Times New Roman" w:cs="Times New Roman"/>
          <w:color w:val="000000" w:themeColor="text1"/>
          <w:sz w:val="24"/>
          <w:szCs w:val="24"/>
          <w14:textFill>
            <w14:solidFill>
              <w14:schemeClr w14:val="tx1"/>
            </w14:solidFill>
          </w14:textFill>
        </w:rPr>
        <w:t>, FPLT@DOX PA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and </w:t>
      </w:r>
      <w:r>
        <w:rPr>
          <w:rFonts w:hint="default" w:ascii="Times New Roman" w:hAnsi="Times New Roman" w:cs="Times New Roman"/>
          <w:color w:val="000000" w:themeColor="text1"/>
          <w:sz w:val="24"/>
          <w:szCs w:val="24"/>
          <w14:textFill>
            <w14:solidFill>
              <w14:schemeClr w14:val="tx1"/>
            </w14:solidFill>
          </w14:textFill>
        </w:rPr>
        <w:t>FPLT@DOX PA under NIR irradiation</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br w:type="page"/>
      </w: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4869180" cy="252222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69180" cy="2522220"/>
                    </a:xfrm>
                    <a:prstGeom prst="rect">
                      <a:avLst/>
                    </a:prstGeom>
                    <a:noFill/>
                    <a:ln>
                      <a:noFill/>
                    </a:ln>
                  </pic:spPr>
                </pic:pic>
              </a:graphicData>
            </a:graphic>
          </wp:inline>
        </w:drawing>
      </w:r>
    </w:p>
    <w:p>
      <w:pPr>
        <w:pStyle w:val="2"/>
        <w:spacing w:line="480" w:lineRule="auto"/>
        <w:ind w:right="204"/>
        <w:outlineLvl w:val="1"/>
        <w:rPr>
          <w:rFonts w:hint="default" w:ascii="Times New Roman" w:hAnsi="Times New Roman" w:eastAsia="楷体" w:cs="Times New Roman"/>
          <w:color w:val="000000" w:themeColor="text1"/>
          <w:sz w:val="24"/>
          <w:szCs w:val="24"/>
          <w:lang w:eastAsia="zh-CN"/>
          <w14:textFill>
            <w14:solidFill>
              <w14:schemeClr w14:val="tx1"/>
            </w14:solidFill>
          </w14:textFill>
        </w:rPr>
      </w:pPr>
      <w:bookmarkStart w:id="34" w:name="OLE_LINK1"/>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bookmarkEnd w:id="34"/>
      <w:r>
        <w:rPr>
          <w:rFonts w:hint="default" w:ascii="Times New Roman" w:hAnsi="Times New Roman" w:cs="Times New Roman"/>
          <w:iCs/>
          <w:color w:val="000000" w:themeColor="text1"/>
          <w:sz w:val="24"/>
          <w:szCs w:val="24"/>
          <w:lang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楷体" w:cs="Times New Roman"/>
          <w:color w:val="000000" w:themeColor="text1"/>
          <w:sz w:val="24"/>
          <w:szCs w:val="24"/>
          <w:lang w:eastAsia="zh-CN"/>
          <w14:textFill>
            <w14:solidFill>
              <w14:schemeClr w14:val="tx1"/>
            </w14:solidFill>
          </w14:textFill>
        </w:rPr>
        <w:t>) The activity of N</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after different time treatment for 120 s</w:t>
      </w:r>
      <w:bookmarkStart w:id="35" w:name="OLE_LINK4"/>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(35</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 1-3，40</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℃：4-6，45</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℃：7-9，50</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℃：10-12，55</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℃：13-15，60</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℃：16-18)</w:t>
      </w:r>
      <w:bookmarkEnd w:id="35"/>
      <w:r>
        <w:rPr>
          <w:rFonts w:hint="default" w:ascii="Times New Roman" w:hAnsi="Times New Roman" w:eastAsia="楷体" w:cs="Times New Roman"/>
          <w:color w:val="000000" w:themeColor="text1"/>
          <w:sz w:val="24"/>
          <w:szCs w:val="24"/>
          <w:lang w:eastAsia="zh-CN"/>
          <w14:textFill>
            <w14:solidFill>
              <w14:schemeClr w14:val="tx1"/>
            </w14:solidFill>
          </w14:textFill>
        </w:rPr>
        <w:t>.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楷体" w:cs="Times New Roman"/>
          <w:color w:val="000000" w:themeColor="text1"/>
          <w:sz w:val="24"/>
          <w:szCs w:val="24"/>
          <w:lang w:eastAsia="zh-CN"/>
          <w14:textFill>
            <w14:solidFill>
              <w14:schemeClr w14:val="tx1"/>
            </w14:solidFill>
          </w14:textFill>
        </w:rPr>
        <w:t>) The activity of N</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after different treatment (PBS: 1-3，H</w:t>
      </w:r>
      <w:r>
        <w:rPr>
          <w:rFonts w:hint="default" w:ascii="Times New Roman" w:hAnsi="Times New Roman" w:eastAsia="楷体" w:cs="Times New Roman"/>
          <w:color w:val="000000" w:themeColor="text1"/>
          <w:sz w:val="24"/>
          <w:szCs w:val="24"/>
          <w:vertAlign w:val="subscript"/>
          <w:lang w:eastAsia="zh-CN"/>
          <w14:textFill>
            <w14:solidFill>
              <w14:schemeClr w14:val="tx1"/>
            </w14:solidFill>
          </w14:textFill>
        </w:rPr>
        <w:t>2</w:t>
      </w:r>
      <w:r>
        <w:rPr>
          <w:rFonts w:hint="default" w:ascii="Times New Roman" w:hAnsi="Times New Roman" w:eastAsia="楷体" w:cs="Times New Roman"/>
          <w:color w:val="000000" w:themeColor="text1"/>
          <w:sz w:val="24"/>
          <w:szCs w:val="24"/>
          <w:lang w:eastAsia="zh-CN"/>
          <w14:textFill>
            <w14:solidFill>
              <w14:schemeClr w14:val="tx1"/>
            </w14:solidFill>
          </w14:textFill>
        </w:rPr>
        <w:t>O</w:t>
      </w:r>
      <w:r>
        <w:rPr>
          <w:rFonts w:hint="default" w:ascii="Times New Roman" w:hAnsi="Times New Roman" w:eastAsia="楷体" w:cs="Times New Roman"/>
          <w:color w:val="000000" w:themeColor="text1"/>
          <w:sz w:val="24"/>
          <w:szCs w:val="24"/>
          <w:vertAlign w:val="subscript"/>
          <w:lang w:eastAsia="zh-CN"/>
          <w14:textFill>
            <w14:solidFill>
              <w14:schemeClr w14:val="tx1"/>
            </w14:solidFill>
          </w14:textFill>
        </w:rPr>
        <w:t>2</w:t>
      </w:r>
      <w:r>
        <w:rPr>
          <w:rFonts w:hint="default" w:ascii="Times New Roman" w:hAnsi="Times New Roman" w:eastAsia="楷体" w:cs="Times New Roman"/>
          <w:color w:val="000000" w:themeColor="text1"/>
          <w:sz w:val="24"/>
          <w:szCs w:val="24"/>
          <w:lang w:eastAsia="zh-CN"/>
          <w14:textFill>
            <w14:solidFill>
              <w14:schemeClr w14:val="tx1"/>
            </w14:solidFill>
          </w14:textFill>
        </w:rPr>
        <w:t>：4-6，GSH：7-9，pH=</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楷体" w:cs="Times New Roman"/>
          <w:color w:val="000000" w:themeColor="text1"/>
          <w:sz w:val="24"/>
          <w:szCs w:val="24"/>
          <w:lang w:eastAsia="zh-CN"/>
          <w14:textFill>
            <w14:solidFill>
              <w14:schemeClr w14:val="tx1"/>
            </w14:solidFill>
          </w14:textFill>
        </w:rPr>
        <w:t>.5：10-12，TME：13-15，TME+NIR：16-18).</w:t>
      </w:r>
    </w:p>
    <w:p>
      <w:pPr>
        <w:spacing w:line="480" w:lineRule="auto"/>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br w:type="page"/>
      </w:r>
    </w:p>
    <w:p>
      <w:pPr>
        <w:pStyle w:val="2"/>
        <w:spacing w:line="480" w:lineRule="auto"/>
        <w:ind w:right="204"/>
        <w:outlineLvl w:val="1"/>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5270500" cy="3283585"/>
            <wp:effectExtent l="0" t="0" r="254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rcRect t="443"/>
                    <a:stretch>
                      <a:fillRect/>
                    </a:stretch>
                  </pic:blipFill>
                  <pic:spPr>
                    <a:xfrm>
                      <a:off x="0" y="0"/>
                      <a:ext cx="5270500" cy="3283585"/>
                    </a:xfrm>
                    <a:prstGeom prst="rect">
                      <a:avLst/>
                    </a:prstGeom>
                    <a:noFill/>
                    <a:ln>
                      <a:noFill/>
                    </a:ln>
                  </pic:spPr>
                </pic:pic>
              </a:graphicData>
            </a:graphic>
          </wp:inline>
        </w:drawing>
      </w:r>
    </w:p>
    <w:p>
      <w:pPr>
        <w:keepNext w:val="0"/>
        <w:keepLines w:val="0"/>
        <w:widowControl/>
        <w:suppressLineNumbers w:val="0"/>
        <w:spacing w:line="48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Photoacoustic images shown the stiffness and the projectile velocity of tumor tissue after treated with or without NT at different time points.</w:t>
      </w:r>
    </w:p>
    <w:p>
      <w:pPr>
        <w:spacing w:line="480" w:lineRule="auto"/>
        <w:rPr>
          <w:rFonts w:hint="default" w:ascii="Times New Roman" w:hAnsi="Times New Roman" w:cs="Times New Roman"/>
          <w:color w:val="000000" w:themeColor="text1"/>
          <w:sz w:val="24"/>
          <w:szCs w:val="24"/>
          <w:lang w:val="en-US"/>
          <w14:textFill>
            <w14:solidFill>
              <w14:schemeClr w14:val="tx1"/>
            </w14:solidFill>
          </w14:textFill>
        </w:rPr>
      </w:pPr>
    </w:p>
    <w:p>
      <w:pPr>
        <w:spacing w:line="480" w:lineRule="auto"/>
        <w:rPr>
          <w:rFonts w:hint="default" w:ascii="Times New Roman" w:hAnsi="Times New Roman" w:cs="Times New Roman"/>
          <w:color w:val="000000" w:themeColor="text1"/>
          <w:sz w:val="24"/>
          <w:szCs w:val="24"/>
          <w14:textFill>
            <w14:solidFill>
              <w14:schemeClr w14:val="tx1"/>
            </w14:solidFill>
          </w14:textFill>
        </w:rPr>
      </w:pPr>
    </w:p>
    <w:p>
      <w:p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br w:type="page"/>
      </w:r>
    </w:p>
    <w:p>
      <w:pPr>
        <w:spacing w:line="480" w:lineRule="auto"/>
      </w:pPr>
      <w:r>
        <w:drawing>
          <wp:inline distT="0" distB="0" distL="114300" distR="114300">
            <wp:extent cx="5351145" cy="3203575"/>
            <wp:effectExtent l="0" t="0" r="1333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351145" cy="3203575"/>
                    </a:xfrm>
                    <a:prstGeom prst="rect">
                      <a:avLst/>
                    </a:prstGeom>
                    <a:noFill/>
                    <a:ln>
                      <a:noFill/>
                    </a:ln>
                  </pic:spPr>
                </pic:pic>
              </a:graphicData>
            </a:graphic>
          </wp:inline>
        </w:drawing>
      </w:r>
    </w:p>
    <w:p>
      <w:pPr>
        <w:spacing w:line="48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14:textFill>
            <w14:solidFill>
              <w14:schemeClr w14:val="tx1"/>
            </w14:solidFill>
          </w14:textFill>
        </w:rPr>
        <w:t>Individual tumor volume curves of 4T1 tumor-bearing mice after 15 days of different treatments (n=6/group).</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bookmarkStart w:id="36" w:name="OLE_LINK131"/>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1: </w:t>
      </w:r>
      <w:r>
        <w:rPr>
          <w:rFonts w:hint="default" w:ascii="Times New Roman" w:hAnsi="Times New Roman" w:cs="Times New Roman"/>
          <w:color w:val="000000" w:themeColor="text1"/>
          <w:sz w:val="24"/>
          <w:szCs w:val="24"/>
          <w14:textFill>
            <w14:solidFill>
              <w14:schemeClr w14:val="tx1"/>
            </w14:solidFill>
          </w14:textFill>
        </w:rPr>
        <w:t>PBS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bookmarkStart w:id="37" w:name="OLE_LINK121"/>
      <w:r>
        <w:rPr>
          <w:rFonts w:hint="default" w:ascii="Times New Roman" w:hAnsi="Times New Roman" w:cs="Times New Roman"/>
          <w:color w:val="000000" w:themeColor="text1"/>
          <w:sz w:val="24"/>
          <w:szCs w:val="24"/>
          <w:lang w:val="en-US" w:eastAsia="zh-CN"/>
          <w14:textFill>
            <w14:solidFill>
              <w14:schemeClr w14:val="tx1"/>
            </w14:solidFill>
          </w14:textFill>
        </w:rPr>
        <w:t>+ NIR</w:t>
      </w:r>
      <w:bookmarkEnd w:id="37"/>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2: </w:t>
      </w:r>
      <w:r>
        <w:rPr>
          <w:rFonts w:hint="default" w:ascii="Times New Roman" w:hAnsi="Times New Roman" w:cs="Times New Roman"/>
          <w:color w:val="000000" w:themeColor="text1"/>
          <w:sz w:val="24"/>
          <w:szCs w:val="24"/>
          <w14:textFill>
            <w14:solidFill>
              <w14:schemeClr w14:val="tx1"/>
            </w14:solidFill>
          </w14:textFill>
        </w:rPr>
        <w:t>DOX</w:t>
      </w:r>
      <w:r>
        <w:rPr>
          <w:rFonts w:hint="default" w:ascii="Times New Roman" w:hAnsi="Times New Roman" w:cs="Times New Roman"/>
          <w:color w:val="000000" w:themeColor="text1"/>
          <w:sz w:val="24"/>
          <w:szCs w:val="24"/>
          <w:lang w:val="en-US" w:eastAsia="zh-CN"/>
          <w14:textFill>
            <w14:solidFill>
              <w14:schemeClr w14:val="tx1"/>
            </w14:solidFill>
          </w14:textFill>
        </w:rPr>
        <w:t>+ NIR</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3: NT+ NIR, 4: </w:t>
      </w:r>
      <w:r>
        <w:rPr>
          <w:rFonts w:hint="default" w:ascii="Times New Roman" w:hAnsi="Times New Roman" w:cs="Times New Roman"/>
          <w:color w:val="000000" w:themeColor="text1"/>
          <w:sz w:val="24"/>
          <w:szCs w:val="24"/>
          <w14:textFill>
            <w14:solidFill>
              <w14:schemeClr w14:val="tx1"/>
            </w14:solidFill>
          </w14:textFill>
        </w:rPr>
        <w:t>FA-PPLT@DOX NAs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 NIR</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5: </w:t>
      </w:r>
      <w:bookmarkStart w:id="38" w:name="OLE_LINK87"/>
      <w:r>
        <w:rPr>
          <w:rFonts w:hint="default" w:ascii="Times New Roman" w:hAnsi="Times New Roman" w:cs="Times New Roman"/>
          <w:color w:val="000000" w:themeColor="text1"/>
          <w:sz w:val="24"/>
          <w:szCs w:val="24"/>
          <w14:textFill>
            <w14:solidFill>
              <w14:schemeClr w14:val="tx1"/>
            </w14:solidFill>
          </w14:textFill>
        </w:rPr>
        <w:t>FPLT@DOX PA</w:t>
      </w:r>
      <w:bookmarkEnd w:id="38"/>
      <w:r>
        <w:rPr>
          <w:rFonts w:hint="default" w:ascii="Times New Roman" w:hAnsi="Times New Roman" w:cs="Times New Roman"/>
          <w:color w:val="000000" w:themeColor="text1"/>
          <w:sz w:val="24"/>
          <w:szCs w:val="24"/>
          <w:lang w:val="en-US" w:eastAsia="zh-CN"/>
          <w14:textFill>
            <w14:solidFill>
              <w14:schemeClr w14:val="tx1"/>
            </w14:solidFill>
          </w14:textFill>
        </w:rPr>
        <w:t xml:space="preserve"> + NIR, 6: </w:t>
      </w:r>
      <w:r>
        <w:rPr>
          <w:rFonts w:hint="default" w:ascii="Times New Roman" w:hAnsi="Times New Roman" w:cs="Times New Roman"/>
          <w:color w:val="000000" w:themeColor="text1"/>
          <w:sz w:val="24"/>
          <w:szCs w:val="24"/>
          <w14:textFill>
            <w14:solidFill>
              <w14:schemeClr w14:val="tx1"/>
            </w14:solidFill>
          </w14:textFill>
        </w:rPr>
        <w:t>FPLT@DOX PA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 NT + NIR.</w:t>
      </w:r>
      <w:bookmarkEnd w:id="36"/>
      <w:r>
        <w:rPr>
          <w:rFonts w:hint="default" w:ascii="Times New Roman" w:hAnsi="Times New Roman" w:cs="Times New Roman"/>
          <w:color w:val="000000" w:themeColor="text1"/>
          <w:sz w:val="24"/>
          <w:szCs w:val="24"/>
          <w:lang w:val="en-US" w:eastAsia="zh-CN"/>
          <w14:textFill>
            <w14:solidFill>
              <w14:schemeClr w14:val="tx1"/>
            </w14:solidFill>
          </w14:textFill>
        </w:rPr>
        <w:br w:type="page"/>
      </w:r>
    </w:p>
    <w:p>
      <w:pPr>
        <w:keepNext w:val="0"/>
        <w:keepLines w:val="0"/>
        <w:widowControl/>
        <w:suppressLineNumbers w:val="0"/>
        <w:spacing w:line="480" w:lineRule="auto"/>
        <w:jc w:val="both"/>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5264785" cy="2975610"/>
            <wp:effectExtent l="0" t="0" r="825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5264785" cy="2975610"/>
                    </a:xfrm>
                    <a:prstGeom prst="rect">
                      <a:avLst/>
                    </a:prstGeom>
                    <a:noFill/>
                    <a:ln>
                      <a:noFill/>
                    </a:ln>
                  </pic:spPr>
                </pic:pic>
              </a:graphicData>
            </a:graphic>
          </wp:inline>
        </w:drawing>
      </w:r>
    </w:p>
    <w:p>
      <w:pPr>
        <w:spacing w:line="480" w:lineRule="auto"/>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pPr>
      <w:bookmarkStart w:id="39" w:name="OLE_LINK21"/>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楷体" w:cs="Times New Roman"/>
          <w:color w:val="000000" w:themeColor="text1"/>
          <w:sz w:val="24"/>
          <w:szCs w:val="24"/>
          <w:lang w:eastAsia="zh-CN"/>
          <w14:textFill>
            <w14:solidFill>
              <w14:schemeClr w14:val="tx1"/>
            </w14:solidFill>
          </w14:textFill>
        </w:rPr>
        <w:t>. Flow cytometry plots showing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楷体" w:cs="Times New Roman"/>
          <w:color w:val="000000" w:themeColor="text1"/>
          <w:sz w:val="24"/>
          <w:szCs w:val="24"/>
          <w:lang w:eastAsia="zh-CN"/>
          <w14:textFill>
            <w14:solidFill>
              <w14:schemeClr w14:val="tx1"/>
            </w14:solidFill>
          </w14:textFill>
        </w:rPr>
        <w:t>) the maturation of DC cells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CD11c</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CD80</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CD86</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and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(B) </w:t>
      </w:r>
      <w:r>
        <w:rPr>
          <w:rFonts w:hint="default" w:ascii="Times New Roman" w:hAnsi="Times New Roman" w:eastAsia="楷体" w:cs="Times New Roman"/>
          <w:color w:val="000000" w:themeColor="text1"/>
          <w:sz w:val="24"/>
          <w:szCs w:val="24"/>
          <w:lang w:eastAsia="zh-CN"/>
          <w14:textFill>
            <w14:solidFill>
              <w14:schemeClr w14:val="tx1"/>
            </w14:solidFill>
          </w14:textFill>
        </w:rPr>
        <w:t>CD8</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T cells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CD3</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CD4</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CD8a</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extracted from tumor tissues following different treatments.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Flow cytometry plots of memory T cells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CD44</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CD62L</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CD3</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CD8a</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T cells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extracted from lymph nodes after various treatments.</w:t>
      </w:r>
      <w:bookmarkEnd w:id="39"/>
      <w:r>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br w:type="page"/>
      </w:r>
    </w:p>
    <w:p>
      <w:pPr>
        <w:keepNext w:val="0"/>
        <w:keepLines w:val="0"/>
        <w:widowControl/>
        <w:suppressLineNumbers w:val="0"/>
        <w:spacing w:line="480"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5153660" cy="3129280"/>
            <wp:effectExtent l="0" t="0" r="1270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5153660" cy="3129280"/>
                    </a:xfrm>
                    <a:prstGeom prst="rect">
                      <a:avLst/>
                    </a:prstGeom>
                    <a:noFill/>
                    <a:ln>
                      <a:noFill/>
                    </a:ln>
                  </pic:spPr>
                </pic:pic>
              </a:graphicData>
            </a:graphic>
          </wp:inline>
        </w:drawing>
      </w:r>
    </w:p>
    <w:p>
      <w:pPr>
        <w:keepNext w:val="0"/>
        <w:keepLines w:val="0"/>
        <w:widowControl/>
        <w:suppressLineNumbers w:val="0"/>
        <w:spacing w:line="480" w:lineRule="auto"/>
        <w:jc w:val="both"/>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H&amp;E-stained images of the major organs (Heart, Liver, Spleen, Lung and Kidney) in the different groups. Scale bar: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0 μm. </w:t>
      </w:r>
    </w:p>
    <w:p>
      <w:pPr>
        <w:spacing w:line="480" w:lineRule="auto"/>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br w:type="page"/>
      </w:r>
    </w:p>
    <w:p>
      <w:pPr>
        <w:keepNext w:val="0"/>
        <w:keepLines w:val="0"/>
        <w:widowControl/>
        <w:suppressLineNumbers w:val="0"/>
        <w:spacing w:line="480" w:lineRule="auto"/>
        <w:jc w:val="both"/>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5169535" cy="3173095"/>
            <wp:effectExtent l="0" t="0" r="12065"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169535" cy="3173095"/>
                    </a:xfrm>
                    <a:prstGeom prst="rect">
                      <a:avLst/>
                    </a:prstGeom>
                    <a:noFill/>
                    <a:ln>
                      <a:noFill/>
                    </a:ln>
                  </pic:spPr>
                </pic:pic>
              </a:graphicData>
            </a:graphic>
          </wp:inline>
        </w:drawing>
      </w:r>
    </w:p>
    <w:p>
      <w:pPr>
        <w:keepNext w:val="0"/>
        <w:keepLines w:val="0"/>
        <w:widowControl/>
        <w:suppressLineNumbers w:val="0"/>
        <w:spacing w:line="480" w:lineRule="auto"/>
        <w:jc w:val="both"/>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t>Figure 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w:t>
      </w:r>
      <w:r>
        <w:rPr>
          <w:rFonts w:hint="eastAsia" w:ascii="Times New Roman" w:hAnsi="Times New Roman" w:eastAsia="楷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楷体" w:cs="Times New Roman"/>
          <w:color w:val="000000" w:themeColor="text1"/>
          <w:sz w:val="24"/>
          <w:szCs w:val="24"/>
          <w:lang w:eastAsia="zh-CN"/>
          <w14:textFill>
            <w14:solidFill>
              <w14:schemeClr w14:val="tx1"/>
            </w14:solidFill>
          </w14:textFill>
        </w:rPr>
        <w:t>he serum biochemistry index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and t</w:t>
      </w:r>
      <w:r>
        <w:rPr>
          <w:rFonts w:hint="default" w:ascii="Times New Roman" w:hAnsi="Times New Roman" w:eastAsia="楷体" w:cs="Times New Roman"/>
          <w:color w:val="000000" w:themeColor="text1"/>
          <w:sz w:val="24"/>
          <w:szCs w:val="24"/>
          <w:lang w:eastAsia="zh-CN"/>
          <w14:textFill>
            <w14:solidFill>
              <w14:schemeClr w14:val="tx1"/>
            </w14:solidFill>
          </w14:textFill>
        </w:rPr>
        <w:t>he blood tests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E</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of the mice on the 0 st, 1st, 7th, and 15th day after the treatment of </w:t>
      </w:r>
      <w:r>
        <w:rPr>
          <w:rFonts w:hint="default" w:ascii="Times New Roman" w:hAnsi="Times New Roman" w:cs="Times New Roman"/>
          <w:color w:val="000000" w:themeColor="text1"/>
          <w:sz w:val="24"/>
          <w:szCs w:val="24"/>
          <w14:textFill>
            <w14:solidFill>
              <w14:schemeClr w14:val="tx1"/>
            </w14:solidFill>
          </w14:textFill>
        </w:rPr>
        <w:t>FA-PPLT@DOX PA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NT</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p>
    <w:p>
      <w:pPr>
        <w:keepNext w:val="0"/>
        <w:keepLines w:val="0"/>
        <w:widowControl/>
        <w:suppressLineNumbers w:val="0"/>
        <w:spacing w:line="480" w:lineRule="auto"/>
        <w:jc w:val="both"/>
        <w:rPr>
          <w:rFonts w:hint="default" w:ascii="Times New Roman" w:hAnsi="Times New Roman" w:cs="Times New Roman"/>
          <w:color w:val="000000" w:themeColor="text1"/>
          <w:sz w:val="24"/>
          <w:szCs w:val="24"/>
          <w:lang w:val="en-US"/>
          <w14:textFill>
            <w14:solidFill>
              <w14:schemeClr w14:val="tx1"/>
            </w14:solidFill>
          </w14:textFill>
        </w:rPr>
      </w:pPr>
    </w:p>
    <w:p>
      <w:pPr>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br w:type="page"/>
      </w:r>
    </w:p>
    <w:p>
      <w:pPr>
        <w:keepNext w:val="0"/>
        <w:keepLines w:val="0"/>
        <w:pageBreakBefore w:val="0"/>
        <w:numPr>
          <w:ilvl w:val="0"/>
          <w:numId w:val="0"/>
        </w:numPr>
        <w:kinsoku/>
        <w:wordWrap/>
        <w:overflowPunct/>
        <w:topLinePunct w:val="0"/>
        <w:autoSpaceDE/>
        <w:autoSpaceDN/>
        <w:bidi w:val="0"/>
        <w:adjustRightInd/>
        <w:snapToGrid/>
        <w:spacing w:after="0" w:line="480" w:lineRule="auto"/>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bookmarkStart w:id="40" w:name="OLE_LINK2"/>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Reference:</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Ying Wang , Qing Ji, Chao Yan, et al. Biomimetic intelligent nanoplatform with cascade amplification effect for tumor synergy therapy. Sci. Rep., 2024. 14: 31067.</w:t>
      </w:r>
    </w:p>
    <w:bookmarkEnd w:id="40"/>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bookmarkStart w:id="41" w:name="OLE_LINK5"/>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Zhengzou Fang, Zhihui Yan, Zhangzuo Li, et al. Polydopamine nanoparticles cross-linked hyaluronic acid photothermal hydrogel with cascading immunoinducible effects for in situ antitumor vaccination. </w:t>
      </w:r>
      <w:r>
        <w:rPr>
          <w:rFonts w:hint="default" w:ascii="Times New Roman" w:hAnsi="Times New Roman" w:cs="Times New Roman"/>
          <w:b w:val="0"/>
          <w:bCs w:val="0"/>
          <w:i/>
          <w:iCs/>
          <w:color w:val="000000" w:themeColor="text1"/>
          <w:sz w:val="24"/>
          <w:szCs w:val="24"/>
          <w:lang w:val="en-US" w:eastAsia="zh-CN"/>
          <w14:textFill>
            <w14:solidFill>
              <w14:schemeClr w14:val="tx1"/>
            </w14:solidFill>
          </w14:textFill>
        </w:rPr>
        <w:t>Int. J Biol. Macromol.,</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2024. 269: 132177.</w:t>
      </w:r>
    </w:p>
    <w:bookmarkEnd w:id="41"/>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"https://pubmed.ncbi.nlm.nih.gov/?term=Wu+Y&amp;cauthor_id=34813880"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Ye Wu</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"https://pubmed.ncbi.nlm.nih.gov/?term=Wang+Y&amp;cauthor_id=34813880"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Yu Wang</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"https://pubmed.ncbi.nlm.nih.gov/?term=Long+L&amp;cauthor_id=34813880"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Linyu Long</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et al. A spatiotemporal release platform based on pH/ROS stimuli-responsive hydrogel in wound repairing. </w:t>
      </w:r>
      <w:r>
        <w:rPr>
          <w:rFonts w:hint="default" w:ascii="Times New Roman" w:hAnsi="Times New Roman" w:cs="Times New Roman"/>
          <w:b w:val="0"/>
          <w:bCs w:val="0"/>
          <w:i/>
          <w:iCs/>
          <w:color w:val="000000" w:themeColor="text1"/>
          <w:sz w:val="24"/>
          <w:szCs w:val="24"/>
          <w:lang w:val="en-US" w:eastAsia="zh-CN"/>
          <w14:textFill>
            <w14:solidFill>
              <w14:schemeClr w14:val="tx1"/>
            </w14:solidFill>
          </w14:textFill>
        </w:rPr>
        <w:t>J. Control. Release,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2022. 341: 147-165.</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"https://pubmed.ncbi.nlm.nih.gov/?term=Liu+S&amp;cauthor_id=32478498"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Shuai Liu</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"https://pubmed.ncbi.nlm.nih.gov/?term=Liu+X&amp;cauthor_id=32478498"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Xin Liu</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HYPERLINK "https://pubmed.ncbi.nlm.nih.gov/?term=Ren+Y&amp;cauthor_id=32478498"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Yanhan Ren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et al. Mussel-Inspired Dual-Cross-linking Hyaluronic Acid/epsilon-Polylysine Hydrogel with Self-Healing and Antibacterial Properties for Wound Healing. </w:t>
      </w:r>
      <w:r>
        <w:rPr>
          <w:rFonts w:hint="default" w:ascii="Times New Roman" w:hAnsi="Times New Roman" w:cs="Times New Roman"/>
          <w:b w:val="0"/>
          <w:bCs w:val="0"/>
          <w:i/>
          <w:iCs/>
          <w:color w:val="000000" w:themeColor="text1"/>
          <w:sz w:val="24"/>
          <w:szCs w:val="24"/>
          <w:lang w:val="en-US" w:eastAsia="zh-CN"/>
          <w14:textFill>
            <w14:solidFill>
              <w14:schemeClr w14:val="tx1"/>
            </w14:solidFill>
          </w14:textFill>
        </w:rPr>
        <w:t>ACS Appl. Mater. Interfaces,</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2020. 12: 27876-27888.</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Hui Wang, Yu Chen, Ran Wei</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et al. Synergistic Chemoimmunotherapy Augmentation via Sequential Nanocomposite Hydrogel-Mediated Reprogramming of Cancer-Associated Fibroblasts in Osteosarcoma. </w:t>
      </w:r>
      <w:r>
        <w:rPr>
          <w:rFonts w:hint="default" w:ascii="Times New Roman" w:hAnsi="Times New Roman" w:cs="Times New Roman"/>
          <w:i/>
          <w:iCs/>
          <w:color w:val="000000" w:themeColor="text1"/>
          <w:sz w:val="24"/>
          <w:szCs w:val="24"/>
          <w:lang w:val="en-US" w:eastAsia="zh-CN"/>
          <w14:textFill>
            <w14:solidFill>
              <w14:schemeClr w14:val="tx1"/>
            </w14:solidFill>
          </w14:textFill>
        </w:rPr>
        <w:t>Adv. Mater.,</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2024. 36: e2309591.</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João Conniot, Anna Scomparin, Carina Peres, et al. Immunization with mannosylated nanovaccines and inhibition of the immune-suppressing microenvironment sensitizes melanoma to immune checkpoint modulators. </w:t>
      </w:r>
      <w:r>
        <w:rPr>
          <w:rFonts w:hint="default" w:ascii="Times New Roman" w:hAnsi="Times New Roman" w:cs="Times New Roman"/>
          <w:b w:val="0"/>
          <w:bCs w:val="0"/>
          <w:i/>
          <w:iCs/>
          <w:color w:val="000000" w:themeColor="text1"/>
          <w:sz w:val="24"/>
          <w:szCs w:val="24"/>
          <w:lang w:val="en-US" w:eastAsia="zh-CN"/>
          <w14:textFill>
            <w14:solidFill>
              <w14:schemeClr w14:val="tx1"/>
            </w14:solidFill>
          </w14:textFill>
        </w:rPr>
        <w:t>Nat. Nanotechnol.,</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 2019. 14: 891-901.</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Jiexin Li, He Ren, Qian Qiu</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et al. Manganese Coordination Micelles That Activate Stimulator of Interferon Genes and Capture In Situ Tumor Antigens for Cancer Metalloimmunotherapy. </w:t>
      </w:r>
      <w:r>
        <w:rPr>
          <w:rFonts w:hint="default" w:ascii="Times New Roman" w:hAnsi="Times New Roman" w:cs="Times New Roman"/>
          <w:i/>
          <w:iCs/>
          <w:color w:val="000000" w:themeColor="text1"/>
          <w:sz w:val="24"/>
          <w:szCs w:val="24"/>
          <w:lang w:val="en-US" w:eastAsia="zh-CN"/>
          <w14:textFill>
            <w14:solidFill>
              <w14:schemeClr w14:val="tx1"/>
            </w14:solidFill>
          </w14:textFill>
        </w:rPr>
        <w:t>ACS Nano,</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2022. 16: 16909-16923.</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Audrey Gallud, Olesja Bondarenko, Neus Feliu, et al. Macrophage activation status determines the internalization of mesoporous silica particles of different sizes: Exploring the role of different pattern recognition receptors. </w:t>
      </w:r>
      <w:r>
        <w:rPr>
          <w:rFonts w:hint="default" w:ascii="Times New Roman" w:hAnsi="Times New Roman" w:cs="Times New Roman"/>
          <w:i/>
          <w:iCs/>
          <w:color w:val="000000" w:themeColor="text1"/>
          <w:sz w:val="24"/>
          <w:szCs w:val="24"/>
          <w:lang w:val="en-US" w:eastAsia="zh-CN"/>
          <w14:textFill>
            <w14:solidFill>
              <w14:schemeClr w14:val="tx1"/>
            </w14:solidFill>
          </w14:textFill>
        </w:rPr>
        <w:t>Biomaterials,</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2017. 121: 28-40.</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Mingkang Zhang, Jing-Jie Ye, Yu Xia, et al. Platelet-Mimicking Biotaxis Targeting Vasculature-Disrupted Tumors for Cascade Amplification of Hypoxia-Sensitive Therapy. </w:t>
      </w:r>
      <w:r>
        <w:rPr>
          <w:rFonts w:hint="default" w:ascii="Times New Roman" w:hAnsi="Times New Roman" w:cs="Times New Roman"/>
          <w:i/>
          <w:iCs/>
          <w:color w:val="000000" w:themeColor="text1"/>
          <w:sz w:val="24"/>
          <w:szCs w:val="24"/>
          <w:lang w:val="en-US" w:eastAsia="zh-CN"/>
          <w14:textFill>
            <w14:solidFill>
              <w14:schemeClr w14:val="tx1"/>
            </w14:solidFill>
          </w14:textFill>
        </w:rPr>
        <w:t>ACS Nano,</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2019. 13: 14230-14240.</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auto"/>
        <w:ind w:left="360" w:hanging="360" w:hangingChars="15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Georgia" w:cs="Times New Roman"/>
          <w:color w:val="000000" w:themeColor="text1"/>
          <w:sz w:val="24"/>
          <w:szCs w:val="24"/>
          <w:shd w:val="clear" w:color="auto" w:fill="FFFFFF"/>
          <w:lang w:bidi="ar"/>
          <w14:textFill>
            <w14:solidFill>
              <w14:schemeClr w14:val="tx1"/>
            </w14:solidFill>
          </w14:textFill>
        </w:rPr>
        <w:t xml:space="preserve">Zhengzou Fang, Ziyu Zhu, Zijian Zhuang, et al. Cascade biomimetic intelligent nanotheranostic agents for imaging-guided tumor synergistic therapy. </w:t>
      </w:r>
      <w:r>
        <w:rPr>
          <w:rFonts w:hint="default" w:ascii="Times New Roman" w:hAnsi="Times New Roman" w:eastAsia="Georgia" w:cs="Times New Roman"/>
          <w:i/>
          <w:iCs/>
          <w:color w:val="000000" w:themeColor="text1"/>
          <w:sz w:val="24"/>
          <w:szCs w:val="24"/>
          <w:shd w:val="clear" w:color="auto" w:fill="FFFFFF"/>
          <w:lang w:bidi="ar"/>
          <w14:textFill>
            <w14:solidFill>
              <w14:schemeClr w14:val="tx1"/>
            </w14:solidFill>
          </w14:textFill>
        </w:rPr>
        <w:t>Nanomedicine (Lond),</w:t>
      </w:r>
      <w:r>
        <w:rPr>
          <w:rFonts w:hint="default" w:ascii="Times New Roman" w:hAnsi="Times New Roman" w:eastAsia="Georgia" w:cs="Times New Roman"/>
          <w:color w:val="000000" w:themeColor="text1"/>
          <w:sz w:val="24"/>
          <w:szCs w:val="24"/>
          <w:shd w:val="clear" w:color="auto" w:fill="FFFFFF"/>
          <w:lang w:bidi="ar"/>
          <w14:textFill>
            <w14:solidFill>
              <w14:schemeClr w14:val="tx1"/>
            </w14:solidFill>
          </w14:textFill>
        </w:rPr>
        <w:t> </w:t>
      </w:r>
      <w:r>
        <w:rPr>
          <w:rFonts w:hint="default" w:ascii="Times New Roman" w:hAnsi="Times New Roman" w:eastAsia="宋体" w:cs="Times New Roman"/>
          <w:color w:val="000000" w:themeColor="text1"/>
          <w:sz w:val="24"/>
          <w:szCs w:val="24"/>
          <w:shd w:val="clear" w:color="auto" w:fill="FFFFFF"/>
          <w:lang w:val="en-US" w:eastAsia="zh-CN" w:bidi="ar"/>
          <w14:textFill>
            <w14:solidFill>
              <w14:schemeClr w14:val="tx1"/>
            </w14:solidFill>
          </w14:textFill>
        </w:rPr>
        <w:t xml:space="preserve">2023. </w:t>
      </w:r>
      <w:r>
        <w:rPr>
          <w:rFonts w:hint="default" w:ascii="Times New Roman" w:hAnsi="Times New Roman" w:eastAsia="Georgia" w:cs="Times New Roman"/>
          <w:color w:val="000000" w:themeColor="text1"/>
          <w:sz w:val="24"/>
          <w:szCs w:val="24"/>
          <w:shd w:val="clear" w:color="auto" w:fill="FFFFFF"/>
          <w:lang w:bidi="ar"/>
          <w14:textFill>
            <w14:solidFill>
              <w14:schemeClr w14:val="tx1"/>
            </w14:solidFill>
          </w14:textFill>
        </w:rPr>
        <w:t>18: 35-52.</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uto"/>
        <w:ind w:leftChars="-15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spacing w:line="480" w:lineRule="auto"/>
        <w:rPr>
          <w:rFonts w:hint="default" w:ascii="Times New Roman" w:hAnsi="Times New Roman" w:cs="Times New Roman"/>
          <w:color w:val="000000" w:themeColor="text1"/>
          <w:sz w:val="24"/>
          <w:szCs w:val="24"/>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dvTT96740c24">
    <w:altName w:val="华光中圆_CNKI"/>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TimesNewRomanPS-ItalicMT">
    <w:altName w:val="华光中圆_CNKI"/>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ArnoPro-Smbd">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华光中圆_CNKI">
    <w:panose1 w:val="02000500000000000000"/>
    <w:charset w:val="86"/>
    <w:family w:val="auto"/>
    <w:pitch w:val="default"/>
    <w:sig w:usb0="A00002BF" w:usb1="1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04BD7"/>
    <w:multiLevelType w:val="singleLevel"/>
    <w:tmpl w:val="B2604BD7"/>
    <w:lvl w:ilvl="0" w:tentative="0">
      <w:start w:val="1"/>
      <w:numFmt w:val="decimal"/>
      <w:suff w:val="space"/>
      <w:lvlText w:val="%1."/>
      <w:lvlJc w:val="left"/>
    </w:lvl>
  </w:abstractNum>
  <w:abstractNum w:abstractNumId="1">
    <w:nsid w:val="47D85C6C"/>
    <w:multiLevelType w:val="singleLevel"/>
    <w:tmpl w:val="47D85C6C"/>
    <w:lvl w:ilvl="0" w:tentative="0">
      <w:start w:val="1"/>
      <w:numFmt w:val="decimal"/>
      <w:suff w:val="space"/>
      <w:lvlText w:val="%1."/>
      <w:lvlJc w:val="left"/>
    </w:lvl>
  </w:abstractNum>
  <w:abstractNum w:abstractNumId="2">
    <w:nsid w:val="500619A6"/>
    <w:multiLevelType w:val="singleLevel"/>
    <w:tmpl w:val="500619A6"/>
    <w:lvl w:ilvl="0" w:tentative="0">
      <w:start w:val="5"/>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NDA4ZDY3MmZlODg1MjQzMzFjZGFiMDYxYTVhZDgifQ=="/>
    <w:docVar w:name="KSO_WPS_MARK_KEY" w:val="198e258f-8c8a-48d4-94c4-7eb6bff401e9"/>
  </w:docVars>
  <w:rsids>
    <w:rsidRoot w:val="00000000"/>
    <w:rsid w:val="044E2101"/>
    <w:rsid w:val="046A011C"/>
    <w:rsid w:val="04884814"/>
    <w:rsid w:val="04BA64C7"/>
    <w:rsid w:val="05050488"/>
    <w:rsid w:val="0C743400"/>
    <w:rsid w:val="0C9151CF"/>
    <w:rsid w:val="0C956348"/>
    <w:rsid w:val="0E0E3DE6"/>
    <w:rsid w:val="10614827"/>
    <w:rsid w:val="135E1AA1"/>
    <w:rsid w:val="14114706"/>
    <w:rsid w:val="1D832671"/>
    <w:rsid w:val="205F2F50"/>
    <w:rsid w:val="2489247A"/>
    <w:rsid w:val="27C43CBC"/>
    <w:rsid w:val="28945EDE"/>
    <w:rsid w:val="2A6578AF"/>
    <w:rsid w:val="2CB34A44"/>
    <w:rsid w:val="336369D3"/>
    <w:rsid w:val="347240BE"/>
    <w:rsid w:val="38AA1DD4"/>
    <w:rsid w:val="3ABF0152"/>
    <w:rsid w:val="45F75F2C"/>
    <w:rsid w:val="4C2E4C2C"/>
    <w:rsid w:val="4D7B7443"/>
    <w:rsid w:val="51D11F4D"/>
    <w:rsid w:val="529E1D6A"/>
    <w:rsid w:val="53757567"/>
    <w:rsid w:val="597B1AE1"/>
    <w:rsid w:val="59C04B5B"/>
    <w:rsid w:val="5F7642EE"/>
    <w:rsid w:val="614C3178"/>
    <w:rsid w:val="61EB1198"/>
    <w:rsid w:val="631C4EF0"/>
    <w:rsid w:val="63AD1983"/>
    <w:rsid w:val="6C4F2AC1"/>
    <w:rsid w:val="6D9C0B4D"/>
    <w:rsid w:val="703C6C0A"/>
    <w:rsid w:val="71015070"/>
    <w:rsid w:val="76465083"/>
    <w:rsid w:val="78472E09"/>
    <w:rsid w:val="7D686730"/>
    <w:rsid w:val="7F607DDA"/>
    <w:rsid w:val="7FC9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cs="宋体"/>
      <w:sz w:val="23"/>
      <w:szCs w:val="23"/>
      <w:lang w:eastAsia="en-US" w:bidi="en-US"/>
    </w:rPr>
  </w:style>
  <w:style w:type="character" w:styleId="5">
    <w:name w:val="Hyperlink"/>
    <w:basedOn w:val="4"/>
    <w:unhideWhenUsed/>
    <w:qFormat/>
    <w:uiPriority w:val="99"/>
    <w:rPr>
      <w:color w:val="0000FF"/>
      <w:u w:val="single"/>
    </w:rPr>
  </w:style>
  <w:style w:type="paragraph" w:customStyle="1" w:styleId="6">
    <w:name w:val="列出段落1"/>
    <w:basedOn w:val="1"/>
    <w:qFormat/>
    <w:uiPriority w:val="0"/>
    <w:pPr>
      <w:spacing w:after="0" w:line="240" w:lineRule="auto"/>
      <w:ind w:firstLine="420" w:firstLineChars="200"/>
      <w:jc w:val="both"/>
    </w:pPr>
    <w:rPr>
      <w:rFonts w:ascii="Calibri" w:hAnsi="Calibri" w:eastAsia="宋体"/>
      <w:sz w:val="21"/>
      <w:szCs w:val="21"/>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2048</Words>
  <Characters>11564</Characters>
  <Lines>0</Lines>
  <Paragraphs>0</Paragraphs>
  <TotalTime>2</TotalTime>
  <ScaleCrop>false</ScaleCrop>
  <LinksUpToDate>false</LinksUpToDate>
  <CharactersWithSpaces>13574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2025-03-14T04:22:00Z</dcterms:created>
  <dc:creator>fangzhengzou</dc:creator>
  <cp:lastModifiedBy>房正邹</cp:lastModifiedBy>
  <dcterms:modified xsi:type="dcterms:W3CDTF">2025-08-19T10:05:41Z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E195308CF538410E8521DEE9A2A25844_12</vt:lpwstr>
  </property>
</Properties>
</file>