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174A54" w14:textId="77777777" w:rsidR="00DD7796" w:rsidRDefault="00DD7796" w:rsidP="00CD65BD">
      <w:pPr>
        <w:pStyle w:val="s8"/>
        <w:spacing w:before="75" w:beforeAutospacing="0" w:after="75" w:afterAutospacing="0"/>
        <w:jc w:val="center"/>
        <w:rPr>
          <w:rStyle w:val="s7"/>
          <w:rFonts w:ascii="Myriad Pro" w:hAnsi="Myriad Pro" w:hint="eastAsia"/>
          <w:color w:val="000000"/>
          <w:sz w:val="28"/>
          <w:szCs w:val="28"/>
        </w:rPr>
      </w:pPr>
    </w:p>
    <w:p w14:paraId="66903980" w14:textId="77777777" w:rsidR="00DD7796" w:rsidRDefault="00DD7796" w:rsidP="00CD65BD">
      <w:pPr>
        <w:pStyle w:val="s8"/>
        <w:spacing w:before="75" w:beforeAutospacing="0" w:after="75" w:afterAutospacing="0"/>
        <w:jc w:val="center"/>
        <w:rPr>
          <w:rStyle w:val="s7"/>
          <w:rFonts w:ascii="Myriad Pro" w:hAnsi="Myriad Pro" w:hint="eastAsia"/>
          <w:color w:val="000000"/>
          <w:sz w:val="28"/>
          <w:szCs w:val="28"/>
        </w:rPr>
      </w:pPr>
    </w:p>
    <w:p w14:paraId="40891568" w14:textId="77777777" w:rsidR="00DD7796" w:rsidRDefault="00DD7796" w:rsidP="00CD65BD">
      <w:pPr>
        <w:pStyle w:val="s8"/>
        <w:spacing w:before="75" w:beforeAutospacing="0" w:after="75" w:afterAutospacing="0"/>
        <w:jc w:val="center"/>
        <w:rPr>
          <w:rStyle w:val="s7"/>
          <w:rFonts w:ascii="Myriad Pro" w:hAnsi="Myriad Pro" w:hint="eastAsia"/>
          <w:color w:val="000000"/>
          <w:sz w:val="28"/>
          <w:szCs w:val="28"/>
        </w:rPr>
      </w:pPr>
    </w:p>
    <w:p w14:paraId="35FBED9E" w14:textId="77777777" w:rsidR="00DD7796" w:rsidRDefault="00DD7796" w:rsidP="00CD65BD">
      <w:pPr>
        <w:pStyle w:val="s8"/>
        <w:spacing w:before="75" w:beforeAutospacing="0" w:after="75" w:afterAutospacing="0"/>
        <w:jc w:val="center"/>
        <w:rPr>
          <w:rStyle w:val="s7"/>
          <w:rFonts w:ascii="Myriad Pro" w:hAnsi="Myriad Pro" w:hint="eastAsia"/>
          <w:color w:val="000000"/>
          <w:sz w:val="28"/>
          <w:szCs w:val="28"/>
        </w:rPr>
      </w:pPr>
    </w:p>
    <w:p w14:paraId="7596C08D" w14:textId="6607029B" w:rsidR="00CD65BD" w:rsidRPr="00DD7796" w:rsidRDefault="00CD65BD" w:rsidP="00CD65BD">
      <w:pPr>
        <w:pStyle w:val="s8"/>
        <w:spacing w:before="75" w:beforeAutospacing="0" w:after="75" w:afterAutospacing="0"/>
        <w:jc w:val="center"/>
        <w:rPr>
          <w:rFonts w:ascii="Myriad Pro" w:hAnsi="Myriad Pro" w:hint="eastAsia"/>
          <w:color w:val="000000"/>
          <w:sz w:val="28"/>
          <w:szCs w:val="28"/>
        </w:rPr>
      </w:pPr>
      <w:r w:rsidRPr="00DD7796">
        <w:rPr>
          <w:rStyle w:val="s7"/>
          <w:rFonts w:ascii="Myriad Pro" w:hAnsi="Myriad Pro"/>
          <w:color w:val="000000"/>
          <w:sz w:val="28"/>
          <w:szCs w:val="28"/>
        </w:rPr>
        <w:t>Supporting Information for</w:t>
      </w:r>
    </w:p>
    <w:p w14:paraId="74E158ED" w14:textId="77777777" w:rsidR="00CD65BD" w:rsidRPr="00DD7796" w:rsidRDefault="00CD65BD" w:rsidP="00CD65BD">
      <w:pPr>
        <w:contextualSpacing/>
        <w:rPr>
          <w:rFonts w:ascii="Times New Roman" w:eastAsia="MS Gothic" w:hAnsi="Times New Roman" w:cs="Times New Roman"/>
          <w:b/>
          <w:bCs/>
          <w:spacing w:val="-10"/>
          <w:kern w:val="28"/>
          <w:sz w:val="28"/>
          <w:szCs w:val="28"/>
          <w:lang w:eastAsia="en-US"/>
        </w:rPr>
      </w:pPr>
      <w:r w:rsidRPr="00DD7796">
        <w:rPr>
          <w:rFonts w:ascii="Times New Roman" w:eastAsia="MS Gothic" w:hAnsi="Times New Roman" w:cs="Times New Roman"/>
          <w:b/>
          <w:bCs/>
          <w:spacing w:val="-10"/>
          <w:kern w:val="28"/>
          <w:sz w:val="28"/>
          <w:szCs w:val="28"/>
          <w:lang w:eastAsia="en-US"/>
        </w:rPr>
        <w:t>Subpolar North Atlantic Ocean Heat Content as a Precursor to 21st-century Arctic Temperature Variability</w:t>
      </w:r>
    </w:p>
    <w:p w14:paraId="6205CBBB" w14:textId="77777777" w:rsidR="005F6907" w:rsidRPr="0005208E" w:rsidRDefault="005F6907" w:rsidP="005F6907">
      <w:pPr>
        <w:spacing w:before="120" w:after="360"/>
        <w:rPr>
          <w:b/>
        </w:rPr>
      </w:pPr>
      <w:r w:rsidRPr="0005208E">
        <w:rPr>
          <w:rFonts w:ascii="Times New Roman" w:eastAsia="Times New Roman" w:hAnsi="Times New Roman" w:cs="Times New Roman"/>
          <w:b/>
          <w:lang w:eastAsia="en-US"/>
        </w:rPr>
        <w:t>Di Cai</w:t>
      </w:r>
      <w:r w:rsidRPr="0005208E">
        <w:rPr>
          <w:rFonts w:ascii="Times New Roman" w:eastAsia="Times New Roman" w:hAnsi="Times New Roman" w:cs="Times New Roman"/>
          <w:b/>
          <w:vertAlign w:val="superscript"/>
          <w:lang w:eastAsia="en-US"/>
        </w:rPr>
        <w:t>1,2</w:t>
      </w:r>
      <w:r w:rsidRPr="0005208E">
        <w:rPr>
          <w:rFonts w:ascii="Times New Roman" w:eastAsia="Times New Roman" w:hAnsi="Times New Roman" w:cs="Times New Roman"/>
          <w:b/>
          <w:lang w:eastAsia="en-US"/>
        </w:rPr>
        <w:t>, Xianyao Chen</w:t>
      </w:r>
      <w:r w:rsidRPr="0005208E">
        <w:rPr>
          <w:rFonts w:ascii="Times New Roman" w:eastAsia="Times New Roman" w:hAnsi="Times New Roman" w:cs="Times New Roman"/>
          <w:b/>
          <w:vertAlign w:val="superscript"/>
          <w:lang w:eastAsia="en-US"/>
        </w:rPr>
        <w:t>1,</w:t>
      </w:r>
      <w:proofErr w:type="gramStart"/>
      <w:r>
        <w:rPr>
          <w:rFonts w:ascii="Times New Roman" w:eastAsia="Times New Roman" w:hAnsi="Times New Roman" w:cs="Times New Roman" w:hint="eastAsia"/>
          <w:b/>
          <w:vertAlign w:val="superscript"/>
        </w:rPr>
        <w:t>3</w:t>
      </w:r>
      <w:r>
        <w:rPr>
          <w:rFonts w:ascii="Times New Roman" w:eastAsia="Times New Roman" w:hAnsi="Times New Roman" w:cs="Times New Roman"/>
          <w:b/>
          <w:vertAlign w:val="superscript"/>
        </w:rPr>
        <w:t>,</w:t>
      </w:r>
      <w:r>
        <w:rPr>
          <w:rFonts w:ascii="Times New Roman" w:eastAsia="Times New Roman" w:hAnsi="Times New Roman" w:cs="Times New Roman"/>
          <w:b/>
          <w:vertAlign w:val="superscript"/>
          <w:lang w:eastAsia="en-US"/>
        </w:rPr>
        <w:t>*</w:t>
      </w:r>
      <w:proofErr w:type="gramEnd"/>
    </w:p>
    <w:p w14:paraId="1365B1CF" w14:textId="77777777" w:rsidR="005F6907" w:rsidRPr="00A2435B" w:rsidRDefault="005F6907" w:rsidP="005F6907">
      <w:pPr>
        <w:spacing w:before="120"/>
        <w:rPr>
          <w:rFonts w:ascii="Times New Roman" w:eastAsia="Times New Roman" w:hAnsi="Times New Roman" w:cs="Times New Roman" w:hint="eastAsia"/>
          <w:sz w:val="20"/>
          <w:szCs w:val="20"/>
          <w:lang w:val="en-GB"/>
        </w:rPr>
      </w:pPr>
      <w:r w:rsidRPr="0005208E">
        <w:rPr>
          <w:rFonts w:ascii="Times New Roman" w:eastAsia="Times New Roman" w:hAnsi="Times New Roman" w:cs="Times New Roman"/>
          <w:sz w:val="20"/>
          <w:szCs w:val="20"/>
          <w:vertAlign w:val="superscript"/>
          <w:lang w:eastAsia="en-US"/>
        </w:rPr>
        <w:t xml:space="preserve">1 </w:t>
      </w:r>
      <w:r w:rsidRPr="00A2435B">
        <w:rPr>
          <w:rFonts w:ascii="Times New Roman" w:eastAsia="Times New Roman" w:hAnsi="Times New Roman" w:cs="Times New Roman"/>
          <w:sz w:val="20"/>
          <w:szCs w:val="20"/>
        </w:rPr>
        <w:t>Frontier Science Center for Deep Ocean Multi</w:t>
      </w:r>
      <w:r>
        <w:rPr>
          <w:rFonts w:ascii="Times New Roman" w:eastAsia="Times New Roman" w:hAnsi="Times New Roman" w:cs="Times New Roman" w:hint="eastAsia"/>
          <w:sz w:val="20"/>
          <w:szCs w:val="20"/>
        </w:rPr>
        <w:t>-</w:t>
      </w:r>
      <w:r w:rsidRPr="00A2435B">
        <w:rPr>
          <w:rFonts w:ascii="Times New Roman" w:eastAsia="Times New Roman" w:hAnsi="Times New Roman" w:cs="Times New Roman"/>
          <w:sz w:val="20"/>
          <w:szCs w:val="20"/>
        </w:rPr>
        <w:t xml:space="preserve">spheres and Earth System and Physical Oceanography Laboratory, Ocean University of China, </w:t>
      </w:r>
      <w:r w:rsidRPr="0005208E">
        <w:rPr>
          <w:rFonts w:ascii="Times New Roman" w:eastAsia="Times New Roman" w:hAnsi="Times New Roman" w:cs="Times New Roman"/>
          <w:sz w:val="20"/>
          <w:szCs w:val="20"/>
          <w:lang w:val="en-GB" w:eastAsia="en-US"/>
        </w:rPr>
        <w:t>Qingdao, China</w:t>
      </w:r>
    </w:p>
    <w:p w14:paraId="3F6302C1" w14:textId="77777777" w:rsidR="005F6907" w:rsidRDefault="005F6907" w:rsidP="005F6907">
      <w:pPr>
        <w:spacing w:before="120"/>
        <w:rPr>
          <w:rFonts w:ascii="Times New Roman" w:eastAsia="Times New Roman" w:hAnsi="Times New Roman" w:cs="Times New Roman"/>
          <w:sz w:val="20"/>
          <w:szCs w:val="20"/>
        </w:rPr>
      </w:pPr>
      <w:r w:rsidRPr="0005208E">
        <w:rPr>
          <w:rFonts w:ascii="Times New Roman" w:eastAsia="Times New Roman" w:hAnsi="Times New Roman" w:cs="Times New Roman"/>
          <w:sz w:val="20"/>
          <w:szCs w:val="20"/>
          <w:vertAlign w:val="superscript"/>
          <w:lang w:eastAsia="en-US"/>
        </w:rPr>
        <w:t>2</w:t>
      </w:r>
      <w:r w:rsidRPr="0005208E">
        <w:rPr>
          <w:rFonts w:ascii="Times New Roman" w:eastAsia="Times New Roman" w:hAnsi="Times New Roman" w:cs="Times New Roman"/>
          <w:sz w:val="20"/>
          <w:szCs w:val="20"/>
          <w:lang w:val="en-GB" w:eastAsia="de-DE"/>
        </w:rPr>
        <w:t xml:space="preserve"> </w:t>
      </w:r>
      <w:r w:rsidRPr="0005208E">
        <w:rPr>
          <w:rFonts w:ascii="Times New Roman" w:eastAsia="Times New Roman" w:hAnsi="Times New Roman" w:cs="Times New Roman"/>
          <w:sz w:val="20"/>
          <w:szCs w:val="20"/>
          <w:lang w:val="en-GB" w:eastAsia="en-US"/>
        </w:rPr>
        <w:t>Alfred Wegener Institute Helmholtz Center for Polar and Marine Research, Bremerhaven, Germany</w:t>
      </w:r>
      <w:r w:rsidRPr="0005208E">
        <w:rPr>
          <w:rFonts w:ascii="Times New Roman" w:eastAsia="Times New Roman" w:hAnsi="Times New Roman" w:cs="Times New Roman"/>
          <w:sz w:val="20"/>
          <w:szCs w:val="20"/>
          <w:lang w:eastAsia="en-US"/>
        </w:rPr>
        <w:t xml:space="preserve"> </w:t>
      </w:r>
    </w:p>
    <w:p w14:paraId="546D7490" w14:textId="77777777" w:rsidR="005F6907" w:rsidRPr="00A2435B" w:rsidRDefault="005F6907" w:rsidP="005F6907">
      <w:pPr>
        <w:spacing w:before="120"/>
        <w:rPr>
          <w:rFonts w:ascii="Times New Roman" w:eastAsia="Times New Roman" w:hAnsi="Times New Roman" w:cs="Times New Roman" w:hint="eastAsia"/>
          <w:sz w:val="20"/>
          <w:szCs w:val="20"/>
        </w:rPr>
      </w:pPr>
      <w:r>
        <w:rPr>
          <w:rFonts w:ascii="Times New Roman" w:eastAsia="Times New Roman" w:hAnsi="Times New Roman" w:cs="Times New Roman" w:hint="eastAsia"/>
          <w:sz w:val="20"/>
          <w:szCs w:val="20"/>
          <w:vertAlign w:val="superscript"/>
        </w:rPr>
        <w:t>3</w:t>
      </w:r>
      <w:r w:rsidRPr="0005208E">
        <w:rPr>
          <w:rFonts w:ascii="Times New Roman" w:eastAsia="Times New Roman" w:hAnsi="Times New Roman" w:cs="Times New Roman"/>
          <w:sz w:val="20"/>
          <w:szCs w:val="20"/>
          <w:lang w:val="en-GB" w:eastAsia="de-DE"/>
        </w:rPr>
        <w:t xml:space="preserve"> </w:t>
      </w:r>
      <w:r w:rsidRPr="00A2435B">
        <w:rPr>
          <w:rFonts w:ascii="Times New Roman" w:eastAsia="Times New Roman" w:hAnsi="Times New Roman" w:cs="Times New Roman"/>
          <w:sz w:val="20"/>
          <w:szCs w:val="20"/>
          <w:lang w:val="en-GB" w:eastAsia="en-US"/>
        </w:rPr>
        <w:t>Laoshan Laboratory, Qingdao, China</w:t>
      </w:r>
    </w:p>
    <w:p w14:paraId="061D98F9" w14:textId="77777777" w:rsidR="005F6907" w:rsidRPr="0005208E" w:rsidRDefault="005F6907" w:rsidP="005F6907">
      <w:pPr>
        <w:spacing w:before="120"/>
        <w:rPr>
          <w:rFonts w:ascii="Times New Roman" w:eastAsia="Times New Roman" w:hAnsi="Times New Roman" w:cs="Times New Roman"/>
          <w:sz w:val="20"/>
          <w:szCs w:val="20"/>
          <w:lang w:eastAsia="en-US"/>
        </w:rPr>
      </w:pPr>
      <w:r w:rsidRPr="0005208E">
        <w:rPr>
          <w:rFonts w:ascii="Times New Roman" w:eastAsia="Times New Roman" w:hAnsi="Times New Roman" w:cs="Times New Roman" w:hint="eastAsia"/>
          <w:i/>
          <w:iCs/>
          <w:sz w:val="20"/>
          <w:szCs w:val="20"/>
        </w:rPr>
        <w:t>*</w:t>
      </w:r>
      <w:r w:rsidRPr="0005208E">
        <w:rPr>
          <w:rFonts w:ascii="Times New Roman" w:eastAsia="Times New Roman" w:hAnsi="Times New Roman" w:cs="Times New Roman"/>
          <w:i/>
          <w:iCs/>
          <w:sz w:val="20"/>
          <w:szCs w:val="20"/>
          <w:lang w:eastAsia="en-US"/>
        </w:rPr>
        <w:t>Corresponding author</w:t>
      </w:r>
      <w:r w:rsidRPr="0005208E">
        <w:rPr>
          <w:rFonts w:ascii="Times New Roman" w:eastAsia="Times New Roman" w:hAnsi="Times New Roman" w:cs="Times New Roman"/>
          <w:sz w:val="20"/>
          <w:szCs w:val="20"/>
          <w:lang w:eastAsia="en-US"/>
        </w:rPr>
        <w:t>: Xianyao Chen (</w:t>
      </w:r>
      <w:hyperlink r:id="rId4" w:history="1">
        <w:r w:rsidRPr="0005208E">
          <w:rPr>
            <w:rFonts w:ascii="Times New Roman" w:eastAsia="Times New Roman" w:hAnsi="Times New Roman" w:cs="Times New Roman"/>
            <w:color w:val="0000FF"/>
            <w:sz w:val="20"/>
            <w:szCs w:val="20"/>
            <w:u w:val="single"/>
            <w:lang w:eastAsia="en-US"/>
          </w:rPr>
          <w:t>chenxy@ouc.edu.cn</w:t>
        </w:r>
      </w:hyperlink>
      <w:r w:rsidRPr="0005208E">
        <w:rPr>
          <w:rFonts w:ascii="Times New Roman" w:eastAsia="Times New Roman" w:hAnsi="Times New Roman" w:cs="Times New Roman"/>
          <w:sz w:val="20"/>
          <w:szCs w:val="20"/>
          <w:lang w:eastAsia="en-US"/>
        </w:rPr>
        <w:t>)</w:t>
      </w:r>
    </w:p>
    <w:p w14:paraId="38824812" w14:textId="77777777" w:rsidR="005F6907" w:rsidRPr="0005208E" w:rsidRDefault="005F6907" w:rsidP="005F6907">
      <w:pPr>
        <w:spacing w:before="120"/>
        <w:rPr>
          <w:rFonts w:ascii="Times New Roman" w:eastAsia="Times New Roman" w:hAnsi="Times New Roman" w:cs="Times New Roman"/>
          <w:sz w:val="20"/>
          <w:szCs w:val="20"/>
          <w:lang w:eastAsia="en-US"/>
        </w:rPr>
      </w:pPr>
      <w:r w:rsidRPr="0005208E">
        <w:rPr>
          <w:rFonts w:ascii="Times New Roman" w:eastAsia="Times New Roman" w:hAnsi="Times New Roman" w:cs="Times New Roman"/>
          <w:sz w:val="20"/>
          <w:szCs w:val="20"/>
          <w:lang w:eastAsia="en-US"/>
        </w:rPr>
        <w:t>ORCID: Di Cai (0009-0001-9672-0875); Xianyao Chen (0000-0001-9825-5295)</w:t>
      </w:r>
    </w:p>
    <w:p w14:paraId="75394F24" w14:textId="77777777" w:rsidR="00CD65BD" w:rsidRDefault="00CD65BD">
      <w:pPr>
        <w:rPr>
          <w:rFonts w:ascii="Times New Roman" w:eastAsia="Times New Roman" w:hAnsi="Times New Roman" w:cs="Times New Roman"/>
          <w:b/>
          <w:bCs/>
          <w:kern w:val="28"/>
          <w:sz w:val="20"/>
          <w:szCs w:val="20"/>
          <w:lang w:eastAsia="en-US"/>
        </w:rPr>
      </w:pPr>
      <w:r>
        <w:rPr>
          <w:sz w:val="20"/>
          <w:szCs w:val="20"/>
        </w:rPr>
        <w:br w:type="page"/>
      </w:r>
    </w:p>
    <w:p w14:paraId="441930BA" w14:textId="27C96BCD" w:rsidR="001922C8" w:rsidRPr="00DF07F3" w:rsidRDefault="001922C8" w:rsidP="001922C8">
      <w:pPr>
        <w:pStyle w:val="Heading-Main"/>
        <w:rPr>
          <w:sz w:val="20"/>
          <w:szCs w:val="20"/>
        </w:rPr>
      </w:pPr>
      <w:r w:rsidRPr="00A56C87">
        <w:rPr>
          <w:sz w:val="20"/>
          <w:szCs w:val="20"/>
        </w:rPr>
        <w:lastRenderedPageBreak/>
        <w:t>Validation of CESM1 L</w:t>
      </w:r>
      <w:r>
        <w:rPr>
          <w:rFonts w:hint="eastAsia"/>
          <w:sz w:val="20"/>
          <w:szCs w:val="20"/>
          <w:lang w:eastAsia="zh-CN"/>
        </w:rPr>
        <w:t>arge</w:t>
      </w:r>
      <w:r>
        <w:rPr>
          <w:sz w:val="20"/>
          <w:szCs w:val="20"/>
          <w:lang w:eastAsia="zh-CN"/>
        </w:rPr>
        <w:t xml:space="preserve"> </w:t>
      </w:r>
      <w:r w:rsidRPr="00A56C87">
        <w:rPr>
          <w:sz w:val="20"/>
          <w:szCs w:val="20"/>
        </w:rPr>
        <w:t>E</w:t>
      </w:r>
      <w:r>
        <w:rPr>
          <w:sz w:val="20"/>
          <w:szCs w:val="20"/>
        </w:rPr>
        <w:t>nsemble</w:t>
      </w:r>
      <w:r w:rsidRPr="00A56C87">
        <w:rPr>
          <w:sz w:val="20"/>
          <w:szCs w:val="20"/>
        </w:rPr>
        <w:t xml:space="preserve"> </w:t>
      </w:r>
      <w:r>
        <w:rPr>
          <w:rFonts w:hint="eastAsia"/>
          <w:sz w:val="20"/>
          <w:szCs w:val="20"/>
          <w:lang w:eastAsia="zh-CN"/>
        </w:rPr>
        <w:t>Performance</w:t>
      </w:r>
    </w:p>
    <w:p w14:paraId="156F27EA" w14:textId="121EDC68" w:rsidR="001922C8" w:rsidRDefault="001922C8" w:rsidP="001922C8">
      <w:pPr>
        <w:pStyle w:val="Text"/>
        <w:ind w:firstLine="0"/>
        <w:rPr>
          <w:sz w:val="20"/>
          <w:szCs w:val="20"/>
        </w:rPr>
      </w:pPr>
      <w:r w:rsidRPr="00B57940">
        <w:rPr>
          <w:sz w:val="20"/>
          <w:szCs w:val="20"/>
        </w:rPr>
        <w:t xml:space="preserve">To </w:t>
      </w:r>
      <w:r w:rsidRPr="00D32AA3">
        <w:rPr>
          <w:sz w:val="20"/>
          <w:szCs w:val="20"/>
        </w:rPr>
        <w:t>assess t</w:t>
      </w:r>
      <w:r w:rsidRPr="00B57940">
        <w:rPr>
          <w:sz w:val="20"/>
          <w:szCs w:val="20"/>
        </w:rPr>
        <w:t>he performance of CESM1 LE and validate the robustness of our analy</w:t>
      </w:r>
      <w:r>
        <w:rPr>
          <w:sz w:val="20"/>
          <w:szCs w:val="20"/>
        </w:rPr>
        <w:t>sis</w:t>
      </w:r>
      <w:r w:rsidRPr="00B57940">
        <w:rPr>
          <w:sz w:val="20"/>
          <w:szCs w:val="20"/>
        </w:rPr>
        <w:t xml:space="preserve">, we </w:t>
      </w:r>
      <w:r w:rsidRPr="00D32AA3">
        <w:rPr>
          <w:sz w:val="20"/>
          <w:szCs w:val="20"/>
        </w:rPr>
        <w:t>compare</w:t>
      </w:r>
      <w:r w:rsidRPr="00B57940">
        <w:rPr>
          <w:sz w:val="20"/>
          <w:szCs w:val="20"/>
        </w:rPr>
        <w:t xml:space="preserve"> historical SAT, AHT, and OHT against multiple observational </w:t>
      </w:r>
      <w:r>
        <w:rPr>
          <w:sz w:val="20"/>
          <w:szCs w:val="20"/>
        </w:rPr>
        <w:t xml:space="preserve">and reanalysis </w:t>
      </w:r>
      <w:r w:rsidRPr="00B57940">
        <w:rPr>
          <w:sz w:val="20"/>
          <w:szCs w:val="20"/>
        </w:rPr>
        <w:t>datasets.</w:t>
      </w:r>
      <w:r>
        <w:rPr>
          <w:rFonts w:hint="eastAsia"/>
          <w:sz w:val="20"/>
          <w:szCs w:val="20"/>
        </w:rPr>
        <w:t xml:space="preserve"> </w:t>
      </w:r>
      <w:r w:rsidRPr="001D159B">
        <w:rPr>
          <w:sz w:val="20"/>
          <w:szCs w:val="20"/>
        </w:rPr>
        <w:t>Fig</w:t>
      </w:r>
      <w:r w:rsidR="00661638">
        <w:rPr>
          <w:rFonts w:ascii="宋体" w:eastAsia="宋体" w:hAnsi="宋体" w:cs="宋体"/>
          <w:sz w:val="20"/>
          <w:szCs w:val="20"/>
          <w:lang w:eastAsia="zh-CN"/>
        </w:rPr>
        <w:t>.</w:t>
      </w:r>
      <w:r w:rsidRPr="001D159B">
        <w:rPr>
          <w:sz w:val="20"/>
          <w:szCs w:val="20"/>
        </w:rPr>
        <w:t xml:space="preserve"> </w:t>
      </w:r>
      <w:r w:rsidR="00661638">
        <w:rPr>
          <w:sz w:val="20"/>
          <w:szCs w:val="20"/>
        </w:rPr>
        <w:t>S</w:t>
      </w:r>
      <w:r w:rsidRPr="001D159B">
        <w:rPr>
          <w:sz w:val="20"/>
          <w:szCs w:val="20"/>
        </w:rPr>
        <w:t xml:space="preserve">1 illustrates that the global SAT trends during the 1979–2020 period in CESM1 LE closely resemble the mean trends </w:t>
      </w:r>
      <w:r>
        <w:rPr>
          <w:sz w:val="20"/>
          <w:szCs w:val="20"/>
        </w:rPr>
        <w:t xml:space="preserve">from </w:t>
      </w:r>
      <w:r w:rsidRPr="001D159B">
        <w:rPr>
          <w:sz w:val="20"/>
          <w:szCs w:val="20"/>
        </w:rPr>
        <w:t>HadCRUT5, GISTEMP, and ERA5. Both the observations and the model capture the Arctic amplification phenomenon</w:t>
      </w:r>
      <w:r w:rsidRPr="00271AB1">
        <w:rPr>
          <w:sz w:val="20"/>
          <w:szCs w:val="20"/>
        </w:rPr>
        <w:t>, with the Barents-Kara Seas emerging as pronounced warming cente</w:t>
      </w:r>
      <w:r>
        <w:rPr>
          <w:sz w:val="20"/>
          <w:szCs w:val="20"/>
        </w:rPr>
        <w:t>r</w:t>
      </w:r>
      <w:r w:rsidRPr="00271AB1">
        <w:rPr>
          <w:sz w:val="20"/>
          <w:szCs w:val="20"/>
        </w:rPr>
        <w:t>s</w:t>
      </w:r>
      <w:r w:rsidRPr="001D159B">
        <w:rPr>
          <w:sz w:val="20"/>
          <w:szCs w:val="20"/>
        </w:rPr>
        <w:t xml:space="preserve">. </w:t>
      </w:r>
      <w:r w:rsidRPr="00D4518C">
        <w:rPr>
          <w:sz w:val="20"/>
          <w:szCs w:val="20"/>
        </w:rPr>
        <w:t>T</w:t>
      </w:r>
      <w:r>
        <w:rPr>
          <w:sz w:val="20"/>
          <w:szCs w:val="20"/>
        </w:rPr>
        <w:t>he t</w:t>
      </w:r>
      <w:r w:rsidRPr="00D4518C">
        <w:rPr>
          <w:sz w:val="20"/>
          <w:szCs w:val="20"/>
        </w:rPr>
        <w:t>emporal evolution of Arctic SAT from 1950 to 2020 in CESM1 LE mirrors observational data</w:t>
      </w:r>
      <w:r>
        <w:rPr>
          <w:sz w:val="20"/>
          <w:szCs w:val="20"/>
        </w:rPr>
        <w:t xml:space="preserve"> </w:t>
      </w:r>
      <w:r w:rsidRPr="001D159B">
        <w:rPr>
          <w:sz w:val="20"/>
          <w:szCs w:val="20"/>
        </w:rPr>
        <w:t>(Fig</w:t>
      </w:r>
      <w:r w:rsidR="00661638">
        <w:rPr>
          <w:sz w:val="20"/>
          <w:szCs w:val="20"/>
        </w:rPr>
        <w:t>.</w:t>
      </w:r>
      <w:r w:rsidRPr="001D159B">
        <w:rPr>
          <w:sz w:val="20"/>
          <w:szCs w:val="20"/>
        </w:rPr>
        <w:t xml:space="preserve"> </w:t>
      </w:r>
      <w:r w:rsidR="00661638">
        <w:rPr>
          <w:sz w:val="20"/>
          <w:szCs w:val="20"/>
        </w:rPr>
        <w:t>S</w:t>
      </w:r>
      <w:r w:rsidRPr="001D159B">
        <w:rPr>
          <w:sz w:val="20"/>
          <w:szCs w:val="20"/>
        </w:rPr>
        <w:t>1e)</w:t>
      </w:r>
      <w:r w:rsidRPr="00D4518C">
        <w:rPr>
          <w:sz w:val="20"/>
          <w:szCs w:val="20"/>
        </w:rPr>
        <w:t>,</w:t>
      </w:r>
      <w:r>
        <w:rPr>
          <w:sz w:val="20"/>
          <w:szCs w:val="20"/>
        </w:rPr>
        <w:t xml:space="preserve"> </w:t>
      </w:r>
      <w:r w:rsidRPr="00D4518C">
        <w:rPr>
          <w:sz w:val="20"/>
          <w:szCs w:val="20"/>
        </w:rPr>
        <w:t>reflecting a mid-century cooling phase</w:t>
      </w:r>
      <w:r w:rsidRPr="00D32AA3">
        <w:rPr>
          <w:sz w:val="20"/>
          <w:szCs w:val="20"/>
        </w:rPr>
        <w:t xml:space="preserve"> followed by accelerated </w:t>
      </w:r>
      <w:r w:rsidRPr="00D4518C">
        <w:rPr>
          <w:sz w:val="20"/>
          <w:szCs w:val="20"/>
        </w:rPr>
        <w:t xml:space="preserve">warming, </w:t>
      </w:r>
      <w:r w:rsidRPr="00D32AA3">
        <w:rPr>
          <w:sz w:val="20"/>
          <w:szCs w:val="20"/>
        </w:rPr>
        <w:t>in agreement with</w:t>
      </w:r>
      <w:r w:rsidRPr="00D4518C">
        <w:rPr>
          <w:sz w:val="20"/>
          <w:szCs w:val="20"/>
        </w:rPr>
        <w:t xml:space="preserve"> previous findings (England, 2021).</w:t>
      </w:r>
    </w:p>
    <w:p w14:paraId="645AF567" w14:textId="77777777" w:rsidR="001922C8" w:rsidRDefault="001922C8" w:rsidP="001922C8">
      <w:pPr>
        <w:pStyle w:val="Text"/>
        <w:ind w:firstLine="0"/>
        <w:rPr>
          <w:sz w:val="20"/>
          <w:szCs w:val="20"/>
        </w:rPr>
      </w:pPr>
    </w:p>
    <w:p w14:paraId="10854F81" w14:textId="77777777" w:rsidR="001922C8" w:rsidRPr="00DF07F3" w:rsidRDefault="001922C8" w:rsidP="001922C8">
      <w:pPr>
        <w:pStyle w:val="Text"/>
        <w:ind w:firstLine="0"/>
        <w:jc w:val="center"/>
        <w:rPr>
          <w:sz w:val="20"/>
          <w:szCs w:val="20"/>
        </w:rPr>
      </w:pPr>
      <w:r>
        <w:rPr>
          <w:noProof/>
          <w:sz w:val="20"/>
          <w:szCs w:val="20"/>
        </w:rPr>
        <w:drawing>
          <wp:inline distT="0" distB="0" distL="0" distR="0" wp14:anchorId="04CEA54E" wp14:editId="06A84DFF">
            <wp:extent cx="4784090" cy="4473313"/>
            <wp:effectExtent l="0" t="0" r="3810" b="0"/>
            <wp:docPr id="3" name="图片 3" descr="图表,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表, 图示&#10;&#10;描述已自动生成"/>
                    <pic:cNvPicPr/>
                  </pic:nvPicPr>
                  <pic:blipFill rotWithShape="1">
                    <a:blip r:embed="rId5"/>
                    <a:srcRect t="6496"/>
                    <a:stretch/>
                  </pic:blipFill>
                  <pic:spPr bwMode="auto">
                    <a:xfrm>
                      <a:off x="0" y="0"/>
                      <a:ext cx="4796064" cy="4484509"/>
                    </a:xfrm>
                    <a:prstGeom prst="rect">
                      <a:avLst/>
                    </a:prstGeom>
                    <a:ln>
                      <a:noFill/>
                    </a:ln>
                    <a:extLst>
                      <a:ext uri="{53640926-AAD7-44D8-BBD7-CCE9431645EC}">
                        <a14:shadowObscured xmlns:a14="http://schemas.microsoft.com/office/drawing/2010/main"/>
                      </a:ext>
                    </a:extLst>
                  </pic:spPr>
                </pic:pic>
              </a:graphicData>
            </a:graphic>
          </wp:inline>
        </w:drawing>
      </w:r>
    </w:p>
    <w:p w14:paraId="6547CE98" w14:textId="707FB07B" w:rsidR="001922C8" w:rsidRPr="00DF07F3" w:rsidRDefault="001922C8" w:rsidP="001922C8">
      <w:pPr>
        <w:pStyle w:val="Text"/>
        <w:ind w:firstLine="0"/>
        <w:rPr>
          <w:sz w:val="20"/>
          <w:szCs w:val="20"/>
        </w:rPr>
      </w:pPr>
      <w:r w:rsidRPr="00DF07F3">
        <w:rPr>
          <w:b/>
          <w:bCs/>
          <w:sz w:val="20"/>
          <w:szCs w:val="20"/>
        </w:rPr>
        <w:t>Fig</w:t>
      </w:r>
      <w:r w:rsidR="00B54B28">
        <w:rPr>
          <w:b/>
          <w:bCs/>
          <w:sz w:val="20"/>
          <w:szCs w:val="20"/>
        </w:rPr>
        <w:t>.</w:t>
      </w:r>
      <w:r w:rsidRPr="00DF07F3">
        <w:rPr>
          <w:b/>
          <w:bCs/>
          <w:sz w:val="20"/>
          <w:szCs w:val="20"/>
        </w:rPr>
        <w:t xml:space="preserve"> </w:t>
      </w:r>
      <w:r w:rsidR="00B54B28">
        <w:rPr>
          <w:b/>
          <w:bCs/>
          <w:sz w:val="20"/>
          <w:szCs w:val="20"/>
        </w:rPr>
        <w:t>S</w:t>
      </w:r>
      <w:r w:rsidRPr="00DF07F3">
        <w:rPr>
          <w:b/>
          <w:bCs/>
          <w:sz w:val="20"/>
          <w:szCs w:val="20"/>
        </w:rPr>
        <w:t xml:space="preserve">1. </w:t>
      </w:r>
      <w:r w:rsidRPr="00FA6793">
        <w:rPr>
          <w:sz w:val="20"/>
          <w:szCs w:val="20"/>
        </w:rPr>
        <w:t xml:space="preserve">(a, b) Global annual mean SAT trends (1979–2020) derived from: (a) the average of HadCRUT5, GISTEMP, and ERA5, and (b) the CESM1 LE. (c, d) The same as in (a, b), but focused on the region north of </w:t>
      </w:r>
      <w:r>
        <w:rPr>
          <w:sz w:val="20"/>
          <w:szCs w:val="20"/>
        </w:rPr>
        <w:t>7</w:t>
      </w:r>
      <w:r w:rsidRPr="00FA6793">
        <w:rPr>
          <w:sz w:val="20"/>
          <w:szCs w:val="20"/>
        </w:rPr>
        <w:t xml:space="preserve">0°N. (e) Annual mean Arctic SAT anomalies (1950–2020) from three observational datasets—HadCRUT5 (red), GISTEMP (orange), and ERA5 (purple)—compared with the CESM1 LE ensemble </w:t>
      </w:r>
      <w:proofErr w:type="gramStart"/>
      <w:r w:rsidRPr="00FA6793">
        <w:rPr>
          <w:sz w:val="20"/>
          <w:szCs w:val="20"/>
        </w:rPr>
        <w:t>mean</w:t>
      </w:r>
      <w:proofErr w:type="gramEnd"/>
      <w:r w:rsidRPr="00FA6793">
        <w:rPr>
          <w:sz w:val="20"/>
          <w:szCs w:val="20"/>
        </w:rPr>
        <w:t xml:space="preserve"> (blue); shaded areas denote ±1 standard deviation from the CESM1 LE.</w:t>
      </w:r>
    </w:p>
    <w:p w14:paraId="0ECD890B" w14:textId="77777777" w:rsidR="001922C8" w:rsidRDefault="001922C8" w:rsidP="001922C8">
      <w:pPr>
        <w:pStyle w:val="Text"/>
        <w:ind w:firstLine="0"/>
        <w:rPr>
          <w:sz w:val="20"/>
          <w:szCs w:val="20"/>
          <w:lang w:eastAsia="zh-CN"/>
        </w:rPr>
      </w:pPr>
    </w:p>
    <w:p w14:paraId="7E0F2D14" w14:textId="5EA99EA6" w:rsidR="001922C8" w:rsidRPr="00234D91" w:rsidRDefault="001922C8" w:rsidP="001922C8">
      <w:pPr>
        <w:pStyle w:val="Text"/>
        <w:ind w:firstLine="0"/>
        <w:rPr>
          <w:sz w:val="20"/>
          <w:szCs w:val="20"/>
          <w:lang w:eastAsia="zh-CN"/>
        </w:rPr>
      </w:pPr>
      <w:r w:rsidRPr="00234D91">
        <w:rPr>
          <w:sz w:val="20"/>
          <w:szCs w:val="20"/>
        </w:rPr>
        <w:lastRenderedPageBreak/>
        <w:t>Regarding meridional energy redistribution,</w:t>
      </w:r>
      <w:r w:rsidRPr="009A772D">
        <w:rPr>
          <w:sz w:val="20"/>
          <w:szCs w:val="20"/>
        </w:rPr>
        <w:t xml:space="preserve"> CESM1 LE realistically simulates the hemispherically antisymmetric structure of heat transport, exhibiting peak magnitudes of approximately 5.5 PW </w:t>
      </w:r>
      <w:r w:rsidRPr="0001115E">
        <w:rPr>
          <w:sz w:val="20"/>
          <w:szCs w:val="20"/>
          <w:lang w:eastAsia="zh-CN"/>
        </w:rPr>
        <w:t>(1 PW = 10</w:t>
      </w:r>
      <w:r w:rsidRPr="0037278D">
        <w:rPr>
          <w:sz w:val="20"/>
          <w:szCs w:val="20"/>
          <w:vertAlign w:val="superscript"/>
          <w:lang w:eastAsia="zh-CN"/>
        </w:rPr>
        <w:t>15</w:t>
      </w:r>
      <w:r w:rsidRPr="0001115E">
        <w:rPr>
          <w:sz w:val="20"/>
          <w:szCs w:val="20"/>
          <w:lang w:eastAsia="zh-CN"/>
        </w:rPr>
        <w:t xml:space="preserve"> W)</w:t>
      </w:r>
      <w:r>
        <w:rPr>
          <w:sz w:val="20"/>
          <w:szCs w:val="20"/>
          <w:lang w:eastAsia="zh-CN"/>
        </w:rPr>
        <w:t xml:space="preserve"> </w:t>
      </w:r>
      <w:r w:rsidRPr="009A772D">
        <w:rPr>
          <w:sz w:val="20"/>
          <w:szCs w:val="20"/>
        </w:rPr>
        <w:t>near 40°N/S.</w:t>
      </w:r>
      <w:r>
        <w:rPr>
          <w:sz w:val="20"/>
          <w:szCs w:val="20"/>
          <w:lang w:eastAsia="zh-CN"/>
        </w:rPr>
        <w:t xml:space="preserve"> </w:t>
      </w:r>
      <w:r w:rsidRPr="0001115E">
        <w:rPr>
          <w:sz w:val="20"/>
          <w:szCs w:val="20"/>
          <w:lang w:eastAsia="zh-CN"/>
        </w:rPr>
        <w:t xml:space="preserve">Figure </w:t>
      </w:r>
      <w:r w:rsidR="001516D6">
        <w:rPr>
          <w:sz w:val="20"/>
          <w:szCs w:val="20"/>
          <w:lang w:eastAsia="zh-CN"/>
        </w:rPr>
        <w:t>S</w:t>
      </w:r>
      <w:r w:rsidRPr="0001115E">
        <w:rPr>
          <w:sz w:val="20"/>
          <w:szCs w:val="20"/>
          <w:lang w:eastAsia="zh-CN"/>
        </w:rPr>
        <w:t xml:space="preserve">2a demonstrates excellent agreement between the mean AHT and OHT computed from CESM1 LE and the observational estimates provided by Trenberth and Caron (2001). </w:t>
      </w:r>
      <w:r w:rsidRPr="009A772D">
        <w:rPr>
          <w:sz w:val="20"/>
          <w:szCs w:val="20"/>
        </w:rPr>
        <w:t>In the tropics, wind-driven shallow circulations dominate OHT, while in higher latitudes, both buoyancy- and wind-driven dynamics are operative, with limited deep ocean influence</w:t>
      </w:r>
      <w:r w:rsidRPr="0001115E">
        <w:rPr>
          <w:sz w:val="20"/>
          <w:szCs w:val="20"/>
          <w:lang w:eastAsia="zh-CN"/>
        </w:rPr>
        <w:t xml:space="preserve"> (Yang et al. 201</w:t>
      </w:r>
      <w:r>
        <w:rPr>
          <w:sz w:val="20"/>
          <w:szCs w:val="20"/>
          <w:lang w:eastAsia="zh-CN"/>
        </w:rPr>
        <w:t>5</w:t>
      </w:r>
      <w:r w:rsidRPr="0001115E">
        <w:rPr>
          <w:sz w:val="20"/>
          <w:szCs w:val="20"/>
          <w:lang w:eastAsia="zh-CN"/>
        </w:rPr>
        <w:t>). To further elucidate the different contributions, we examine the mean meridional OHT in distinct ocean basins: the Atlantic and Indo-Pacific regions (Fig</w:t>
      </w:r>
      <w:r w:rsidR="001516D6">
        <w:rPr>
          <w:sz w:val="20"/>
          <w:szCs w:val="20"/>
          <w:lang w:eastAsia="zh-CN"/>
        </w:rPr>
        <w:t>.</w:t>
      </w:r>
      <w:r w:rsidRPr="0001115E">
        <w:rPr>
          <w:sz w:val="20"/>
          <w:szCs w:val="20"/>
          <w:lang w:eastAsia="zh-CN"/>
        </w:rPr>
        <w:t xml:space="preserve"> </w:t>
      </w:r>
      <w:r w:rsidR="001516D6">
        <w:rPr>
          <w:sz w:val="20"/>
          <w:szCs w:val="20"/>
          <w:lang w:eastAsia="zh-CN"/>
        </w:rPr>
        <w:t>S</w:t>
      </w:r>
      <w:r w:rsidRPr="0001115E">
        <w:rPr>
          <w:sz w:val="20"/>
          <w:szCs w:val="20"/>
          <w:lang w:eastAsia="zh-CN"/>
        </w:rPr>
        <w:t xml:space="preserve">2b). In the Indo-Pacific Ocean, the heat transport is entirely governed by wind-driven circulation (Held, 2001), with negligible poleward advective transport north of 60°N. In contrast, the Atlantic heat transport </w:t>
      </w:r>
      <w:r w:rsidRPr="009A772D">
        <w:rPr>
          <w:sz w:val="20"/>
          <w:szCs w:val="20"/>
        </w:rPr>
        <w:t xml:space="preserve">relies on both wind-driven thermocline flows and thermohaline overturning, the latter being dominant </w:t>
      </w:r>
      <w:r w:rsidRPr="0001115E">
        <w:rPr>
          <w:sz w:val="20"/>
          <w:szCs w:val="20"/>
          <w:lang w:eastAsia="zh-CN"/>
        </w:rPr>
        <w:t>(Ferrari and Ferreira 2011).</w:t>
      </w:r>
    </w:p>
    <w:p w14:paraId="2741606A" w14:textId="23936969" w:rsidR="001922C8" w:rsidRPr="00CD2664" w:rsidRDefault="001922C8" w:rsidP="001922C8">
      <w:pPr>
        <w:pStyle w:val="Text"/>
        <w:ind w:firstLine="0"/>
        <w:rPr>
          <w:sz w:val="20"/>
          <w:szCs w:val="20"/>
        </w:rPr>
      </w:pPr>
      <w:r w:rsidRPr="005E76E0">
        <w:rPr>
          <w:sz w:val="20"/>
          <w:szCs w:val="20"/>
        </w:rPr>
        <w:t>Poleward OHT enters the Arctic through three key gateways:</w:t>
      </w:r>
      <w:r w:rsidRPr="006E4E3A">
        <w:rPr>
          <w:sz w:val="20"/>
          <w:szCs w:val="20"/>
        </w:rPr>
        <w:t xml:space="preserve"> the Barents Sea Opening (</w:t>
      </w:r>
      <w:r>
        <w:rPr>
          <w:sz w:val="20"/>
          <w:szCs w:val="20"/>
        </w:rPr>
        <w:t>71</w:t>
      </w:r>
      <w:r w:rsidRPr="00FA6793">
        <w:rPr>
          <w:sz w:val="20"/>
          <w:szCs w:val="20"/>
        </w:rPr>
        <w:t>°N</w:t>
      </w:r>
      <w:r>
        <w:rPr>
          <w:sz w:val="20"/>
          <w:szCs w:val="20"/>
        </w:rPr>
        <w:t xml:space="preserve"> to 77</w:t>
      </w:r>
      <w:r w:rsidRPr="00FA6793">
        <w:rPr>
          <w:sz w:val="20"/>
          <w:szCs w:val="20"/>
        </w:rPr>
        <w:t>°N</w:t>
      </w:r>
      <w:r>
        <w:rPr>
          <w:sz w:val="20"/>
          <w:szCs w:val="20"/>
        </w:rPr>
        <w:t>, 2</w:t>
      </w:r>
      <w:r w:rsidRPr="00FA6793">
        <w:rPr>
          <w:sz w:val="20"/>
          <w:szCs w:val="20"/>
        </w:rPr>
        <w:t>0°</w:t>
      </w:r>
      <w:r>
        <w:rPr>
          <w:sz w:val="20"/>
          <w:szCs w:val="20"/>
        </w:rPr>
        <w:t>E</w:t>
      </w:r>
      <w:r w:rsidRPr="006E4E3A">
        <w:rPr>
          <w:sz w:val="20"/>
          <w:szCs w:val="20"/>
        </w:rPr>
        <w:t>), the Fram Strait (</w:t>
      </w:r>
      <w:r>
        <w:rPr>
          <w:sz w:val="20"/>
          <w:szCs w:val="20"/>
        </w:rPr>
        <w:t>80</w:t>
      </w:r>
      <w:r w:rsidRPr="00FA6793">
        <w:rPr>
          <w:sz w:val="20"/>
          <w:szCs w:val="20"/>
        </w:rPr>
        <w:t>°N</w:t>
      </w:r>
      <w:r>
        <w:rPr>
          <w:sz w:val="20"/>
          <w:szCs w:val="20"/>
        </w:rPr>
        <w:t>, 14</w:t>
      </w:r>
      <w:r w:rsidRPr="00FA6793">
        <w:rPr>
          <w:sz w:val="20"/>
          <w:szCs w:val="20"/>
        </w:rPr>
        <w:t>°</w:t>
      </w:r>
      <w:r>
        <w:rPr>
          <w:sz w:val="20"/>
          <w:szCs w:val="20"/>
        </w:rPr>
        <w:t>W to 1</w:t>
      </w:r>
      <w:r w:rsidRPr="00FA6793">
        <w:rPr>
          <w:sz w:val="20"/>
          <w:szCs w:val="20"/>
        </w:rPr>
        <w:t>0°</w:t>
      </w:r>
      <w:r>
        <w:rPr>
          <w:sz w:val="20"/>
          <w:szCs w:val="20"/>
        </w:rPr>
        <w:t>E</w:t>
      </w:r>
      <w:r w:rsidRPr="006E4E3A">
        <w:rPr>
          <w:sz w:val="20"/>
          <w:szCs w:val="20"/>
        </w:rPr>
        <w:t>), and the Bering Strait</w:t>
      </w:r>
      <w:r>
        <w:rPr>
          <w:sz w:val="20"/>
          <w:szCs w:val="20"/>
        </w:rPr>
        <w:t xml:space="preserve"> </w:t>
      </w:r>
      <w:r w:rsidRPr="006E4E3A">
        <w:rPr>
          <w:sz w:val="20"/>
          <w:szCs w:val="20"/>
        </w:rPr>
        <w:t>(</w:t>
      </w:r>
      <w:r>
        <w:rPr>
          <w:sz w:val="20"/>
          <w:szCs w:val="20"/>
        </w:rPr>
        <w:t>65.5</w:t>
      </w:r>
      <w:r w:rsidRPr="00FA6793">
        <w:rPr>
          <w:sz w:val="20"/>
          <w:szCs w:val="20"/>
        </w:rPr>
        <w:t>°N</w:t>
      </w:r>
      <w:r>
        <w:rPr>
          <w:sz w:val="20"/>
          <w:szCs w:val="20"/>
        </w:rPr>
        <w:t>, 167</w:t>
      </w:r>
      <w:r w:rsidRPr="00FA6793">
        <w:rPr>
          <w:sz w:val="20"/>
          <w:szCs w:val="20"/>
        </w:rPr>
        <w:t>°</w:t>
      </w:r>
      <w:r>
        <w:rPr>
          <w:sz w:val="20"/>
          <w:szCs w:val="20"/>
        </w:rPr>
        <w:t>W to 170</w:t>
      </w:r>
      <w:r w:rsidRPr="00FA6793">
        <w:rPr>
          <w:sz w:val="20"/>
          <w:szCs w:val="20"/>
        </w:rPr>
        <w:t>°</w:t>
      </w:r>
      <w:r>
        <w:rPr>
          <w:rFonts w:hint="eastAsia"/>
          <w:sz w:val="20"/>
          <w:szCs w:val="20"/>
          <w:lang w:eastAsia="zh-CN"/>
        </w:rPr>
        <w:t>W</w:t>
      </w:r>
      <w:r w:rsidRPr="006E4E3A">
        <w:rPr>
          <w:sz w:val="20"/>
          <w:szCs w:val="20"/>
        </w:rPr>
        <w:t xml:space="preserve">). Since observational estimates are primarily based on these three passages, we further compare the OHT </w:t>
      </w:r>
      <w:r>
        <w:rPr>
          <w:sz w:val="20"/>
          <w:szCs w:val="20"/>
        </w:rPr>
        <w:t xml:space="preserve">in </w:t>
      </w:r>
      <w:r w:rsidRPr="006E4E3A">
        <w:rPr>
          <w:sz w:val="20"/>
          <w:szCs w:val="20"/>
        </w:rPr>
        <w:t>CESM1 LE with</w:t>
      </w:r>
      <w:r w:rsidRPr="002D0560">
        <w:rPr>
          <w:sz w:val="20"/>
          <w:szCs w:val="20"/>
        </w:rPr>
        <w:t xml:space="preserve"> </w:t>
      </w:r>
      <w:r>
        <w:rPr>
          <w:sz w:val="20"/>
          <w:szCs w:val="20"/>
        </w:rPr>
        <w:t xml:space="preserve">estimates </w:t>
      </w:r>
      <w:r w:rsidRPr="005E76E0">
        <w:rPr>
          <w:sz w:val="20"/>
          <w:szCs w:val="20"/>
        </w:rPr>
        <w:t xml:space="preserve">obtained from ORAS5 </w:t>
      </w:r>
      <w:r>
        <w:rPr>
          <w:sz w:val="20"/>
          <w:szCs w:val="20"/>
        </w:rPr>
        <w:t xml:space="preserve">reanalysis </w:t>
      </w:r>
      <w:r w:rsidRPr="005E76E0">
        <w:rPr>
          <w:sz w:val="20"/>
          <w:szCs w:val="20"/>
        </w:rPr>
        <w:t>and mooring data at</w:t>
      </w:r>
      <w:r w:rsidRPr="006E4E3A">
        <w:rPr>
          <w:sz w:val="20"/>
          <w:szCs w:val="20"/>
        </w:rPr>
        <w:t xml:space="preserve"> the Barents Sea Opening (1997–2007; Skagseth et al. 2020),</w:t>
      </w:r>
      <w:r>
        <w:rPr>
          <w:sz w:val="20"/>
          <w:szCs w:val="20"/>
        </w:rPr>
        <w:t xml:space="preserve"> </w:t>
      </w:r>
      <w:r w:rsidRPr="006E4E3A">
        <w:rPr>
          <w:sz w:val="20"/>
          <w:szCs w:val="20"/>
        </w:rPr>
        <w:t>the Fram Strait (1997–2009; Beszczynska-Möller et al. 2012)</w:t>
      </w:r>
      <w:r>
        <w:rPr>
          <w:sz w:val="20"/>
          <w:szCs w:val="20"/>
        </w:rPr>
        <w:t xml:space="preserve">, and </w:t>
      </w:r>
      <w:r w:rsidRPr="006E4E3A">
        <w:rPr>
          <w:sz w:val="20"/>
          <w:szCs w:val="20"/>
        </w:rPr>
        <w:t xml:space="preserve">the Bering Strait (1999–2018; Woodgate and Peralta Ferriz 2021). As summarized in Table </w:t>
      </w:r>
      <w:r w:rsidR="00A722E3">
        <w:rPr>
          <w:sz w:val="20"/>
          <w:szCs w:val="20"/>
        </w:rPr>
        <w:t>S</w:t>
      </w:r>
      <w:r w:rsidRPr="006E4E3A">
        <w:rPr>
          <w:sz w:val="20"/>
          <w:szCs w:val="20"/>
        </w:rPr>
        <w:t xml:space="preserve">1, </w:t>
      </w:r>
      <w:r w:rsidRPr="005E76E0">
        <w:rPr>
          <w:sz w:val="20"/>
          <w:szCs w:val="20"/>
        </w:rPr>
        <w:t>both CESM1 LE and ORAS5 simulate mean OHT values that are comparable to observations across all three gateways.</w:t>
      </w:r>
      <w:r w:rsidRPr="006E4E3A">
        <w:rPr>
          <w:sz w:val="20"/>
          <w:szCs w:val="20"/>
        </w:rPr>
        <w:t xml:space="preserve"> </w:t>
      </w:r>
      <w:r w:rsidRPr="005E76E0">
        <w:rPr>
          <w:sz w:val="20"/>
          <w:szCs w:val="20"/>
        </w:rPr>
        <w:t xml:space="preserve">The discrepancy in the mean Bering Strait OHT magnitude is attributed to the use of a reference temperature of </w:t>
      </w:r>
      <w:r>
        <w:rPr>
          <w:sz w:val="20"/>
          <w:szCs w:val="20"/>
        </w:rPr>
        <w:t>-</w:t>
      </w:r>
      <w:r w:rsidRPr="005E76E0">
        <w:rPr>
          <w:sz w:val="20"/>
          <w:szCs w:val="20"/>
        </w:rPr>
        <w:t>1.9 °C in the observational computations.</w:t>
      </w:r>
    </w:p>
    <w:p w14:paraId="6B8E2CEB" w14:textId="77777777" w:rsidR="00D34153" w:rsidRPr="00D34153" w:rsidRDefault="00D34153" w:rsidP="001922C8">
      <w:pPr>
        <w:pStyle w:val="Text"/>
        <w:ind w:firstLine="0"/>
        <w:rPr>
          <w:sz w:val="20"/>
          <w:szCs w:val="20"/>
          <w:lang w:eastAsia="zh-CN"/>
        </w:rPr>
      </w:pPr>
    </w:p>
    <w:p w14:paraId="6926535F" w14:textId="77777777" w:rsidR="001922C8" w:rsidRDefault="001922C8" w:rsidP="001922C8">
      <w:pPr>
        <w:pStyle w:val="Text"/>
        <w:ind w:firstLine="0"/>
        <w:rPr>
          <w:sz w:val="20"/>
          <w:szCs w:val="20"/>
          <w:lang w:eastAsia="zh-CN"/>
        </w:rPr>
      </w:pPr>
      <w:r>
        <w:rPr>
          <w:rFonts w:hint="eastAsia"/>
          <w:noProof/>
          <w:sz w:val="20"/>
          <w:szCs w:val="20"/>
          <w:lang w:eastAsia="zh-CN"/>
        </w:rPr>
        <w:drawing>
          <wp:inline distT="0" distB="0" distL="0" distR="0" wp14:anchorId="01C4ED02" wp14:editId="55621CB9">
            <wp:extent cx="4965192" cy="3136337"/>
            <wp:effectExtent l="0" t="0" r="635" b="635"/>
            <wp:docPr id="4" name="图片 4"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表, 折线图&#10;&#10;描述已自动生成"/>
                    <pic:cNvPicPr/>
                  </pic:nvPicPr>
                  <pic:blipFill rotWithShape="1">
                    <a:blip r:embed="rId6"/>
                    <a:srcRect t="5251"/>
                    <a:stretch/>
                  </pic:blipFill>
                  <pic:spPr bwMode="auto">
                    <a:xfrm>
                      <a:off x="0" y="0"/>
                      <a:ext cx="5017564" cy="3169419"/>
                    </a:xfrm>
                    <a:prstGeom prst="rect">
                      <a:avLst/>
                    </a:prstGeom>
                    <a:ln>
                      <a:noFill/>
                    </a:ln>
                    <a:extLst>
                      <a:ext uri="{53640926-AAD7-44D8-BBD7-CCE9431645EC}">
                        <a14:shadowObscured xmlns:a14="http://schemas.microsoft.com/office/drawing/2010/main"/>
                      </a:ext>
                    </a:extLst>
                  </pic:spPr>
                </pic:pic>
              </a:graphicData>
            </a:graphic>
          </wp:inline>
        </w:drawing>
      </w:r>
    </w:p>
    <w:p w14:paraId="7E595553" w14:textId="181F4484" w:rsidR="001922C8" w:rsidRPr="00DF07F3" w:rsidRDefault="001922C8" w:rsidP="001922C8">
      <w:pPr>
        <w:pStyle w:val="Text"/>
        <w:ind w:firstLine="0"/>
        <w:rPr>
          <w:sz w:val="20"/>
          <w:szCs w:val="20"/>
        </w:rPr>
      </w:pPr>
      <w:r w:rsidRPr="00DF07F3">
        <w:rPr>
          <w:b/>
          <w:bCs/>
          <w:sz w:val="20"/>
          <w:szCs w:val="20"/>
        </w:rPr>
        <w:t>Fig</w:t>
      </w:r>
      <w:r w:rsidR="00A722E3">
        <w:rPr>
          <w:b/>
          <w:bCs/>
          <w:sz w:val="20"/>
          <w:szCs w:val="20"/>
        </w:rPr>
        <w:t>.</w:t>
      </w:r>
      <w:r w:rsidRPr="00DF07F3">
        <w:rPr>
          <w:b/>
          <w:bCs/>
          <w:sz w:val="20"/>
          <w:szCs w:val="20"/>
        </w:rPr>
        <w:t xml:space="preserve"> </w:t>
      </w:r>
      <w:r w:rsidR="00A722E3">
        <w:rPr>
          <w:b/>
          <w:bCs/>
          <w:sz w:val="20"/>
          <w:szCs w:val="20"/>
        </w:rPr>
        <w:t>S</w:t>
      </w:r>
      <w:r>
        <w:rPr>
          <w:b/>
          <w:bCs/>
          <w:sz w:val="20"/>
          <w:szCs w:val="20"/>
        </w:rPr>
        <w:t>2.</w:t>
      </w:r>
      <w:r w:rsidRPr="00DF07F3">
        <w:rPr>
          <w:b/>
          <w:bCs/>
          <w:sz w:val="20"/>
          <w:szCs w:val="20"/>
        </w:rPr>
        <w:t xml:space="preserve"> </w:t>
      </w:r>
      <w:r w:rsidRPr="00896F12">
        <w:rPr>
          <w:sz w:val="20"/>
          <w:szCs w:val="20"/>
        </w:rPr>
        <w:t>(a) Mean AHT (purple) and OHT (blue) (unit</w:t>
      </w:r>
      <w:r>
        <w:rPr>
          <w:sz w:val="20"/>
          <w:szCs w:val="20"/>
        </w:rPr>
        <w:t>s</w:t>
      </w:r>
      <w:r w:rsidRPr="00896F12">
        <w:rPr>
          <w:sz w:val="20"/>
          <w:szCs w:val="20"/>
        </w:rPr>
        <w:t>: PW). Solid lines represent observations (Trenberth and Caron 2001), while dotted lines denote CESM1 LE results. (b) Mean meridional OHT (unit</w:t>
      </w:r>
      <w:r>
        <w:rPr>
          <w:sz w:val="20"/>
          <w:szCs w:val="20"/>
        </w:rPr>
        <w:t>s</w:t>
      </w:r>
      <w:r w:rsidRPr="00896F12">
        <w:rPr>
          <w:sz w:val="20"/>
          <w:szCs w:val="20"/>
        </w:rPr>
        <w:t>: PW) for the Atlantic (orange) and Indo-Pacific (green) as derived from CESM1 LE.</w:t>
      </w:r>
    </w:p>
    <w:p w14:paraId="442B4DFC" w14:textId="77777777" w:rsidR="001922C8" w:rsidRPr="00EA3B8D" w:rsidRDefault="001922C8" w:rsidP="001922C8">
      <w:pPr>
        <w:pStyle w:val="Text"/>
        <w:ind w:firstLine="0"/>
        <w:rPr>
          <w:sz w:val="20"/>
          <w:szCs w:val="20"/>
          <w:lang w:eastAsia="zh-CN"/>
        </w:rPr>
      </w:pPr>
    </w:p>
    <w:p w14:paraId="4C5B878D" w14:textId="02943B92" w:rsidR="001922C8" w:rsidRPr="009A5AB4" w:rsidRDefault="001922C8" w:rsidP="001922C8">
      <w:pPr>
        <w:rPr>
          <w:rFonts w:ascii="Times New Roman" w:hAnsi="Times New Roman" w:cs="Times New Roman"/>
          <w:sz w:val="20"/>
          <w:szCs w:val="20"/>
        </w:rPr>
      </w:pPr>
      <w:r w:rsidRPr="00445A3E">
        <w:rPr>
          <w:rFonts w:ascii="Times New Roman" w:hAnsi="Times New Roman" w:cs="Times New Roman"/>
          <w:b/>
          <w:bCs/>
          <w:sz w:val="20"/>
          <w:szCs w:val="20"/>
        </w:rPr>
        <w:lastRenderedPageBreak/>
        <w:t xml:space="preserve">Table </w:t>
      </w:r>
      <w:r w:rsidR="00A722E3">
        <w:rPr>
          <w:rFonts w:ascii="Times New Roman" w:hAnsi="Times New Roman" w:cs="Times New Roman"/>
          <w:b/>
          <w:bCs/>
          <w:sz w:val="20"/>
          <w:szCs w:val="20"/>
        </w:rPr>
        <w:t>S</w:t>
      </w:r>
      <w:r w:rsidRPr="00445A3E">
        <w:rPr>
          <w:rFonts w:ascii="Times New Roman" w:hAnsi="Times New Roman" w:cs="Times New Roman"/>
          <w:b/>
          <w:bCs/>
          <w:sz w:val="20"/>
          <w:szCs w:val="20"/>
        </w:rPr>
        <w:t>1</w:t>
      </w:r>
      <w:r>
        <w:rPr>
          <w:rFonts w:ascii="Times New Roman" w:hAnsi="Times New Roman" w:cs="Times New Roman"/>
          <w:sz w:val="20"/>
          <w:szCs w:val="20"/>
        </w:rPr>
        <w:t xml:space="preserve">. </w:t>
      </w:r>
      <w:r w:rsidRPr="00AD48E7">
        <w:rPr>
          <w:rFonts w:ascii="Times New Roman" w:hAnsi="Times New Roman" w:cs="Times New Roman"/>
          <w:sz w:val="20"/>
          <w:szCs w:val="20"/>
        </w:rPr>
        <w:t>Mean OHT values (</w:t>
      </w:r>
      <w:r>
        <w:rPr>
          <w:rFonts w:ascii="Times New Roman" w:hAnsi="Times New Roman" w:cs="Times New Roman"/>
          <w:sz w:val="20"/>
          <w:szCs w:val="20"/>
        </w:rPr>
        <w:t>units:</w:t>
      </w:r>
      <w:r w:rsidRPr="00AD48E7">
        <w:rPr>
          <w:rFonts w:ascii="Times New Roman" w:hAnsi="Times New Roman" w:cs="Times New Roman"/>
          <w:sz w:val="20"/>
          <w:szCs w:val="20"/>
        </w:rPr>
        <w:t xml:space="preserve"> TW) through the Barents Sea Opening, Fram Strait, and Bering Strait from CESM1 LE (2001–2010) are compared with estimates from ORAS5 </w:t>
      </w:r>
      <w:r w:rsidRPr="009A5AB4">
        <w:rPr>
          <w:rFonts w:ascii="Times New Roman" w:hAnsi="Times New Roman" w:cs="Times New Roman"/>
          <w:sz w:val="20"/>
          <w:szCs w:val="20"/>
        </w:rPr>
        <w:t>(1</w:t>
      </w:r>
      <w:r>
        <w:rPr>
          <w:rFonts w:ascii="Times New Roman" w:hAnsi="Times New Roman" w:cs="Times New Roman"/>
          <w:sz w:val="20"/>
          <w:szCs w:val="20"/>
        </w:rPr>
        <w:t>979</w:t>
      </w:r>
      <w:r w:rsidRPr="009A5AB4">
        <w:rPr>
          <w:rFonts w:ascii="Times New Roman" w:hAnsi="Times New Roman" w:cs="Times New Roman"/>
          <w:sz w:val="20"/>
          <w:szCs w:val="20"/>
        </w:rPr>
        <w:t>–20</w:t>
      </w:r>
      <w:r>
        <w:rPr>
          <w:rFonts w:ascii="Times New Roman" w:hAnsi="Times New Roman" w:cs="Times New Roman"/>
          <w:sz w:val="20"/>
          <w:szCs w:val="20"/>
        </w:rPr>
        <w:t>20</w:t>
      </w:r>
      <w:r w:rsidRPr="009A5AB4">
        <w:rPr>
          <w:rFonts w:ascii="Times New Roman" w:hAnsi="Times New Roman" w:cs="Times New Roman"/>
          <w:sz w:val="20"/>
          <w:szCs w:val="20"/>
        </w:rPr>
        <w:t xml:space="preserve">) </w:t>
      </w:r>
      <w:r w:rsidRPr="00AD48E7">
        <w:rPr>
          <w:rFonts w:ascii="Times New Roman" w:hAnsi="Times New Roman" w:cs="Times New Roman"/>
          <w:sz w:val="20"/>
          <w:szCs w:val="20"/>
        </w:rPr>
        <w:t>and observation</w:t>
      </w:r>
      <w:r>
        <w:rPr>
          <w:rFonts w:ascii="Times New Roman" w:hAnsi="Times New Roman" w:cs="Times New Roman" w:hint="eastAsia"/>
          <w:sz w:val="20"/>
          <w:szCs w:val="20"/>
        </w:rPr>
        <w:t>al</w:t>
      </w:r>
      <w:r>
        <w:rPr>
          <w:rFonts w:ascii="Times New Roman" w:hAnsi="Times New Roman" w:cs="Times New Roman"/>
          <w:sz w:val="20"/>
          <w:szCs w:val="20"/>
        </w:rPr>
        <w:t xml:space="preserve"> estimate</w:t>
      </w:r>
      <w:r w:rsidRPr="00AD48E7">
        <w:rPr>
          <w:rFonts w:ascii="Times New Roman" w:hAnsi="Times New Roman" w:cs="Times New Roman"/>
          <w:sz w:val="20"/>
          <w:szCs w:val="20"/>
        </w:rPr>
        <w:t>s.</w:t>
      </w:r>
      <w:r w:rsidRPr="009A5AB4">
        <w:rPr>
          <w:rFonts w:ascii="Times New Roman" w:hAnsi="Times New Roman" w:cs="Times New Roman"/>
          <w:sz w:val="20"/>
          <w:szCs w:val="20"/>
        </w:rPr>
        <w:t xml:space="preserve"> </w:t>
      </w:r>
      <w:r>
        <w:rPr>
          <w:rFonts w:ascii="Times New Roman" w:hAnsi="Times New Roman" w:cs="Times New Roman"/>
          <w:sz w:val="20"/>
          <w:szCs w:val="20"/>
        </w:rPr>
        <w:t>R</w:t>
      </w:r>
      <w:r w:rsidRPr="00F73FDE">
        <w:rPr>
          <w:rFonts w:ascii="Times New Roman" w:hAnsi="Times New Roman" w:cs="Times New Roman"/>
          <w:sz w:val="20"/>
          <w:szCs w:val="20"/>
        </w:rPr>
        <w:t>eference period</w:t>
      </w:r>
      <w:r>
        <w:rPr>
          <w:rFonts w:ascii="Times New Roman" w:hAnsi="Times New Roman" w:cs="Times New Roman"/>
          <w:sz w:val="20"/>
          <w:szCs w:val="20"/>
        </w:rPr>
        <w:t>s</w:t>
      </w:r>
      <w:r w:rsidRPr="00F73FDE">
        <w:rPr>
          <w:rFonts w:ascii="Times New Roman" w:hAnsi="Times New Roman" w:cs="Times New Roman"/>
          <w:sz w:val="20"/>
          <w:szCs w:val="20"/>
        </w:rPr>
        <w:t xml:space="preserve"> </w:t>
      </w:r>
      <w:r>
        <w:rPr>
          <w:rFonts w:ascii="Times New Roman" w:hAnsi="Times New Roman" w:cs="Times New Roman"/>
          <w:sz w:val="20"/>
          <w:szCs w:val="20"/>
        </w:rPr>
        <w:t>for the o</w:t>
      </w:r>
      <w:r w:rsidRPr="00F73FDE">
        <w:rPr>
          <w:rFonts w:ascii="Times New Roman" w:hAnsi="Times New Roman" w:cs="Times New Roman"/>
          <w:sz w:val="20"/>
          <w:szCs w:val="20"/>
        </w:rPr>
        <w:t>bservation</w:t>
      </w:r>
      <w:r>
        <w:rPr>
          <w:rFonts w:ascii="Times New Roman" w:hAnsi="Times New Roman" w:cs="Times New Roman"/>
          <w:sz w:val="20"/>
          <w:szCs w:val="20"/>
        </w:rPr>
        <w:t>al data</w:t>
      </w:r>
      <w:r w:rsidRPr="00F73FDE">
        <w:rPr>
          <w:rFonts w:ascii="Times New Roman" w:hAnsi="Times New Roman" w:cs="Times New Roman"/>
          <w:sz w:val="20"/>
          <w:szCs w:val="20"/>
        </w:rPr>
        <w:t xml:space="preserve"> </w:t>
      </w:r>
      <w:r>
        <w:rPr>
          <w:rFonts w:ascii="Times New Roman" w:hAnsi="Times New Roman" w:cs="Times New Roman"/>
          <w:sz w:val="20"/>
          <w:szCs w:val="20"/>
        </w:rPr>
        <w:t>are</w:t>
      </w:r>
      <w:r w:rsidRPr="00F73FDE">
        <w:rPr>
          <w:rFonts w:ascii="Times New Roman" w:hAnsi="Times New Roman" w:cs="Times New Roman"/>
          <w:sz w:val="20"/>
          <w:szCs w:val="20"/>
        </w:rPr>
        <w:t xml:space="preserve"> indicated in parenthes</w:t>
      </w:r>
      <w:r>
        <w:rPr>
          <w:rFonts w:ascii="Times New Roman" w:hAnsi="Times New Roman" w:cs="Times New Roman"/>
          <w:sz w:val="20"/>
          <w:szCs w:val="20"/>
        </w:rPr>
        <w:t>e</w:t>
      </w:r>
      <w:r w:rsidRPr="00F73FDE">
        <w:rPr>
          <w:rFonts w:ascii="Times New Roman" w:hAnsi="Times New Roman" w:cs="Times New Roman"/>
          <w:sz w:val="20"/>
          <w:szCs w:val="20"/>
        </w:rPr>
        <w:t>s.</w:t>
      </w:r>
    </w:p>
    <w:tbl>
      <w:tblPr>
        <w:tblW w:w="8730" w:type="dxa"/>
        <w:jc w:val="center"/>
        <w:tblBorders>
          <w:top w:val="single" w:sz="12" w:space="0" w:color="auto"/>
          <w:bottom w:val="single" w:sz="12" w:space="0" w:color="auto"/>
          <w:insideH w:val="single" w:sz="4" w:space="0" w:color="auto"/>
        </w:tblBorders>
        <w:tblLayout w:type="fixed"/>
        <w:tblLook w:val="04A0" w:firstRow="1" w:lastRow="0" w:firstColumn="1" w:lastColumn="0" w:noHBand="0" w:noVBand="1"/>
      </w:tblPr>
      <w:tblGrid>
        <w:gridCol w:w="2268"/>
        <w:gridCol w:w="2154"/>
        <w:gridCol w:w="2154"/>
        <w:gridCol w:w="2154"/>
      </w:tblGrid>
      <w:tr w:rsidR="001922C8" w:rsidRPr="004E0219" w14:paraId="65E008FD" w14:textId="77777777" w:rsidTr="00150422">
        <w:trPr>
          <w:trHeight w:val="454"/>
          <w:jc w:val="center"/>
        </w:trPr>
        <w:tc>
          <w:tcPr>
            <w:tcW w:w="2268" w:type="dxa"/>
            <w:vAlign w:val="center"/>
          </w:tcPr>
          <w:p w14:paraId="6E6BFF3E" w14:textId="77777777" w:rsidR="001922C8" w:rsidRPr="004E0219" w:rsidRDefault="001922C8" w:rsidP="00150422">
            <w:pPr>
              <w:pStyle w:val="a8"/>
            </w:pPr>
            <w:r w:rsidRPr="004E0219">
              <w:rPr>
                <w:rFonts w:hint="eastAsia"/>
              </w:rPr>
              <w:t>Gate</w:t>
            </w:r>
          </w:p>
        </w:tc>
        <w:tc>
          <w:tcPr>
            <w:tcW w:w="2154" w:type="dxa"/>
            <w:vAlign w:val="center"/>
          </w:tcPr>
          <w:p w14:paraId="402BD141" w14:textId="77777777" w:rsidR="001922C8" w:rsidRPr="00445A3E" w:rsidRDefault="001922C8" w:rsidP="00150422">
            <w:pPr>
              <w:jc w:val="center"/>
              <w:rPr>
                <w:rFonts w:ascii="Times New Roman" w:hAnsi="Times New Roman" w:cs="Times New Roman"/>
                <w:sz w:val="21"/>
                <w:szCs w:val="21"/>
              </w:rPr>
            </w:pPr>
            <w:r w:rsidRPr="00445A3E">
              <w:rPr>
                <w:rFonts w:ascii="Times New Roman" w:hAnsi="Times New Roman" w:cs="Times New Roman"/>
                <w:sz w:val="21"/>
                <w:szCs w:val="21"/>
              </w:rPr>
              <w:t>CESM1 LE</w:t>
            </w:r>
          </w:p>
          <w:p w14:paraId="6C077B75" w14:textId="77777777" w:rsidR="001922C8" w:rsidRPr="004E0219" w:rsidRDefault="001922C8" w:rsidP="00150422">
            <w:pPr>
              <w:pStyle w:val="a8"/>
            </w:pPr>
            <w:r w:rsidRPr="004E0219">
              <w:t>(2001–2010)</w:t>
            </w:r>
          </w:p>
        </w:tc>
        <w:tc>
          <w:tcPr>
            <w:tcW w:w="2154" w:type="dxa"/>
            <w:vAlign w:val="center"/>
          </w:tcPr>
          <w:p w14:paraId="76183754" w14:textId="77777777" w:rsidR="001922C8" w:rsidRPr="004E0219" w:rsidRDefault="001922C8" w:rsidP="00150422">
            <w:pPr>
              <w:pStyle w:val="a8"/>
            </w:pPr>
            <w:r w:rsidRPr="004E0219">
              <w:rPr>
                <w:rFonts w:hint="eastAsia"/>
              </w:rPr>
              <w:t>O</w:t>
            </w:r>
            <w:r w:rsidRPr="004E0219">
              <w:t>RAS5</w:t>
            </w:r>
          </w:p>
          <w:p w14:paraId="1A0F8D13" w14:textId="77777777" w:rsidR="001922C8" w:rsidRPr="004E0219" w:rsidRDefault="001922C8" w:rsidP="00150422">
            <w:pPr>
              <w:pStyle w:val="a8"/>
            </w:pPr>
            <w:r w:rsidRPr="004E0219">
              <w:rPr>
                <w:rFonts w:hint="eastAsia"/>
              </w:rPr>
              <w:t>(</w:t>
            </w:r>
            <w:r w:rsidRPr="004E0219">
              <w:t>1979–2020)</w:t>
            </w:r>
          </w:p>
        </w:tc>
        <w:tc>
          <w:tcPr>
            <w:tcW w:w="2154" w:type="dxa"/>
            <w:vAlign w:val="center"/>
          </w:tcPr>
          <w:p w14:paraId="61A3D99B" w14:textId="77777777" w:rsidR="001922C8" w:rsidRPr="004E0219" w:rsidRDefault="001922C8" w:rsidP="00150422">
            <w:pPr>
              <w:pStyle w:val="a8"/>
            </w:pPr>
            <w:r w:rsidRPr="004E0219">
              <w:rPr>
                <w:rFonts w:hint="eastAsia"/>
              </w:rPr>
              <w:t>O</w:t>
            </w:r>
            <w:r w:rsidRPr="004E0219">
              <w:t>bservations</w:t>
            </w:r>
          </w:p>
        </w:tc>
      </w:tr>
      <w:tr w:rsidR="001922C8" w:rsidRPr="004E0219" w14:paraId="6C77C86B" w14:textId="77777777" w:rsidTr="00150422">
        <w:trPr>
          <w:trHeight w:val="454"/>
          <w:jc w:val="center"/>
        </w:trPr>
        <w:tc>
          <w:tcPr>
            <w:tcW w:w="2268" w:type="dxa"/>
            <w:vAlign w:val="center"/>
          </w:tcPr>
          <w:p w14:paraId="5EC5D183" w14:textId="77777777" w:rsidR="001922C8" w:rsidRPr="004E0219" w:rsidRDefault="001922C8" w:rsidP="00150422">
            <w:pPr>
              <w:adjustRightInd w:val="0"/>
              <w:jc w:val="center"/>
              <w:rPr>
                <w:rFonts w:ascii="Times New Roman" w:hAnsi="Times New Roman" w:cs="Times New Roman"/>
                <w:sz w:val="21"/>
                <w:szCs w:val="21"/>
              </w:rPr>
            </w:pPr>
            <w:r w:rsidRPr="00445A3E">
              <w:rPr>
                <w:rFonts w:ascii="Times New Roman" w:hAnsi="Times New Roman" w:cs="Times New Roman"/>
                <w:sz w:val="21"/>
                <w:szCs w:val="21"/>
              </w:rPr>
              <w:t>Barents Sea Opening</w:t>
            </w:r>
          </w:p>
        </w:tc>
        <w:tc>
          <w:tcPr>
            <w:tcW w:w="2154" w:type="dxa"/>
            <w:vAlign w:val="center"/>
          </w:tcPr>
          <w:p w14:paraId="6603753D" w14:textId="77777777" w:rsidR="001922C8" w:rsidRPr="004E0219" w:rsidRDefault="001922C8" w:rsidP="00150422">
            <w:pPr>
              <w:adjustRightInd w:val="0"/>
              <w:jc w:val="center"/>
              <w:rPr>
                <w:rFonts w:ascii="Times New Roman" w:hAnsi="Times New Roman" w:cs="Times New Roman"/>
                <w:sz w:val="21"/>
                <w:szCs w:val="21"/>
              </w:rPr>
            </w:pPr>
            <w:r w:rsidRPr="00445A3E">
              <w:rPr>
                <w:rFonts w:ascii="Times New Roman" w:hAnsi="Times New Roman" w:cs="Times New Roman"/>
                <w:sz w:val="21"/>
                <w:szCs w:val="21"/>
              </w:rPr>
              <w:t>58.8 ± 8.5</w:t>
            </w:r>
          </w:p>
        </w:tc>
        <w:tc>
          <w:tcPr>
            <w:tcW w:w="2154" w:type="dxa"/>
            <w:vAlign w:val="center"/>
          </w:tcPr>
          <w:p w14:paraId="2DB59F85" w14:textId="77777777" w:rsidR="001922C8" w:rsidRPr="00445A3E" w:rsidRDefault="001922C8" w:rsidP="00150422">
            <w:pPr>
              <w:adjustRightInd w:val="0"/>
              <w:jc w:val="center"/>
              <w:rPr>
                <w:rFonts w:ascii="Times New Roman" w:hAnsi="Times New Roman" w:cs="Times New Roman"/>
                <w:sz w:val="21"/>
                <w:szCs w:val="21"/>
              </w:rPr>
            </w:pPr>
            <w:r w:rsidRPr="00445A3E">
              <w:rPr>
                <w:rFonts w:ascii="Times New Roman" w:hAnsi="Times New Roman" w:cs="Times New Roman"/>
                <w:sz w:val="21"/>
                <w:szCs w:val="21"/>
              </w:rPr>
              <w:t>52 to 90</w:t>
            </w:r>
          </w:p>
        </w:tc>
        <w:tc>
          <w:tcPr>
            <w:tcW w:w="2154" w:type="dxa"/>
            <w:vAlign w:val="center"/>
          </w:tcPr>
          <w:p w14:paraId="2BB57C8C" w14:textId="77777777" w:rsidR="001922C8" w:rsidRPr="004E0219" w:rsidRDefault="001922C8" w:rsidP="00150422">
            <w:pPr>
              <w:adjustRightInd w:val="0"/>
              <w:jc w:val="center"/>
              <w:rPr>
                <w:rFonts w:ascii="Times New Roman" w:hAnsi="Times New Roman" w:cs="Times New Roman"/>
                <w:sz w:val="21"/>
                <w:szCs w:val="21"/>
              </w:rPr>
            </w:pPr>
            <w:r w:rsidRPr="00445A3E">
              <w:rPr>
                <w:rFonts w:ascii="Times New Roman" w:hAnsi="Times New Roman" w:cs="Times New Roman"/>
                <w:sz w:val="21"/>
                <w:szCs w:val="21"/>
              </w:rPr>
              <w:t>50 to 70 (1997–2007)</w:t>
            </w:r>
          </w:p>
        </w:tc>
      </w:tr>
      <w:tr w:rsidR="001922C8" w:rsidRPr="004E0219" w14:paraId="5C97C108" w14:textId="77777777" w:rsidTr="00150422">
        <w:trPr>
          <w:trHeight w:val="454"/>
          <w:jc w:val="center"/>
        </w:trPr>
        <w:tc>
          <w:tcPr>
            <w:tcW w:w="2268" w:type="dxa"/>
            <w:vAlign w:val="center"/>
          </w:tcPr>
          <w:p w14:paraId="4A50AE9A" w14:textId="77777777" w:rsidR="001922C8" w:rsidRPr="004E0219" w:rsidRDefault="001922C8" w:rsidP="00150422">
            <w:pPr>
              <w:adjustRightInd w:val="0"/>
              <w:jc w:val="center"/>
              <w:rPr>
                <w:rFonts w:ascii="Times New Roman" w:hAnsi="Times New Roman" w:cs="Times New Roman"/>
                <w:sz w:val="21"/>
                <w:szCs w:val="21"/>
              </w:rPr>
            </w:pPr>
            <w:r w:rsidRPr="00445A3E">
              <w:rPr>
                <w:rFonts w:ascii="Times New Roman" w:hAnsi="Times New Roman" w:cs="Times New Roman"/>
                <w:sz w:val="21"/>
                <w:szCs w:val="21"/>
              </w:rPr>
              <w:t>Fram Strait</w:t>
            </w:r>
          </w:p>
        </w:tc>
        <w:tc>
          <w:tcPr>
            <w:tcW w:w="2154" w:type="dxa"/>
            <w:vAlign w:val="center"/>
          </w:tcPr>
          <w:p w14:paraId="14471BD8" w14:textId="77777777" w:rsidR="001922C8" w:rsidRPr="004E0219" w:rsidRDefault="001922C8" w:rsidP="00150422">
            <w:pPr>
              <w:adjustRightInd w:val="0"/>
              <w:jc w:val="center"/>
              <w:rPr>
                <w:rFonts w:ascii="Times New Roman" w:hAnsi="Times New Roman" w:cs="Times New Roman"/>
                <w:sz w:val="21"/>
                <w:szCs w:val="21"/>
              </w:rPr>
            </w:pPr>
            <w:r w:rsidRPr="00445A3E">
              <w:rPr>
                <w:rFonts w:ascii="Times New Roman" w:hAnsi="Times New Roman" w:cs="Times New Roman"/>
                <w:sz w:val="21"/>
                <w:szCs w:val="21"/>
              </w:rPr>
              <w:t>21.5 ± 2.1</w:t>
            </w:r>
          </w:p>
        </w:tc>
        <w:tc>
          <w:tcPr>
            <w:tcW w:w="2154" w:type="dxa"/>
            <w:vAlign w:val="center"/>
          </w:tcPr>
          <w:p w14:paraId="0703F567" w14:textId="77777777" w:rsidR="001922C8" w:rsidRPr="00445A3E" w:rsidRDefault="001922C8" w:rsidP="00150422">
            <w:pPr>
              <w:adjustRightInd w:val="0"/>
              <w:jc w:val="center"/>
              <w:rPr>
                <w:rFonts w:ascii="Times New Roman" w:hAnsi="Times New Roman" w:cs="Times New Roman"/>
                <w:sz w:val="21"/>
                <w:szCs w:val="21"/>
              </w:rPr>
            </w:pPr>
            <w:r w:rsidRPr="00445A3E">
              <w:rPr>
                <w:rFonts w:ascii="Times New Roman" w:hAnsi="Times New Roman" w:cs="Times New Roman"/>
                <w:sz w:val="21"/>
                <w:szCs w:val="21"/>
              </w:rPr>
              <w:t>18 to 45</w:t>
            </w:r>
          </w:p>
        </w:tc>
        <w:tc>
          <w:tcPr>
            <w:tcW w:w="2154" w:type="dxa"/>
            <w:vAlign w:val="center"/>
          </w:tcPr>
          <w:p w14:paraId="3DEA3248" w14:textId="77777777" w:rsidR="001922C8" w:rsidRPr="004E0219" w:rsidRDefault="001922C8" w:rsidP="00150422">
            <w:pPr>
              <w:adjustRightInd w:val="0"/>
              <w:jc w:val="center"/>
              <w:rPr>
                <w:rFonts w:ascii="Times New Roman" w:hAnsi="Times New Roman" w:cs="Times New Roman"/>
                <w:sz w:val="21"/>
                <w:szCs w:val="21"/>
              </w:rPr>
            </w:pPr>
            <w:r w:rsidRPr="00445A3E">
              <w:rPr>
                <w:rFonts w:ascii="Times New Roman" w:hAnsi="Times New Roman" w:cs="Times New Roman"/>
                <w:sz w:val="21"/>
                <w:szCs w:val="21"/>
              </w:rPr>
              <w:t>30 to 42 (1997–2009)</w:t>
            </w:r>
          </w:p>
        </w:tc>
      </w:tr>
      <w:tr w:rsidR="001922C8" w:rsidRPr="004E0219" w14:paraId="6663B743" w14:textId="77777777" w:rsidTr="00150422">
        <w:trPr>
          <w:trHeight w:val="454"/>
          <w:jc w:val="center"/>
        </w:trPr>
        <w:tc>
          <w:tcPr>
            <w:tcW w:w="2268" w:type="dxa"/>
            <w:vAlign w:val="center"/>
          </w:tcPr>
          <w:p w14:paraId="44D537AF" w14:textId="77777777" w:rsidR="001922C8" w:rsidRPr="004E0219" w:rsidRDefault="001922C8" w:rsidP="00150422">
            <w:pPr>
              <w:adjustRightInd w:val="0"/>
              <w:jc w:val="center"/>
              <w:rPr>
                <w:rFonts w:ascii="Times New Roman" w:hAnsi="Times New Roman" w:cs="Times New Roman"/>
                <w:sz w:val="21"/>
                <w:szCs w:val="21"/>
              </w:rPr>
            </w:pPr>
            <w:r w:rsidRPr="00445A3E">
              <w:rPr>
                <w:rFonts w:ascii="Times New Roman" w:hAnsi="Times New Roman" w:cs="Times New Roman"/>
                <w:sz w:val="21"/>
                <w:szCs w:val="21"/>
              </w:rPr>
              <w:t>Bering Strait</w:t>
            </w:r>
          </w:p>
        </w:tc>
        <w:tc>
          <w:tcPr>
            <w:tcW w:w="2154" w:type="dxa"/>
            <w:vAlign w:val="center"/>
          </w:tcPr>
          <w:p w14:paraId="42C5FE01" w14:textId="77777777" w:rsidR="001922C8" w:rsidRPr="004E0219" w:rsidRDefault="001922C8" w:rsidP="00150422">
            <w:pPr>
              <w:adjustRightInd w:val="0"/>
              <w:jc w:val="center"/>
              <w:rPr>
                <w:rFonts w:ascii="Times New Roman" w:hAnsi="Times New Roman" w:cs="Times New Roman"/>
                <w:sz w:val="21"/>
                <w:szCs w:val="21"/>
              </w:rPr>
            </w:pPr>
            <w:r w:rsidRPr="00445A3E">
              <w:rPr>
                <w:rFonts w:ascii="Times New Roman" w:hAnsi="Times New Roman" w:cs="Times New Roman"/>
                <w:sz w:val="21"/>
                <w:szCs w:val="21"/>
              </w:rPr>
              <w:t>4.3 ± 1.5</w:t>
            </w:r>
          </w:p>
        </w:tc>
        <w:tc>
          <w:tcPr>
            <w:tcW w:w="2154" w:type="dxa"/>
            <w:vAlign w:val="center"/>
          </w:tcPr>
          <w:p w14:paraId="40AE4681" w14:textId="77777777" w:rsidR="001922C8" w:rsidRPr="00445A3E" w:rsidRDefault="001922C8" w:rsidP="00150422">
            <w:pPr>
              <w:adjustRightInd w:val="0"/>
              <w:jc w:val="center"/>
              <w:rPr>
                <w:rFonts w:ascii="Times New Roman" w:hAnsi="Times New Roman" w:cs="Times New Roman"/>
                <w:sz w:val="21"/>
                <w:szCs w:val="21"/>
              </w:rPr>
            </w:pPr>
            <w:r w:rsidRPr="00445A3E">
              <w:rPr>
                <w:rFonts w:ascii="Times New Roman" w:hAnsi="Times New Roman" w:cs="Times New Roman"/>
                <w:sz w:val="21"/>
                <w:szCs w:val="21"/>
              </w:rPr>
              <w:t>5 to 12</w:t>
            </w:r>
          </w:p>
        </w:tc>
        <w:tc>
          <w:tcPr>
            <w:tcW w:w="2154" w:type="dxa"/>
            <w:vAlign w:val="center"/>
          </w:tcPr>
          <w:p w14:paraId="78D38A0B" w14:textId="77777777" w:rsidR="001922C8" w:rsidRPr="004E0219" w:rsidRDefault="001922C8" w:rsidP="00150422">
            <w:pPr>
              <w:adjustRightInd w:val="0"/>
              <w:jc w:val="center"/>
              <w:rPr>
                <w:rFonts w:ascii="Times New Roman" w:hAnsi="Times New Roman" w:cs="Times New Roman"/>
                <w:sz w:val="21"/>
                <w:szCs w:val="21"/>
              </w:rPr>
            </w:pPr>
            <w:r w:rsidRPr="00445A3E">
              <w:rPr>
                <w:rFonts w:ascii="Times New Roman" w:hAnsi="Times New Roman" w:cs="Times New Roman"/>
                <w:sz w:val="21"/>
                <w:szCs w:val="21"/>
              </w:rPr>
              <w:t>10 to 20 (1999–2018)</w:t>
            </w:r>
          </w:p>
        </w:tc>
      </w:tr>
    </w:tbl>
    <w:p w14:paraId="1A7A7B81" w14:textId="77777777" w:rsidR="001922C8" w:rsidRPr="00445A3E" w:rsidRDefault="001922C8" w:rsidP="001922C8">
      <w:pPr>
        <w:pStyle w:val="Text"/>
        <w:ind w:firstLine="0"/>
        <w:rPr>
          <w:sz w:val="21"/>
          <w:szCs w:val="21"/>
          <w:lang w:eastAsia="zh-CN"/>
        </w:rPr>
      </w:pPr>
    </w:p>
    <w:p w14:paraId="67E0C87F" w14:textId="0BBE0BAF" w:rsidR="001922C8" w:rsidRPr="0073075F" w:rsidRDefault="001922C8" w:rsidP="001922C8">
      <w:pPr>
        <w:pStyle w:val="Text"/>
        <w:ind w:firstLine="0"/>
        <w:rPr>
          <w:sz w:val="20"/>
          <w:szCs w:val="20"/>
        </w:rPr>
      </w:pPr>
      <w:r w:rsidRPr="00070345">
        <w:rPr>
          <w:sz w:val="20"/>
          <w:szCs w:val="20"/>
        </w:rPr>
        <w:t>In addition to evaluating the mean state of OHT, we assess the upper-layer current velocity from 1979 to 2020.</w:t>
      </w:r>
      <w:r>
        <w:rPr>
          <w:rFonts w:hint="eastAsia"/>
          <w:sz w:val="20"/>
          <w:szCs w:val="20"/>
        </w:rPr>
        <w:t xml:space="preserve"> </w:t>
      </w:r>
      <w:r w:rsidRPr="0073075F">
        <w:rPr>
          <w:sz w:val="20"/>
          <w:szCs w:val="20"/>
        </w:rPr>
        <w:t xml:space="preserve">Polyakov et al. (2023) employed ORAS5 reanalysis data to demonstrate that, during 2007–2021 compared to 1992–2006, current exchanges in the upper 50 m intensified in the northern Barents Sea Opening and central Barents Sea while weakening in the Fram Strait. This regime shift coincides with the emergence of a dominant Arctic Dipole (AD) pattern post-2007, with alternating AD phases playing a pivotal role in modulating the relative strength of the Fram Strait and Barents Sea branches that transport Atlantic water into the Arctic Ocean. Figure </w:t>
      </w:r>
      <w:r w:rsidR="00A722E3">
        <w:rPr>
          <w:sz w:val="20"/>
          <w:szCs w:val="20"/>
        </w:rPr>
        <w:t>S</w:t>
      </w:r>
      <w:r w:rsidRPr="0073075F">
        <w:rPr>
          <w:sz w:val="20"/>
          <w:szCs w:val="20"/>
        </w:rPr>
        <w:t>3 shows that the simulated changes generally agree with the ORAS5-based results, providing support for the model’s performance. Collectively, these findings affirm CESM1 LE’s capacity to replicate key features of the observed climate system.</w:t>
      </w:r>
    </w:p>
    <w:p w14:paraId="357898AA" w14:textId="77777777" w:rsidR="001922C8" w:rsidRDefault="001922C8" w:rsidP="001922C8">
      <w:pPr>
        <w:pStyle w:val="Text"/>
        <w:ind w:firstLine="0"/>
        <w:rPr>
          <w:sz w:val="20"/>
          <w:szCs w:val="20"/>
          <w:lang w:eastAsia="zh-CN"/>
        </w:rPr>
      </w:pPr>
    </w:p>
    <w:p w14:paraId="6E857424" w14:textId="77777777" w:rsidR="001922C8" w:rsidRPr="005001DE" w:rsidRDefault="001922C8" w:rsidP="001922C8">
      <w:pPr>
        <w:pStyle w:val="Text"/>
        <w:ind w:firstLine="0"/>
        <w:jc w:val="center"/>
        <w:rPr>
          <w:sz w:val="20"/>
          <w:szCs w:val="20"/>
          <w:lang w:eastAsia="zh-CN"/>
        </w:rPr>
      </w:pPr>
      <w:r>
        <w:rPr>
          <w:rFonts w:hint="eastAsia"/>
          <w:noProof/>
          <w:sz w:val="20"/>
          <w:szCs w:val="20"/>
          <w:lang w:eastAsia="zh-CN"/>
        </w:rPr>
        <w:drawing>
          <wp:inline distT="0" distB="0" distL="0" distR="0" wp14:anchorId="7508E136" wp14:editId="10C8526E">
            <wp:extent cx="4841748" cy="2420874"/>
            <wp:effectExtent l="0" t="0" r="0" b="5080"/>
            <wp:docPr id="9" name="图片 9"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表&#10;&#10;描述已自动生成"/>
                    <pic:cNvPicPr/>
                  </pic:nvPicPr>
                  <pic:blipFill>
                    <a:blip r:embed="rId7"/>
                    <a:stretch>
                      <a:fillRect/>
                    </a:stretch>
                  </pic:blipFill>
                  <pic:spPr>
                    <a:xfrm>
                      <a:off x="0" y="0"/>
                      <a:ext cx="4877840" cy="2438920"/>
                    </a:xfrm>
                    <a:prstGeom prst="rect">
                      <a:avLst/>
                    </a:prstGeom>
                  </pic:spPr>
                </pic:pic>
              </a:graphicData>
            </a:graphic>
          </wp:inline>
        </w:drawing>
      </w:r>
    </w:p>
    <w:p w14:paraId="10C586BC" w14:textId="34046447" w:rsidR="001922C8" w:rsidRPr="00DF07F3" w:rsidRDefault="001922C8" w:rsidP="001922C8">
      <w:pPr>
        <w:pStyle w:val="Text"/>
        <w:ind w:firstLine="0"/>
        <w:rPr>
          <w:sz w:val="20"/>
          <w:szCs w:val="20"/>
        </w:rPr>
      </w:pPr>
      <w:r w:rsidRPr="00DF07F3">
        <w:rPr>
          <w:b/>
          <w:bCs/>
          <w:sz w:val="20"/>
          <w:szCs w:val="20"/>
        </w:rPr>
        <w:t>Fig</w:t>
      </w:r>
      <w:r w:rsidR="00A722E3">
        <w:rPr>
          <w:b/>
          <w:bCs/>
          <w:sz w:val="20"/>
          <w:szCs w:val="20"/>
        </w:rPr>
        <w:t>.</w:t>
      </w:r>
      <w:r w:rsidRPr="00DF07F3">
        <w:rPr>
          <w:b/>
          <w:bCs/>
          <w:sz w:val="20"/>
          <w:szCs w:val="20"/>
        </w:rPr>
        <w:t xml:space="preserve"> </w:t>
      </w:r>
      <w:r w:rsidR="00A722E3">
        <w:rPr>
          <w:b/>
          <w:bCs/>
          <w:sz w:val="20"/>
          <w:szCs w:val="20"/>
        </w:rPr>
        <w:t>S</w:t>
      </w:r>
      <w:r>
        <w:rPr>
          <w:b/>
          <w:bCs/>
          <w:sz w:val="20"/>
          <w:szCs w:val="20"/>
        </w:rPr>
        <w:t>3.</w:t>
      </w:r>
      <w:r w:rsidRPr="00DF07F3">
        <w:rPr>
          <w:b/>
          <w:bCs/>
          <w:sz w:val="20"/>
          <w:szCs w:val="20"/>
        </w:rPr>
        <w:t xml:space="preserve"> </w:t>
      </w:r>
      <w:r w:rsidRPr="008D7E43">
        <w:rPr>
          <w:sz w:val="20"/>
          <w:szCs w:val="20"/>
        </w:rPr>
        <w:t>Time series of annual mean oceanic currents in the upper 50 m entering the Arctic via the Barents Sea Opening (red) and Fram Strait (yellow) from 1979 to 2020. Solid lines indicate ORAS5 reanalysis estimates; dotted lines represent CESM1 LE ensemble means. Shaded areas denote ±1 standard deviation from the CESM1 LE.</w:t>
      </w:r>
    </w:p>
    <w:p w14:paraId="4F471CDD" w14:textId="77777777" w:rsidR="001922C8" w:rsidRPr="001922C8" w:rsidRDefault="001922C8" w:rsidP="00515423">
      <w:pPr>
        <w:jc w:val="center"/>
        <w:rPr>
          <w:rFonts w:ascii="Times New Roman" w:hAnsi="Times New Roman" w:cs="Times New Roman"/>
          <w:sz w:val="20"/>
          <w:szCs w:val="20"/>
        </w:rPr>
      </w:pPr>
    </w:p>
    <w:p w14:paraId="02A56355" w14:textId="4936A252" w:rsidR="001922C8" w:rsidRDefault="001922C8" w:rsidP="00515423">
      <w:pPr>
        <w:jc w:val="center"/>
        <w:rPr>
          <w:rFonts w:ascii="Times New Roman" w:hAnsi="Times New Roman" w:cs="Times New Roman"/>
          <w:sz w:val="20"/>
          <w:szCs w:val="20"/>
        </w:rPr>
      </w:pPr>
    </w:p>
    <w:p w14:paraId="4FFE01D3" w14:textId="3C6716A8" w:rsidR="00DB5AC2" w:rsidRPr="00DB5AC2" w:rsidRDefault="0016002A" w:rsidP="00DB5AC2">
      <w:pPr>
        <w:pStyle w:val="Heading-Main"/>
        <w:rPr>
          <w:sz w:val="20"/>
          <w:szCs w:val="20"/>
        </w:rPr>
      </w:pPr>
      <w:r>
        <w:rPr>
          <w:rFonts w:hint="eastAsia"/>
          <w:sz w:val="20"/>
          <w:szCs w:val="20"/>
          <w:lang w:eastAsia="zh-CN"/>
        </w:rPr>
        <w:lastRenderedPageBreak/>
        <w:t>Su</w:t>
      </w:r>
      <w:r>
        <w:rPr>
          <w:sz w:val="20"/>
          <w:szCs w:val="20"/>
          <w:lang w:eastAsia="zh-CN"/>
        </w:rPr>
        <w:t>pplementary Figures</w:t>
      </w:r>
    </w:p>
    <w:p w14:paraId="7CC92C86" w14:textId="266B6F9B" w:rsidR="00CA4298" w:rsidRPr="00C147CE" w:rsidRDefault="004602BB" w:rsidP="00515423">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4D1C919B" wp14:editId="2AD09256">
            <wp:extent cx="4770432" cy="1640877"/>
            <wp:effectExtent l="0" t="0" r="5080" b="0"/>
            <wp:docPr id="2" name="图片 2"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包含 图表&#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87149" cy="1646627"/>
                    </a:xfrm>
                    <a:prstGeom prst="rect">
                      <a:avLst/>
                    </a:prstGeom>
                  </pic:spPr>
                </pic:pic>
              </a:graphicData>
            </a:graphic>
          </wp:inline>
        </w:drawing>
      </w:r>
    </w:p>
    <w:p w14:paraId="7BDB1D20" w14:textId="36C4716F" w:rsidR="00CA4298" w:rsidRPr="00C147CE" w:rsidRDefault="00CA4298" w:rsidP="00CA4298">
      <w:pPr>
        <w:rPr>
          <w:rFonts w:ascii="Times New Roman" w:hAnsi="Times New Roman" w:cs="Times New Roman"/>
          <w:sz w:val="20"/>
          <w:szCs w:val="20"/>
        </w:rPr>
      </w:pPr>
      <w:r w:rsidRPr="00C147CE">
        <w:rPr>
          <w:rFonts w:ascii="Times New Roman" w:hAnsi="Times New Roman" w:cs="Times New Roman"/>
          <w:b/>
          <w:bCs/>
          <w:sz w:val="20"/>
          <w:szCs w:val="20"/>
        </w:rPr>
        <w:t>Fig</w:t>
      </w:r>
      <w:r w:rsidR="007174A3">
        <w:rPr>
          <w:rFonts w:ascii="Times New Roman" w:hAnsi="Times New Roman" w:cs="Times New Roman"/>
          <w:b/>
          <w:bCs/>
          <w:sz w:val="20"/>
          <w:szCs w:val="20"/>
        </w:rPr>
        <w:t>.</w:t>
      </w:r>
      <w:r w:rsidRPr="00C147CE">
        <w:rPr>
          <w:rFonts w:ascii="Times New Roman" w:hAnsi="Times New Roman" w:cs="Times New Roman"/>
          <w:b/>
          <w:bCs/>
          <w:sz w:val="20"/>
          <w:szCs w:val="20"/>
        </w:rPr>
        <w:t xml:space="preserve"> </w:t>
      </w:r>
      <w:r w:rsidR="00696B56" w:rsidRPr="00C147CE">
        <w:rPr>
          <w:rFonts w:ascii="Times New Roman" w:hAnsi="Times New Roman" w:cs="Times New Roman"/>
          <w:b/>
          <w:bCs/>
          <w:sz w:val="20"/>
          <w:szCs w:val="20"/>
        </w:rPr>
        <w:t>S</w:t>
      </w:r>
      <w:r w:rsidR="007174A3">
        <w:rPr>
          <w:rFonts w:ascii="Times New Roman" w:hAnsi="Times New Roman" w:cs="Times New Roman"/>
          <w:b/>
          <w:bCs/>
          <w:sz w:val="20"/>
          <w:szCs w:val="20"/>
        </w:rPr>
        <w:t>4</w:t>
      </w:r>
      <w:r w:rsidRPr="00C147CE">
        <w:rPr>
          <w:rFonts w:ascii="Times New Roman" w:hAnsi="Times New Roman" w:cs="Times New Roman"/>
          <w:b/>
          <w:bCs/>
          <w:sz w:val="20"/>
          <w:szCs w:val="20"/>
        </w:rPr>
        <w:t>.</w:t>
      </w:r>
      <w:r w:rsidR="00AB09CA">
        <w:rPr>
          <w:rFonts w:ascii="Times New Roman" w:hAnsi="Times New Roman" w:cs="Times New Roman"/>
          <w:b/>
          <w:bCs/>
          <w:sz w:val="20"/>
          <w:szCs w:val="20"/>
        </w:rPr>
        <w:t xml:space="preserve"> </w:t>
      </w:r>
      <w:r w:rsidRPr="00C147CE">
        <w:rPr>
          <w:rFonts w:ascii="Times New Roman" w:hAnsi="Times New Roman" w:cs="Times New Roman"/>
          <w:sz w:val="20"/>
          <w:szCs w:val="20"/>
        </w:rPr>
        <w:t xml:space="preserve">Linearly detrended </w:t>
      </w:r>
      <w:r w:rsidR="00AA73B8">
        <w:rPr>
          <w:rFonts w:ascii="Times New Roman" w:hAnsi="Times New Roman" w:cs="Times New Roman"/>
          <w:sz w:val="20"/>
          <w:szCs w:val="20"/>
        </w:rPr>
        <w:t>SAT</w:t>
      </w:r>
      <w:r w:rsidRPr="00C147CE">
        <w:rPr>
          <w:rFonts w:ascii="Times New Roman" w:hAnsi="Times New Roman" w:cs="Times New Roman"/>
          <w:sz w:val="20"/>
          <w:szCs w:val="20"/>
        </w:rPr>
        <w:t xml:space="preserve"> anomalies (K) for each 5-degree latitude band for the 21st century, based on the GFDL-CM3 Large Ensemble means.</w:t>
      </w:r>
    </w:p>
    <w:p w14:paraId="1C562A77" w14:textId="77777777" w:rsidR="008641DC" w:rsidRPr="008641DC" w:rsidRDefault="008641DC" w:rsidP="008641DC">
      <w:pPr>
        <w:rPr>
          <w:rFonts w:ascii="Times New Roman" w:hAnsi="Times New Roman" w:cs="Times New Roman"/>
          <w:sz w:val="20"/>
          <w:szCs w:val="20"/>
        </w:rPr>
      </w:pPr>
    </w:p>
    <w:p w14:paraId="33822C1D" w14:textId="77777777" w:rsidR="008641DC" w:rsidRPr="008641DC" w:rsidRDefault="008641DC" w:rsidP="008641DC">
      <w:pPr>
        <w:rPr>
          <w:rFonts w:ascii="Times New Roman" w:hAnsi="Times New Roman" w:cs="Times New Roman"/>
          <w:sz w:val="20"/>
          <w:szCs w:val="20"/>
        </w:rPr>
      </w:pPr>
    </w:p>
    <w:p w14:paraId="599FD6C6" w14:textId="77777777" w:rsidR="008641DC" w:rsidRDefault="008641DC" w:rsidP="004A4BD5">
      <w:pPr>
        <w:rPr>
          <w:rFonts w:ascii="Times New Roman" w:hAnsi="Times New Roman" w:cs="Times New Roman"/>
          <w:sz w:val="20"/>
          <w:szCs w:val="20"/>
        </w:rPr>
      </w:pPr>
    </w:p>
    <w:p w14:paraId="5704FE21" w14:textId="77777777" w:rsidR="008641DC" w:rsidRDefault="008641DC" w:rsidP="008641DC">
      <w:pPr>
        <w:jc w:val="center"/>
        <w:rPr>
          <w:rFonts w:ascii="Times New Roman" w:hAnsi="Times New Roman" w:cs="Times New Roman"/>
          <w:sz w:val="20"/>
          <w:szCs w:val="20"/>
        </w:rPr>
      </w:pPr>
    </w:p>
    <w:p w14:paraId="19B5594D" w14:textId="63FF5FA4" w:rsidR="00291F04" w:rsidRPr="00C147CE" w:rsidRDefault="004A4BD5" w:rsidP="004A4BD5">
      <w:pPr>
        <w:rPr>
          <w:rFonts w:ascii="Times New Roman" w:hAnsi="Times New Roman" w:cs="Times New Roman"/>
          <w:sz w:val="20"/>
          <w:szCs w:val="20"/>
        </w:rPr>
      </w:pPr>
      <w:r w:rsidRPr="008641DC">
        <w:rPr>
          <w:rFonts w:ascii="Times New Roman" w:hAnsi="Times New Roman" w:cs="Times New Roman"/>
          <w:sz w:val="20"/>
          <w:szCs w:val="20"/>
        </w:rPr>
        <w:br w:type="page"/>
      </w:r>
      <w:r w:rsidR="00856511">
        <w:rPr>
          <w:rFonts w:ascii="Times New Roman" w:hAnsi="Times New Roman" w:cs="Times New Roman"/>
          <w:noProof/>
          <w:sz w:val="20"/>
          <w:szCs w:val="20"/>
        </w:rPr>
        <w:lastRenderedPageBreak/>
        <w:drawing>
          <wp:inline distT="0" distB="0" distL="0" distR="0" wp14:anchorId="203A0AA3" wp14:editId="7F2FE749">
            <wp:extent cx="5274310" cy="3515995"/>
            <wp:effectExtent l="0" t="0" r="0" b="1905"/>
            <wp:docPr id="12" name="图片 12"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包含 图表&#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14:paraId="7A3B0D5D" w14:textId="1EC466E3" w:rsidR="00E35CF0" w:rsidRPr="00C147CE" w:rsidRDefault="00767525" w:rsidP="00E35CF0">
      <w:pPr>
        <w:rPr>
          <w:rFonts w:ascii="Times New Roman" w:hAnsi="Times New Roman" w:cs="Times New Roman"/>
          <w:sz w:val="20"/>
          <w:szCs w:val="20"/>
        </w:rPr>
      </w:pPr>
      <w:r w:rsidRPr="00C147CE">
        <w:rPr>
          <w:rFonts w:ascii="Times New Roman" w:hAnsi="Times New Roman" w:cs="Times New Roman"/>
          <w:b/>
          <w:bCs/>
          <w:sz w:val="20"/>
          <w:szCs w:val="20"/>
        </w:rPr>
        <w:t>Fig</w:t>
      </w:r>
      <w:r w:rsidR="007174A3">
        <w:rPr>
          <w:rFonts w:ascii="Times New Roman" w:hAnsi="Times New Roman" w:cs="Times New Roman"/>
          <w:b/>
          <w:bCs/>
          <w:sz w:val="20"/>
          <w:szCs w:val="20"/>
        </w:rPr>
        <w:t>.</w:t>
      </w:r>
      <w:r w:rsidRPr="00C147CE">
        <w:rPr>
          <w:rFonts w:ascii="Times New Roman" w:hAnsi="Times New Roman" w:cs="Times New Roman"/>
          <w:b/>
          <w:bCs/>
          <w:sz w:val="20"/>
          <w:szCs w:val="20"/>
        </w:rPr>
        <w:t xml:space="preserve"> </w:t>
      </w:r>
      <w:r w:rsidR="00696B56" w:rsidRPr="00C147CE">
        <w:rPr>
          <w:rFonts w:ascii="Times New Roman" w:hAnsi="Times New Roman" w:cs="Times New Roman"/>
          <w:b/>
          <w:bCs/>
          <w:sz w:val="20"/>
          <w:szCs w:val="20"/>
        </w:rPr>
        <w:t>S</w:t>
      </w:r>
      <w:r w:rsidR="007174A3">
        <w:rPr>
          <w:rFonts w:ascii="Times New Roman" w:hAnsi="Times New Roman" w:cs="Times New Roman"/>
          <w:b/>
          <w:bCs/>
          <w:sz w:val="20"/>
          <w:szCs w:val="20"/>
        </w:rPr>
        <w:t>5</w:t>
      </w:r>
      <w:r w:rsidRPr="00C147CE">
        <w:rPr>
          <w:rFonts w:ascii="Times New Roman" w:hAnsi="Times New Roman" w:cs="Times New Roman"/>
          <w:b/>
          <w:bCs/>
          <w:sz w:val="20"/>
          <w:szCs w:val="20"/>
        </w:rPr>
        <w:t>.</w:t>
      </w:r>
      <w:r w:rsidRPr="00C147CE">
        <w:rPr>
          <w:rFonts w:ascii="Times New Roman" w:hAnsi="Times New Roman" w:cs="Times New Roman"/>
          <w:sz w:val="20"/>
          <w:szCs w:val="20"/>
        </w:rPr>
        <w:t xml:space="preserve"> </w:t>
      </w:r>
      <w:r w:rsidR="00E35CF0" w:rsidRPr="00C147CE">
        <w:rPr>
          <w:rFonts w:ascii="Times New Roman" w:hAnsi="Times New Roman" w:cs="Times New Roman"/>
          <w:sz w:val="20"/>
          <w:szCs w:val="20"/>
        </w:rPr>
        <w:t xml:space="preserve">Histograms of lead-lag correlation peaks between temperature contributions from individual processes—(a) albedo feedback, (b) lapse rate feedback, (c) Planck feedback, (d) water vapor feedback, (e) OHT, and (f) AHT—and multi-decadal Arctic surface temperature </w:t>
      </w:r>
      <w:r w:rsidR="004148F4" w:rsidRPr="00C147CE">
        <w:rPr>
          <w:rFonts w:ascii="Times New Roman" w:hAnsi="Times New Roman" w:cs="Times New Roman"/>
          <w:sz w:val="20"/>
          <w:szCs w:val="20"/>
        </w:rPr>
        <w:t>anomalie</w:t>
      </w:r>
      <w:r w:rsidR="00E35CF0" w:rsidRPr="00C147CE">
        <w:rPr>
          <w:rFonts w:ascii="Times New Roman" w:hAnsi="Times New Roman" w:cs="Times New Roman"/>
          <w:sz w:val="20"/>
          <w:szCs w:val="20"/>
        </w:rPr>
        <w:t>s in CESM1 LE for the 21st century.</w:t>
      </w:r>
    </w:p>
    <w:p w14:paraId="25168CD4" w14:textId="77777777" w:rsidR="00767525" w:rsidRPr="00C147CE" w:rsidRDefault="00767525" w:rsidP="004A4BD5">
      <w:pPr>
        <w:rPr>
          <w:rFonts w:ascii="Times New Roman" w:hAnsi="Times New Roman" w:cs="Times New Roman"/>
          <w:sz w:val="20"/>
          <w:szCs w:val="20"/>
        </w:rPr>
      </w:pPr>
    </w:p>
    <w:p w14:paraId="29EBC630" w14:textId="0B427B3B" w:rsidR="00E63D47" w:rsidRPr="00C147CE" w:rsidRDefault="00E63D47">
      <w:pPr>
        <w:rPr>
          <w:rFonts w:ascii="Times New Roman" w:hAnsi="Times New Roman" w:cs="Times New Roman"/>
          <w:sz w:val="20"/>
          <w:szCs w:val="20"/>
        </w:rPr>
      </w:pPr>
      <w:r w:rsidRPr="00C147CE">
        <w:rPr>
          <w:rFonts w:ascii="Times New Roman" w:hAnsi="Times New Roman" w:cs="Times New Roman"/>
          <w:sz w:val="20"/>
          <w:szCs w:val="20"/>
        </w:rPr>
        <w:br w:type="page"/>
      </w:r>
    </w:p>
    <w:p w14:paraId="679CD1FD" w14:textId="51826A89" w:rsidR="00CD2027" w:rsidRPr="00C147CE" w:rsidRDefault="00856511" w:rsidP="00CD2027">
      <w:pP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5184396C" wp14:editId="191BA670">
            <wp:extent cx="5274310" cy="3515995"/>
            <wp:effectExtent l="0" t="0" r="0" b="1905"/>
            <wp:docPr id="13" name="图片 13" descr="图表&#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表&#10;&#10;低可信度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14:paraId="0630C5F5" w14:textId="644CC8C0" w:rsidR="00CD2027" w:rsidRPr="00C147CE" w:rsidRDefault="00CD2027" w:rsidP="00CD2027">
      <w:pPr>
        <w:rPr>
          <w:rFonts w:ascii="Times New Roman" w:hAnsi="Times New Roman" w:cs="Times New Roman"/>
          <w:sz w:val="20"/>
          <w:szCs w:val="20"/>
        </w:rPr>
      </w:pPr>
      <w:r w:rsidRPr="00C147CE">
        <w:rPr>
          <w:rFonts w:ascii="Times New Roman" w:hAnsi="Times New Roman" w:cs="Times New Roman"/>
          <w:b/>
          <w:bCs/>
          <w:sz w:val="20"/>
          <w:szCs w:val="20"/>
        </w:rPr>
        <w:t>Fig</w:t>
      </w:r>
      <w:r w:rsidR="00790563">
        <w:rPr>
          <w:rFonts w:ascii="Times New Roman" w:hAnsi="Times New Roman" w:cs="Times New Roman"/>
          <w:b/>
          <w:bCs/>
          <w:sz w:val="20"/>
          <w:szCs w:val="20"/>
        </w:rPr>
        <w:t>.</w:t>
      </w:r>
      <w:r w:rsidRPr="00C147CE">
        <w:rPr>
          <w:rFonts w:ascii="Times New Roman" w:hAnsi="Times New Roman" w:cs="Times New Roman"/>
          <w:b/>
          <w:bCs/>
          <w:sz w:val="20"/>
          <w:szCs w:val="20"/>
        </w:rPr>
        <w:t xml:space="preserve"> </w:t>
      </w:r>
      <w:r w:rsidR="00696B56" w:rsidRPr="00C147CE">
        <w:rPr>
          <w:rFonts w:ascii="Times New Roman" w:hAnsi="Times New Roman" w:cs="Times New Roman"/>
          <w:b/>
          <w:bCs/>
          <w:sz w:val="20"/>
          <w:szCs w:val="20"/>
        </w:rPr>
        <w:t>S</w:t>
      </w:r>
      <w:r w:rsidR="00790563">
        <w:rPr>
          <w:rFonts w:ascii="Times New Roman" w:hAnsi="Times New Roman" w:cs="Times New Roman"/>
          <w:b/>
          <w:bCs/>
          <w:sz w:val="20"/>
          <w:szCs w:val="20"/>
        </w:rPr>
        <w:t>6</w:t>
      </w:r>
      <w:r w:rsidRPr="00C147CE">
        <w:rPr>
          <w:rFonts w:ascii="Times New Roman" w:hAnsi="Times New Roman" w:cs="Times New Roman"/>
          <w:b/>
          <w:bCs/>
          <w:sz w:val="20"/>
          <w:szCs w:val="20"/>
        </w:rPr>
        <w:t>.</w:t>
      </w:r>
      <w:r w:rsidRPr="00C147CE">
        <w:rPr>
          <w:rFonts w:ascii="Times New Roman" w:hAnsi="Times New Roman" w:cs="Times New Roman"/>
          <w:sz w:val="20"/>
          <w:szCs w:val="20"/>
        </w:rPr>
        <w:t xml:space="preserve"> Histograms of lead-lag correlation peaks between temperature contributions from individual processes—(a) albedo feedback, (b) lapse rate feedback, (c) Planck feedback, (d) water vapor feedback, (e) OHT, and (f) AHT—and Arctic surface temperature deviations in CESM1 LE for the 21st century.</w:t>
      </w:r>
    </w:p>
    <w:p w14:paraId="107E327F" w14:textId="77777777" w:rsidR="00B04CEB" w:rsidRPr="00C147CE" w:rsidRDefault="00B04CEB">
      <w:pPr>
        <w:rPr>
          <w:rFonts w:ascii="Times New Roman" w:hAnsi="Times New Roman" w:cs="Times New Roman"/>
          <w:sz w:val="20"/>
          <w:szCs w:val="20"/>
        </w:rPr>
      </w:pPr>
    </w:p>
    <w:p w14:paraId="56120A91" w14:textId="77777777" w:rsidR="00856511" w:rsidRDefault="00856511">
      <w:pPr>
        <w:rPr>
          <w:rFonts w:ascii="Times New Roman" w:hAnsi="Times New Roman" w:cs="Times New Roman"/>
          <w:sz w:val="20"/>
          <w:szCs w:val="20"/>
        </w:rPr>
      </w:pPr>
      <w:r>
        <w:rPr>
          <w:rFonts w:ascii="Times New Roman" w:hAnsi="Times New Roman" w:cs="Times New Roman"/>
          <w:sz w:val="20"/>
          <w:szCs w:val="20"/>
        </w:rPr>
        <w:br w:type="page"/>
      </w:r>
    </w:p>
    <w:p w14:paraId="2E043638" w14:textId="2A10CC8F" w:rsidR="00685924" w:rsidRPr="00C30614" w:rsidRDefault="00856511" w:rsidP="00823CEE">
      <w:pPr>
        <w:jc w:val="cente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1D240A6C" wp14:editId="7A9DFB30">
            <wp:extent cx="5274310" cy="6593205"/>
            <wp:effectExtent l="0" t="0" r="0" b="0"/>
            <wp:docPr id="14" name="图片 14"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包含 游戏机&#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6593205"/>
                    </a:xfrm>
                    <a:prstGeom prst="rect">
                      <a:avLst/>
                    </a:prstGeom>
                  </pic:spPr>
                </pic:pic>
              </a:graphicData>
            </a:graphic>
          </wp:inline>
        </w:drawing>
      </w:r>
    </w:p>
    <w:p w14:paraId="76006854" w14:textId="009B384A" w:rsidR="00E63D47" w:rsidRPr="00C147CE" w:rsidRDefault="00E63D47" w:rsidP="00E63D47">
      <w:pPr>
        <w:rPr>
          <w:rFonts w:ascii="Times New Roman" w:hAnsi="Times New Roman" w:cs="Times New Roman"/>
          <w:sz w:val="20"/>
          <w:szCs w:val="20"/>
        </w:rPr>
      </w:pPr>
      <w:r w:rsidRPr="00C147CE">
        <w:rPr>
          <w:rFonts w:ascii="Times New Roman" w:hAnsi="Times New Roman" w:cs="Times New Roman"/>
          <w:b/>
          <w:bCs/>
          <w:sz w:val="20"/>
          <w:szCs w:val="20"/>
        </w:rPr>
        <w:t>Fig</w:t>
      </w:r>
      <w:r w:rsidR="00790563">
        <w:rPr>
          <w:rFonts w:ascii="Times New Roman" w:hAnsi="Times New Roman" w:cs="Times New Roman"/>
          <w:b/>
          <w:bCs/>
          <w:sz w:val="20"/>
          <w:szCs w:val="20"/>
        </w:rPr>
        <w:t>.</w:t>
      </w:r>
      <w:r w:rsidRPr="00C147CE">
        <w:rPr>
          <w:rFonts w:ascii="Times New Roman" w:hAnsi="Times New Roman" w:cs="Times New Roman"/>
          <w:b/>
          <w:bCs/>
          <w:sz w:val="20"/>
          <w:szCs w:val="20"/>
        </w:rPr>
        <w:t xml:space="preserve"> S</w:t>
      </w:r>
      <w:r w:rsidR="00790563">
        <w:rPr>
          <w:rFonts w:ascii="Times New Roman" w:hAnsi="Times New Roman" w:cs="Times New Roman"/>
          <w:b/>
          <w:bCs/>
          <w:sz w:val="20"/>
          <w:szCs w:val="20"/>
        </w:rPr>
        <w:t>7</w:t>
      </w:r>
      <w:r w:rsidRPr="00C147CE">
        <w:rPr>
          <w:rFonts w:ascii="Times New Roman" w:hAnsi="Times New Roman" w:cs="Times New Roman"/>
          <w:b/>
          <w:bCs/>
          <w:sz w:val="20"/>
          <w:szCs w:val="20"/>
        </w:rPr>
        <w:t>.</w:t>
      </w:r>
      <w:r w:rsidRPr="00C147CE">
        <w:rPr>
          <w:rFonts w:ascii="Times New Roman" w:hAnsi="Times New Roman" w:cs="Times New Roman"/>
          <w:sz w:val="20"/>
          <w:szCs w:val="20"/>
        </w:rPr>
        <w:t xml:space="preserve"> Lead-lag correlations between the temperature contributions from each process and Arctic temperature </w:t>
      </w:r>
      <w:r w:rsidR="002743EF" w:rsidRPr="00C147CE">
        <w:rPr>
          <w:rFonts w:ascii="Times New Roman" w:hAnsi="Times New Roman" w:cs="Times New Roman"/>
          <w:sz w:val="20"/>
          <w:szCs w:val="20"/>
        </w:rPr>
        <w:t>deviation</w:t>
      </w:r>
      <w:r w:rsidRPr="00C147CE">
        <w:rPr>
          <w:rFonts w:ascii="Times New Roman" w:hAnsi="Times New Roman" w:cs="Times New Roman"/>
          <w:sz w:val="20"/>
          <w:szCs w:val="20"/>
        </w:rPr>
        <w:t xml:space="preserve">s </w:t>
      </w:r>
      <w:r w:rsidR="00897A21" w:rsidRPr="00C147CE">
        <w:rPr>
          <w:rFonts w:ascii="Times New Roman" w:hAnsi="Times New Roman" w:cs="Times New Roman"/>
          <w:sz w:val="20"/>
          <w:szCs w:val="20"/>
        </w:rPr>
        <w:t>during</w:t>
      </w:r>
      <w:r w:rsidRPr="00C147CE">
        <w:rPr>
          <w:rFonts w:ascii="Times New Roman" w:hAnsi="Times New Roman" w:cs="Times New Roman"/>
          <w:sz w:val="20"/>
          <w:szCs w:val="20"/>
        </w:rPr>
        <w:t xml:space="preserve"> the 2</w:t>
      </w:r>
      <w:r w:rsidR="00897A21" w:rsidRPr="00C147CE">
        <w:rPr>
          <w:rFonts w:ascii="Times New Roman" w:hAnsi="Times New Roman" w:cs="Times New Roman"/>
          <w:sz w:val="20"/>
          <w:szCs w:val="20"/>
        </w:rPr>
        <w:t>1st</w:t>
      </w:r>
      <w:r w:rsidRPr="00C147CE">
        <w:rPr>
          <w:rFonts w:ascii="Times New Roman" w:hAnsi="Times New Roman" w:cs="Times New Roman"/>
          <w:sz w:val="20"/>
          <w:szCs w:val="20"/>
        </w:rPr>
        <w:t xml:space="preserve"> century. The x-axis represents time in years, with negative (positive) values indicating that Arctic temperature </w:t>
      </w:r>
      <w:r w:rsidR="002743EF" w:rsidRPr="00C147CE">
        <w:rPr>
          <w:rFonts w:ascii="Times New Roman" w:hAnsi="Times New Roman" w:cs="Times New Roman"/>
          <w:sz w:val="20"/>
          <w:szCs w:val="20"/>
        </w:rPr>
        <w:t>deviations</w:t>
      </w:r>
      <w:r w:rsidRPr="00C147CE">
        <w:rPr>
          <w:rFonts w:ascii="Times New Roman" w:hAnsi="Times New Roman" w:cs="Times New Roman"/>
          <w:sz w:val="20"/>
          <w:szCs w:val="20"/>
        </w:rPr>
        <w:t xml:space="preserve"> lag (lead) other time series. Processes include albedo (red), lapse rate (orange), Planck (yellow), water vapor (green), cloud (light blue) feedbacks, OHT (black), and AHT (purple)</w:t>
      </w:r>
      <w:r w:rsidR="00D94BA3" w:rsidRPr="00C147CE">
        <w:rPr>
          <w:rFonts w:ascii="Times New Roman" w:hAnsi="Times New Roman" w:cs="Times New Roman"/>
          <w:sz w:val="20"/>
          <w:szCs w:val="20"/>
        </w:rPr>
        <w:t xml:space="preserve">, based on </w:t>
      </w:r>
      <w:r w:rsidR="00F66468" w:rsidRPr="00C147CE">
        <w:rPr>
          <w:rFonts w:ascii="Times New Roman" w:hAnsi="Times New Roman" w:cs="Times New Roman"/>
          <w:sz w:val="20"/>
          <w:szCs w:val="20"/>
        </w:rPr>
        <w:t xml:space="preserve">40 members from </w:t>
      </w:r>
      <w:r w:rsidR="00D94BA3" w:rsidRPr="00C147CE">
        <w:rPr>
          <w:rFonts w:ascii="Times New Roman" w:hAnsi="Times New Roman" w:cs="Times New Roman"/>
          <w:sz w:val="20"/>
          <w:szCs w:val="20"/>
        </w:rPr>
        <w:t xml:space="preserve">CESM1 LE. </w:t>
      </w:r>
    </w:p>
    <w:p w14:paraId="2A5ABC8E" w14:textId="4792D00A" w:rsidR="00E63D47" w:rsidRPr="00C147CE" w:rsidRDefault="00E63D47" w:rsidP="00685924">
      <w:pPr>
        <w:rPr>
          <w:rFonts w:ascii="Times New Roman" w:hAnsi="Times New Roman" w:cs="Times New Roman"/>
          <w:sz w:val="20"/>
          <w:szCs w:val="20"/>
        </w:rPr>
      </w:pPr>
    </w:p>
    <w:p w14:paraId="6643F8AE" w14:textId="5463EC7F" w:rsidR="00E63D47" w:rsidRPr="00C147CE" w:rsidRDefault="00E63D47">
      <w:pPr>
        <w:rPr>
          <w:rFonts w:ascii="Times New Roman" w:hAnsi="Times New Roman" w:cs="Times New Roman"/>
          <w:sz w:val="20"/>
          <w:szCs w:val="20"/>
        </w:rPr>
      </w:pPr>
      <w:r w:rsidRPr="00C147CE">
        <w:rPr>
          <w:rFonts w:ascii="Times New Roman" w:hAnsi="Times New Roman" w:cs="Times New Roman"/>
          <w:sz w:val="20"/>
          <w:szCs w:val="20"/>
        </w:rPr>
        <w:br w:type="page"/>
      </w:r>
    </w:p>
    <w:p w14:paraId="19A7C980" w14:textId="3B88971E" w:rsidR="008B217C" w:rsidRDefault="004602BB" w:rsidP="00823CEE">
      <w:pPr>
        <w:jc w:val="cente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021A20DC" wp14:editId="2ED9C6FD">
            <wp:extent cx="5274310" cy="2197735"/>
            <wp:effectExtent l="0" t="0" r="0" b="0"/>
            <wp:docPr id="5" name="图片 5" descr="图表, 折线图, 直方图,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表, 折线图, 直方图, 散点图&#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2197735"/>
                    </a:xfrm>
                    <a:prstGeom prst="rect">
                      <a:avLst/>
                    </a:prstGeom>
                  </pic:spPr>
                </pic:pic>
              </a:graphicData>
            </a:graphic>
          </wp:inline>
        </w:drawing>
      </w:r>
    </w:p>
    <w:p w14:paraId="44828540" w14:textId="5435B8BC" w:rsidR="00D62878" w:rsidRPr="00D62878" w:rsidRDefault="008B217C" w:rsidP="00904E3E">
      <w:pPr>
        <w:rPr>
          <w:rFonts w:ascii="Times New Roman" w:hAnsi="Times New Roman" w:cs="Times New Roman"/>
          <w:sz w:val="20"/>
          <w:szCs w:val="20"/>
        </w:rPr>
      </w:pPr>
      <w:r w:rsidRPr="00823CEE">
        <w:rPr>
          <w:rFonts w:ascii="Times New Roman" w:hAnsi="Times New Roman" w:cs="Times New Roman"/>
          <w:b/>
          <w:bCs/>
          <w:sz w:val="20"/>
          <w:szCs w:val="20"/>
        </w:rPr>
        <w:t>Fig</w:t>
      </w:r>
      <w:r w:rsidR="00FC2117">
        <w:rPr>
          <w:rFonts w:ascii="Times New Roman" w:hAnsi="Times New Roman" w:cs="Times New Roman"/>
          <w:b/>
          <w:bCs/>
          <w:sz w:val="20"/>
          <w:szCs w:val="20"/>
        </w:rPr>
        <w:t>.</w:t>
      </w:r>
      <w:r w:rsidRPr="00823CEE">
        <w:rPr>
          <w:rFonts w:ascii="Times New Roman" w:hAnsi="Times New Roman" w:cs="Times New Roman"/>
          <w:b/>
          <w:bCs/>
          <w:sz w:val="20"/>
          <w:szCs w:val="20"/>
        </w:rPr>
        <w:t xml:space="preserve"> S</w:t>
      </w:r>
      <w:r w:rsidR="00FC2117">
        <w:rPr>
          <w:rFonts w:ascii="Times New Roman" w:hAnsi="Times New Roman" w:cs="Times New Roman"/>
          <w:b/>
          <w:bCs/>
          <w:sz w:val="20"/>
          <w:szCs w:val="20"/>
        </w:rPr>
        <w:t>8</w:t>
      </w:r>
      <w:r w:rsidR="00BF4593" w:rsidRPr="00823CEE">
        <w:rPr>
          <w:rFonts w:ascii="Times New Roman" w:hAnsi="Times New Roman" w:cs="Times New Roman"/>
          <w:b/>
          <w:bCs/>
          <w:sz w:val="20"/>
          <w:szCs w:val="20"/>
        </w:rPr>
        <w:t>.</w:t>
      </w:r>
      <w:r w:rsidR="0034185A">
        <w:rPr>
          <w:rFonts w:ascii="Times New Roman" w:hAnsi="Times New Roman" w:cs="Times New Roman" w:hint="eastAsia"/>
          <w:sz w:val="20"/>
          <w:szCs w:val="20"/>
        </w:rPr>
        <w:t xml:space="preserve"> </w:t>
      </w:r>
      <w:r w:rsidR="00D62878" w:rsidRPr="00D62878">
        <w:rPr>
          <w:rFonts w:ascii="Times New Roman" w:hAnsi="Times New Roman" w:cs="Times New Roman"/>
          <w:sz w:val="20"/>
          <w:szCs w:val="20"/>
        </w:rPr>
        <w:t xml:space="preserve">Time series of annual mean (a) </w:t>
      </w:r>
      <w:r w:rsidR="00BF4593">
        <w:rPr>
          <w:rFonts w:ascii="Times New Roman" w:hAnsi="Times New Roman" w:cs="Times New Roman"/>
          <w:sz w:val="20"/>
          <w:szCs w:val="20"/>
        </w:rPr>
        <w:t>OHT</w:t>
      </w:r>
      <w:r w:rsidR="00D62878" w:rsidRPr="00D62878">
        <w:rPr>
          <w:rFonts w:ascii="Times New Roman" w:hAnsi="Times New Roman" w:cs="Times New Roman"/>
          <w:sz w:val="20"/>
          <w:szCs w:val="20"/>
        </w:rPr>
        <w:t>, (</w:t>
      </w:r>
      <w:r w:rsidR="00BF4593">
        <w:rPr>
          <w:rFonts w:ascii="Times New Roman" w:hAnsi="Times New Roman" w:cs="Times New Roman"/>
          <w:sz w:val="20"/>
          <w:szCs w:val="20"/>
        </w:rPr>
        <w:t>b</w:t>
      </w:r>
      <w:r w:rsidR="00D62878" w:rsidRPr="00D62878">
        <w:rPr>
          <w:rFonts w:ascii="Times New Roman" w:hAnsi="Times New Roman" w:cs="Times New Roman"/>
          <w:sz w:val="20"/>
          <w:szCs w:val="20"/>
        </w:rPr>
        <w:t>) volume transport, and (</w:t>
      </w:r>
      <w:r w:rsidR="00BF4593">
        <w:rPr>
          <w:rFonts w:ascii="Times New Roman" w:hAnsi="Times New Roman" w:cs="Times New Roman"/>
          <w:sz w:val="20"/>
          <w:szCs w:val="20"/>
        </w:rPr>
        <w:t>c</w:t>
      </w:r>
      <w:r w:rsidR="00D62878" w:rsidRPr="00D62878">
        <w:rPr>
          <w:rFonts w:ascii="Times New Roman" w:hAnsi="Times New Roman" w:cs="Times New Roman"/>
          <w:sz w:val="20"/>
          <w:szCs w:val="20"/>
        </w:rPr>
        <w:t xml:space="preserve">) water </w:t>
      </w:r>
      <w:r w:rsidR="00BF4593">
        <w:rPr>
          <w:rFonts w:ascii="Times New Roman" w:hAnsi="Times New Roman" w:cs="Times New Roman"/>
          <w:sz w:val="20"/>
          <w:szCs w:val="20"/>
        </w:rPr>
        <w:t xml:space="preserve">mean </w:t>
      </w:r>
      <w:r w:rsidR="00D62878" w:rsidRPr="00D62878">
        <w:rPr>
          <w:rFonts w:ascii="Times New Roman" w:hAnsi="Times New Roman" w:cs="Times New Roman"/>
          <w:sz w:val="20"/>
          <w:szCs w:val="20"/>
        </w:rPr>
        <w:t xml:space="preserve">temperature at the three gateways for </w:t>
      </w:r>
      <w:r w:rsidR="00862F95">
        <w:rPr>
          <w:rFonts w:ascii="Times New Roman" w:hAnsi="Times New Roman" w:cs="Times New Roman"/>
          <w:sz w:val="20"/>
          <w:szCs w:val="20"/>
        </w:rPr>
        <w:t>CESM-LE</w:t>
      </w:r>
      <w:r w:rsidR="00CC3227">
        <w:rPr>
          <w:rFonts w:ascii="Times New Roman" w:hAnsi="Times New Roman" w:cs="Times New Roman"/>
          <w:sz w:val="20"/>
          <w:szCs w:val="20"/>
        </w:rPr>
        <w:t xml:space="preserve">. </w:t>
      </w:r>
      <w:r w:rsidR="00904E3E" w:rsidRPr="00D62878">
        <w:rPr>
          <w:rFonts w:ascii="Times New Roman" w:hAnsi="Times New Roman" w:cs="Times New Roman"/>
          <w:sz w:val="20"/>
          <w:szCs w:val="20"/>
        </w:rPr>
        <w:t>Barents Sea Opening</w:t>
      </w:r>
      <w:r w:rsidR="00904E3E">
        <w:rPr>
          <w:rFonts w:ascii="Times New Roman" w:hAnsi="Times New Roman" w:cs="Times New Roman"/>
          <w:sz w:val="20"/>
          <w:szCs w:val="20"/>
        </w:rPr>
        <w:t xml:space="preserve"> in red, </w:t>
      </w:r>
      <w:r w:rsidR="00904E3E" w:rsidRPr="00D62878">
        <w:rPr>
          <w:rFonts w:ascii="Times New Roman" w:hAnsi="Times New Roman" w:cs="Times New Roman"/>
          <w:sz w:val="20"/>
          <w:szCs w:val="20"/>
        </w:rPr>
        <w:t>Bering Strait</w:t>
      </w:r>
      <w:r w:rsidR="00904E3E">
        <w:rPr>
          <w:rFonts w:ascii="Times New Roman" w:hAnsi="Times New Roman" w:cs="Times New Roman"/>
          <w:sz w:val="20"/>
          <w:szCs w:val="20"/>
        </w:rPr>
        <w:t xml:space="preserve"> in purple, and Fram Strait in yellow. </w:t>
      </w:r>
    </w:p>
    <w:p w14:paraId="7DB30F0E" w14:textId="59559641" w:rsidR="008B217C" w:rsidRPr="00D62878" w:rsidRDefault="008B217C" w:rsidP="005824B2">
      <w:pPr>
        <w:rPr>
          <w:rFonts w:ascii="Times New Roman" w:hAnsi="Times New Roman" w:cs="Times New Roman"/>
          <w:sz w:val="20"/>
          <w:szCs w:val="20"/>
        </w:rPr>
      </w:pPr>
    </w:p>
    <w:p w14:paraId="4372135B" w14:textId="77777777" w:rsidR="008B217C" w:rsidRPr="008B217C" w:rsidRDefault="008B217C" w:rsidP="005824B2">
      <w:pPr>
        <w:rPr>
          <w:rFonts w:ascii="Times New Roman" w:hAnsi="Times New Roman" w:cs="Times New Roman"/>
          <w:sz w:val="20"/>
          <w:szCs w:val="20"/>
        </w:rPr>
      </w:pPr>
    </w:p>
    <w:p w14:paraId="2C57761B" w14:textId="77777777" w:rsidR="008B217C" w:rsidRDefault="008B217C">
      <w:pPr>
        <w:rPr>
          <w:rFonts w:ascii="Times New Roman" w:hAnsi="Times New Roman" w:cs="Times New Roman"/>
          <w:sz w:val="20"/>
          <w:szCs w:val="20"/>
        </w:rPr>
      </w:pPr>
      <w:r>
        <w:rPr>
          <w:rFonts w:ascii="Times New Roman" w:hAnsi="Times New Roman" w:cs="Times New Roman"/>
          <w:sz w:val="20"/>
          <w:szCs w:val="20"/>
        </w:rPr>
        <w:br w:type="page"/>
      </w:r>
    </w:p>
    <w:p w14:paraId="7D780F23" w14:textId="6845E653" w:rsidR="005824B2" w:rsidRPr="00C147CE" w:rsidRDefault="00DA2FF4" w:rsidP="005824B2">
      <w:pP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33157C0D" wp14:editId="6A201389">
            <wp:extent cx="5274310" cy="1406525"/>
            <wp:effectExtent l="0" t="0" r="0" b="3175"/>
            <wp:docPr id="17" name="图片 17"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表, 折线图&#10;&#10;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1406525"/>
                    </a:xfrm>
                    <a:prstGeom prst="rect">
                      <a:avLst/>
                    </a:prstGeom>
                  </pic:spPr>
                </pic:pic>
              </a:graphicData>
            </a:graphic>
          </wp:inline>
        </w:drawing>
      </w:r>
    </w:p>
    <w:p w14:paraId="75E68F58" w14:textId="6F979AF7" w:rsidR="00FE2769" w:rsidRPr="00C147CE" w:rsidRDefault="005824B2" w:rsidP="00FE2769">
      <w:pPr>
        <w:rPr>
          <w:rFonts w:ascii="Times New Roman" w:hAnsi="Times New Roman" w:cs="Times New Roman"/>
          <w:sz w:val="20"/>
          <w:szCs w:val="20"/>
        </w:rPr>
      </w:pPr>
      <w:r w:rsidRPr="00C147CE">
        <w:rPr>
          <w:rFonts w:ascii="Times New Roman" w:hAnsi="Times New Roman" w:cs="Times New Roman"/>
          <w:b/>
          <w:bCs/>
          <w:sz w:val="20"/>
          <w:szCs w:val="20"/>
        </w:rPr>
        <w:t>Fig</w:t>
      </w:r>
      <w:r w:rsidR="00FC2117">
        <w:rPr>
          <w:rFonts w:ascii="Times New Roman" w:hAnsi="Times New Roman" w:cs="Times New Roman"/>
          <w:b/>
          <w:bCs/>
          <w:sz w:val="20"/>
          <w:szCs w:val="20"/>
        </w:rPr>
        <w:t>.</w:t>
      </w:r>
      <w:r w:rsidRPr="00C147CE">
        <w:rPr>
          <w:rFonts w:ascii="Times New Roman" w:hAnsi="Times New Roman" w:cs="Times New Roman"/>
          <w:b/>
          <w:bCs/>
          <w:sz w:val="20"/>
          <w:szCs w:val="20"/>
        </w:rPr>
        <w:t xml:space="preserve"> S</w:t>
      </w:r>
      <w:r w:rsidR="00FC2117">
        <w:rPr>
          <w:rFonts w:ascii="Times New Roman" w:hAnsi="Times New Roman" w:cs="Times New Roman"/>
          <w:b/>
          <w:bCs/>
          <w:sz w:val="20"/>
          <w:szCs w:val="20"/>
        </w:rPr>
        <w:t>9</w:t>
      </w:r>
      <w:r w:rsidRPr="00C147CE">
        <w:rPr>
          <w:rFonts w:ascii="Times New Roman" w:hAnsi="Times New Roman" w:cs="Times New Roman"/>
          <w:b/>
          <w:bCs/>
          <w:sz w:val="20"/>
          <w:szCs w:val="20"/>
        </w:rPr>
        <w:t>.</w:t>
      </w:r>
      <w:r w:rsidRPr="00C147CE">
        <w:rPr>
          <w:rFonts w:ascii="Times New Roman" w:hAnsi="Times New Roman" w:cs="Times New Roman"/>
          <w:sz w:val="20"/>
          <w:szCs w:val="20"/>
        </w:rPr>
        <w:t xml:space="preserve"> Lead-lag correlations between </w:t>
      </w:r>
      <w:r w:rsidR="00096973" w:rsidRPr="00C147CE">
        <w:rPr>
          <w:rFonts w:ascii="Times New Roman" w:hAnsi="Times New Roman" w:cs="Times New Roman"/>
          <w:sz w:val="20"/>
          <w:szCs w:val="20"/>
        </w:rPr>
        <w:t>(a) 0–200 m and (b)</w:t>
      </w:r>
      <w:r w:rsidR="007C7A5D">
        <w:rPr>
          <w:rFonts w:ascii="Times New Roman" w:hAnsi="Times New Roman" w:cs="Times New Roman" w:hint="eastAsia"/>
          <w:sz w:val="20"/>
          <w:szCs w:val="20"/>
        </w:rPr>
        <w:t xml:space="preserve"> </w:t>
      </w:r>
      <w:r w:rsidR="00096973" w:rsidRPr="00C147CE">
        <w:rPr>
          <w:rFonts w:ascii="Times New Roman" w:hAnsi="Times New Roman" w:cs="Times New Roman"/>
          <w:sz w:val="20"/>
          <w:szCs w:val="20"/>
        </w:rPr>
        <w:t xml:space="preserve">0–300 m </w:t>
      </w:r>
      <w:r w:rsidRPr="00C147CE">
        <w:rPr>
          <w:rFonts w:ascii="Times New Roman" w:hAnsi="Times New Roman" w:cs="Times New Roman"/>
          <w:sz w:val="20"/>
          <w:szCs w:val="20"/>
        </w:rPr>
        <w:t>OHC anomal</w:t>
      </w:r>
      <w:r w:rsidR="00CE7E72" w:rsidRPr="00C147CE">
        <w:rPr>
          <w:rFonts w:ascii="Times New Roman" w:hAnsi="Times New Roman" w:cs="Times New Roman"/>
          <w:sz w:val="20"/>
          <w:szCs w:val="20"/>
        </w:rPr>
        <w:t>ies</w:t>
      </w:r>
      <w:r w:rsidRPr="00C147CE">
        <w:rPr>
          <w:rFonts w:ascii="Times New Roman" w:hAnsi="Times New Roman" w:cs="Times New Roman"/>
          <w:sz w:val="20"/>
          <w:szCs w:val="20"/>
        </w:rPr>
        <w:t xml:space="preserve"> in the </w:t>
      </w:r>
      <w:r w:rsidR="007B51FD" w:rsidRPr="00C147CE">
        <w:rPr>
          <w:rFonts w:ascii="Times New Roman" w:hAnsi="Times New Roman" w:cs="Times New Roman"/>
          <w:sz w:val="20"/>
          <w:szCs w:val="20"/>
        </w:rPr>
        <w:t xml:space="preserve">subpolar </w:t>
      </w:r>
      <w:r w:rsidRPr="00C147CE">
        <w:rPr>
          <w:rFonts w:ascii="Times New Roman" w:hAnsi="Times New Roman" w:cs="Times New Roman"/>
          <w:sz w:val="20"/>
          <w:szCs w:val="20"/>
        </w:rPr>
        <w:t xml:space="preserve">North Atlantic and the temperature contributions from OHT </w:t>
      </w:r>
      <w:r w:rsidR="00CE7E72" w:rsidRPr="00C147CE">
        <w:rPr>
          <w:rFonts w:ascii="Times New Roman" w:hAnsi="Times New Roman" w:cs="Times New Roman"/>
          <w:sz w:val="20"/>
          <w:szCs w:val="20"/>
        </w:rPr>
        <w:t xml:space="preserve">to Arctic temperature anomalies </w:t>
      </w:r>
      <w:r w:rsidRPr="00C147CE">
        <w:rPr>
          <w:rFonts w:ascii="Times New Roman" w:hAnsi="Times New Roman" w:cs="Times New Roman"/>
          <w:sz w:val="20"/>
          <w:szCs w:val="20"/>
        </w:rPr>
        <w:t>in the 21</w:t>
      </w:r>
      <w:r w:rsidR="00096973" w:rsidRPr="00C147CE">
        <w:rPr>
          <w:rFonts w:ascii="Times New Roman" w:hAnsi="Times New Roman" w:cs="Times New Roman"/>
          <w:sz w:val="20"/>
          <w:szCs w:val="20"/>
        </w:rPr>
        <w:t>st</w:t>
      </w:r>
      <w:r w:rsidRPr="00C147CE">
        <w:rPr>
          <w:rFonts w:ascii="Times New Roman" w:hAnsi="Times New Roman" w:cs="Times New Roman"/>
          <w:sz w:val="20"/>
          <w:szCs w:val="20"/>
        </w:rPr>
        <w:t xml:space="preserve"> century. The x-axis represents time in years, with negative (positive) values indicating that </w:t>
      </w:r>
      <w:r w:rsidR="007B51FD" w:rsidRPr="00C147CE">
        <w:rPr>
          <w:rFonts w:ascii="Times New Roman" w:hAnsi="Times New Roman" w:cs="Times New Roman"/>
          <w:sz w:val="20"/>
          <w:szCs w:val="20"/>
        </w:rPr>
        <w:t xml:space="preserve">subpolar </w:t>
      </w:r>
      <w:r w:rsidRPr="00C147CE">
        <w:rPr>
          <w:rFonts w:ascii="Times New Roman" w:hAnsi="Times New Roman" w:cs="Times New Roman"/>
          <w:sz w:val="20"/>
          <w:szCs w:val="20"/>
        </w:rPr>
        <w:t>North Atlantic OHC anomalies lead (lag) the OHT contributions.</w:t>
      </w:r>
    </w:p>
    <w:p w14:paraId="1F6D57D6" w14:textId="77777777" w:rsidR="00652A85" w:rsidRPr="00C147CE" w:rsidRDefault="00652A85" w:rsidP="00652A85">
      <w:pPr>
        <w:rPr>
          <w:rFonts w:ascii="Times New Roman" w:hAnsi="Times New Roman" w:cs="Times New Roman"/>
          <w:sz w:val="20"/>
          <w:szCs w:val="20"/>
        </w:rPr>
      </w:pPr>
    </w:p>
    <w:p w14:paraId="1AC9FEE0" w14:textId="14FD34C5" w:rsidR="00652A85" w:rsidRPr="00C147CE" w:rsidRDefault="00652A85" w:rsidP="00652A85">
      <w:pPr>
        <w:rPr>
          <w:rFonts w:ascii="Times New Roman" w:hAnsi="Times New Roman" w:cs="Times New Roman"/>
          <w:sz w:val="20"/>
          <w:szCs w:val="20"/>
        </w:rPr>
      </w:pPr>
    </w:p>
    <w:p w14:paraId="7C1BE91A" w14:textId="2AAF4DBA" w:rsidR="00EE416D" w:rsidRPr="00C147CE" w:rsidRDefault="00EE416D">
      <w:pPr>
        <w:rPr>
          <w:rFonts w:ascii="Times New Roman" w:hAnsi="Times New Roman" w:cs="Times New Roman"/>
          <w:sz w:val="20"/>
          <w:szCs w:val="20"/>
        </w:rPr>
      </w:pPr>
      <w:r w:rsidRPr="00C147CE">
        <w:rPr>
          <w:rFonts w:ascii="Times New Roman" w:hAnsi="Times New Roman" w:cs="Times New Roman"/>
          <w:sz w:val="20"/>
          <w:szCs w:val="20"/>
        </w:rPr>
        <w:br w:type="page"/>
      </w:r>
    </w:p>
    <w:p w14:paraId="55CA7810" w14:textId="57A68E27" w:rsidR="00652A85" w:rsidRPr="00C147CE" w:rsidRDefault="00DA2FF4" w:rsidP="009F5756">
      <w:pP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7ED19A34" wp14:editId="03939176">
            <wp:extent cx="5274310" cy="2547620"/>
            <wp:effectExtent l="0" t="0" r="0" b="5080"/>
            <wp:docPr id="18" name="图片 18" descr="图表, 饼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表, 饼图&#10;&#10;描述已自动生成"/>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2547620"/>
                    </a:xfrm>
                    <a:prstGeom prst="rect">
                      <a:avLst/>
                    </a:prstGeom>
                  </pic:spPr>
                </pic:pic>
              </a:graphicData>
            </a:graphic>
          </wp:inline>
        </w:drawing>
      </w:r>
    </w:p>
    <w:p w14:paraId="3B608D15" w14:textId="7AACDA15" w:rsidR="007E655D" w:rsidRPr="00C147CE" w:rsidRDefault="00652A85" w:rsidP="005B7837">
      <w:pPr>
        <w:rPr>
          <w:rFonts w:ascii="Times New Roman" w:hAnsi="Times New Roman" w:cs="Times New Roman"/>
          <w:sz w:val="20"/>
          <w:szCs w:val="20"/>
        </w:rPr>
      </w:pPr>
      <w:r w:rsidRPr="00C147CE">
        <w:rPr>
          <w:rFonts w:ascii="Times New Roman" w:hAnsi="Times New Roman" w:cs="Times New Roman"/>
          <w:b/>
          <w:bCs/>
          <w:sz w:val="20"/>
          <w:szCs w:val="20"/>
        </w:rPr>
        <w:t>Fig</w:t>
      </w:r>
      <w:r w:rsidR="00FC2117">
        <w:rPr>
          <w:rFonts w:ascii="Times New Roman" w:hAnsi="Times New Roman" w:cs="Times New Roman"/>
          <w:b/>
          <w:bCs/>
          <w:sz w:val="20"/>
          <w:szCs w:val="20"/>
        </w:rPr>
        <w:t>.</w:t>
      </w:r>
      <w:r w:rsidRPr="00C147CE">
        <w:rPr>
          <w:rFonts w:ascii="Times New Roman" w:hAnsi="Times New Roman" w:cs="Times New Roman"/>
          <w:b/>
          <w:bCs/>
          <w:sz w:val="20"/>
          <w:szCs w:val="20"/>
        </w:rPr>
        <w:t xml:space="preserve"> </w:t>
      </w:r>
      <w:r w:rsidR="00095CBA">
        <w:rPr>
          <w:rFonts w:ascii="Times New Roman" w:hAnsi="Times New Roman" w:cs="Times New Roman"/>
          <w:b/>
          <w:bCs/>
          <w:sz w:val="20"/>
          <w:szCs w:val="20"/>
        </w:rPr>
        <w:t>S</w:t>
      </w:r>
      <w:r w:rsidR="00FC2117">
        <w:rPr>
          <w:rFonts w:ascii="Times New Roman" w:hAnsi="Times New Roman" w:cs="Times New Roman"/>
          <w:b/>
          <w:bCs/>
          <w:sz w:val="20"/>
          <w:szCs w:val="20"/>
        </w:rPr>
        <w:t>10</w:t>
      </w:r>
      <w:r w:rsidRPr="00C147CE">
        <w:rPr>
          <w:rFonts w:ascii="Times New Roman" w:hAnsi="Times New Roman" w:cs="Times New Roman"/>
          <w:b/>
          <w:bCs/>
          <w:sz w:val="20"/>
          <w:szCs w:val="20"/>
        </w:rPr>
        <w:t>.</w:t>
      </w:r>
      <w:r w:rsidRPr="00C147CE">
        <w:rPr>
          <w:rFonts w:ascii="Times New Roman" w:hAnsi="Times New Roman" w:cs="Times New Roman"/>
          <w:sz w:val="20"/>
          <w:szCs w:val="20"/>
        </w:rPr>
        <w:t xml:space="preserve"> </w:t>
      </w:r>
      <w:r w:rsidR="007E655D" w:rsidRPr="00C147CE">
        <w:rPr>
          <w:rFonts w:ascii="Times New Roman" w:hAnsi="Times New Roman" w:cs="Times New Roman"/>
          <w:sz w:val="20"/>
          <w:szCs w:val="20"/>
        </w:rPr>
        <w:t>Lead-lag regressions between upper (0–200 m) subpolar North Atlantic OHC and S</w:t>
      </w:r>
      <w:r w:rsidR="007C7A5D">
        <w:rPr>
          <w:rFonts w:ascii="Times New Roman" w:hAnsi="Times New Roman" w:cs="Times New Roman" w:hint="eastAsia"/>
          <w:sz w:val="20"/>
          <w:szCs w:val="20"/>
        </w:rPr>
        <w:t>AT</w:t>
      </w:r>
      <w:r w:rsidR="007E655D" w:rsidRPr="00C147CE">
        <w:rPr>
          <w:rFonts w:ascii="Times New Roman" w:hAnsi="Times New Roman" w:cs="Times New Roman"/>
          <w:sz w:val="20"/>
          <w:szCs w:val="20"/>
        </w:rPr>
        <w:t xml:space="preserve"> anomalies on multi-decadal timescales, based on CESM1 LE means. Panels show OHC leading S</w:t>
      </w:r>
      <w:r w:rsidR="00A16771">
        <w:rPr>
          <w:rFonts w:ascii="Times New Roman" w:hAnsi="Times New Roman" w:cs="Times New Roman" w:hint="eastAsia"/>
          <w:sz w:val="20"/>
          <w:szCs w:val="20"/>
        </w:rPr>
        <w:t>AT</w:t>
      </w:r>
      <w:r w:rsidR="007E655D" w:rsidRPr="00C147CE">
        <w:rPr>
          <w:rFonts w:ascii="Times New Roman" w:hAnsi="Times New Roman" w:cs="Times New Roman"/>
          <w:sz w:val="20"/>
          <w:szCs w:val="20"/>
        </w:rPr>
        <w:t xml:space="preserve"> anomalies by 7 years (a), with no lag (b), and the difference between (b) and (a). Stippling indicates regions above the 95% significance level.</w:t>
      </w:r>
    </w:p>
    <w:p w14:paraId="536CF420" w14:textId="5E8E8D29" w:rsidR="00652A85" w:rsidRPr="00C147CE" w:rsidRDefault="00652A85" w:rsidP="00652A85">
      <w:pPr>
        <w:rPr>
          <w:rFonts w:ascii="Times New Roman" w:hAnsi="Times New Roman" w:cs="Times New Roman"/>
          <w:sz w:val="20"/>
          <w:szCs w:val="20"/>
        </w:rPr>
      </w:pPr>
    </w:p>
    <w:p w14:paraId="15DE4233" w14:textId="577E0406" w:rsidR="00B14834" w:rsidRPr="00C147CE" w:rsidRDefault="00B14834">
      <w:pPr>
        <w:rPr>
          <w:rFonts w:ascii="Times New Roman" w:hAnsi="Times New Roman" w:cs="Times New Roman"/>
          <w:sz w:val="20"/>
          <w:szCs w:val="20"/>
        </w:rPr>
      </w:pPr>
      <w:r w:rsidRPr="00C147CE">
        <w:rPr>
          <w:rFonts w:ascii="Times New Roman" w:hAnsi="Times New Roman" w:cs="Times New Roman"/>
          <w:sz w:val="20"/>
          <w:szCs w:val="20"/>
        </w:rPr>
        <w:br w:type="page"/>
      </w:r>
    </w:p>
    <w:p w14:paraId="0FB8D8BF" w14:textId="4D083B15" w:rsidR="00B14834" w:rsidRPr="00C147CE" w:rsidRDefault="00DA2FF4" w:rsidP="009F5756">
      <w:pP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34EF3F8E" wp14:editId="7FDD613B">
            <wp:extent cx="5274310" cy="2494280"/>
            <wp:effectExtent l="0" t="0" r="0" b="0"/>
            <wp:docPr id="19" name="图片 19"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表&#10;&#10;描述已自动生成"/>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2494280"/>
                    </a:xfrm>
                    <a:prstGeom prst="rect">
                      <a:avLst/>
                    </a:prstGeom>
                  </pic:spPr>
                </pic:pic>
              </a:graphicData>
            </a:graphic>
          </wp:inline>
        </w:drawing>
      </w:r>
    </w:p>
    <w:p w14:paraId="0567EF45" w14:textId="6499DBCC" w:rsidR="007E655D" w:rsidRPr="00C147CE" w:rsidRDefault="00B14834" w:rsidP="007E655D">
      <w:pPr>
        <w:rPr>
          <w:rFonts w:ascii="Times New Roman" w:hAnsi="Times New Roman" w:cs="Times New Roman"/>
          <w:sz w:val="20"/>
          <w:szCs w:val="20"/>
        </w:rPr>
      </w:pPr>
      <w:r w:rsidRPr="00C147CE">
        <w:rPr>
          <w:rFonts w:ascii="Times New Roman" w:hAnsi="Times New Roman" w:cs="Times New Roman"/>
          <w:b/>
          <w:bCs/>
          <w:sz w:val="20"/>
          <w:szCs w:val="20"/>
        </w:rPr>
        <w:t>Fig</w:t>
      </w:r>
      <w:r w:rsidR="00FC2117">
        <w:rPr>
          <w:rFonts w:ascii="Times New Roman" w:hAnsi="Times New Roman" w:cs="Times New Roman"/>
          <w:b/>
          <w:bCs/>
          <w:sz w:val="20"/>
          <w:szCs w:val="20"/>
        </w:rPr>
        <w:t>.</w:t>
      </w:r>
      <w:r w:rsidRPr="00C147CE">
        <w:rPr>
          <w:rFonts w:ascii="Times New Roman" w:hAnsi="Times New Roman" w:cs="Times New Roman"/>
          <w:b/>
          <w:bCs/>
          <w:sz w:val="20"/>
          <w:szCs w:val="20"/>
        </w:rPr>
        <w:t xml:space="preserve"> S</w:t>
      </w:r>
      <w:r w:rsidR="00FC2117">
        <w:rPr>
          <w:rFonts w:ascii="Times New Roman" w:hAnsi="Times New Roman" w:cs="Times New Roman"/>
          <w:b/>
          <w:bCs/>
          <w:sz w:val="20"/>
          <w:szCs w:val="20"/>
        </w:rPr>
        <w:t>11</w:t>
      </w:r>
      <w:r w:rsidRPr="00C147CE">
        <w:rPr>
          <w:rFonts w:ascii="Times New Roman" w:hAnsi="Times New Roman" w:cs="Times New Roman"/>
          <w:b/>
          <w:bCs/>
          <w:sz w:val="20"/>
          <w:szCs w:val="20"/>
        </w:rPr>
        <w:t>.</w:t>
      </w:r>
      <w:r w:rsidRPr="00C147CE">
        <w:rPr>
          <w:rFonts w:ascii="Times New Roman" w:hAnsi="Times New Roman" w:cs="Times New Roman"/>
          <w:sz w:val="20"/>
          <w:szCs w:val="20"/>
        </w:rPr>
        <w:t xml:space="preserve"> </w:t>
      </w:r>
      <w:r w:rsidR="007E655D" w:rsidRPr="00C147CE">
        <w:rPr>
          <w:rFonts w:ascii="Times New Roman" w:hAnsi="Times New Roman" w:cs="Times New Roman"/>
          <w:sz w:val="20"/>
          <w:szCs w:val="20"/>
        </w:rPr>
        <w:t xml:space="preserve">Lead-lag correlations between upper (0–300 m) subpolar North Atlantic OHC and </w:t>
      </w:r>
      <w:r w:rsidR="00AA73B8">
        <w:rPr>
          <w:rFonts w:ascii="Times New Roman" w:hAnsi="Times New Roman" w:cs="Times New Roman"/>
          <w:sz w:val="20"/>
          <w:szCs w:val="20"/>
        </w:rPr>
        <w:t>SAT</w:t>
      </w:r>
      <w:r w:rsidR="007E655D" w:rsidRPr="00C147CE">
        <w:rPr>
          <w:rFonts w:ascii="Times New Roman" w:hAnsi="Times New Roman" w:cs="Times New Roman"/>
          <w:sz w:val="20"/>
          <w:szCs w:val="20"/>
        </w:rPr>
        <w:t xml:space="preserve"> anomalies on multi-decadal timescales, based on CESM1 LE means. Panels show OHC leading </w:t>
      </w:r>
      <w:r w:rsidR="00AA73B8">
        <w:rPr>
          <w:rFonts w:ascii="Times New Roman" w:hAnsi="Times New Roman" w:cs="Times New Roman"/>
          <w:sz w:val="20"/>
          <w:szCs w:val="20"/>
        </w:rPr>
        <w:t>SAT</w:t>
      </w:r>
      <w:r w:rsidR="007E655D" w:rsidRPr="00C147CE">
        <w:rPr>
          <w:rFonts w:ascii="Times New Roman" w:hAnsi="Times New Roman" w:cs="Times New Roman"/>
          <w:sz w:val="20"/>
          <w:szCs w:val="20"/>
        </w:rPr>
        <w:t xml:space="preserve"> anomalies by 7 years (a), with no lag (b), and the difference between (b) and (a). Stippling indicates regions above the 99.99% significance level.</w:t>
      </w:r>
    </w:p>
    <w:p w14:paraId="651C2FF0" w14:textId="77777777" w:rsidR="007E655D" w:rsidRPr="00C147CE" w:rsidRDefault="007E655D" w:rsidP="00B14834">
      <w:pPr>
        <w:rPr>
          <w:rFonts w:ascii="Times New Roman" w:hAnsi="Times New Roman" w:cs="Times New Roman"/>
          <w:sz w:val="20"/>
          <w:szCs w:val="20"/>
        </w:rPr>
      </w:pPr>
    </w:p>
    <w:p w14:paraId="6848C3FD" w14:textId="77777777" w:rsidR="007E655D" w:rsidRPr="00C147CE" w:rsidRDefault="007E655D" w:rsidP="00B14834">
      <w:pPr>
        <w:rPr>
          <w:rFonts w:ascii="Times New Roman" w:hAnsi="Times New Roman" w:cs="Times New Roman"/>
          <w:sz w:val="20"/>
          <w:szCs w:val="20"/>
        </w:rPr>
      </w:pPr>
    </w:p>
    <w:p w14:paraId="08EC5ED8" w14:textId="77777777" w:rsidR="00521635" w:rsidRDefault="00521635">
      <w:pPr>
        <w:rPr>
          <w:rFonts w:ascii="Times New Roman" w:eastAsia="Times New Roman" w:hAnsi="Times New Roman" w:cs="Times New Roman"/>
          <w:b/>
          <w:bCs/>
          <w:kern w:val="28"/>
          <w:sz w:val="20"/>
          <w:szCs w:val="20"/>
          <w:lang w:eastAsia="en-US"/>
        </w:rPr>
      </w:pPr>
      <w:r>
        <w:rPr>
          <w:sz w:val="20"/>
          <w:szCs w:val="20"/>
        </w:rPr>
        <w:br w:type="page"/>
      </w:r>
    </w:p>
    <w:p w14:paraId="791FA9B7" w14:textId="4EBECDDC" w:rsidR="00521635" w:rsidRPr="005B1F8B" w:rsidRDefault="00521635" w:rsidP="00521635">
      <w:pPr>
        <w:pStyle w:val="Heading-Main"/>
        <w:rPr>
          <w:sz w:val="20"/>
          <w:szCs w:val="20"/>
          <w:lang w:eastAsia="zh-CN"/>
        </w:rPr>
      </w:pPr>
      <w:r w:rsidRPr="00DF07F3">
        <w:rPr>
          <w:sz w:val="20"/>
          <w:szCs w:val="20"/>
        </w:rPr>
        <w:lastRenderedPageBreak/>
        <w:t>References</w:t>
      </w:r>
    </w:p>
    <w:p w14:paraId="1939732F" w14:textId="1028A034" w:rsidR="00D34153" w:rsidRDefault="00760A41" w:rsidP="00D34153">
      <w:pPr>
        <w:ind w:left="400" w:hangingChars="200" w:hanging="400"/>
        <w:rPr>
          <w:rFonts w:ascii="Times New Roman" w:eastAsia="Times New Roman" w:hAnsi="Times New Roman" w:cs="Times New Roman"/>
          <w:sz w:val="20"/>
          <w:szCs w:val="20"/>
        </w:rPr>
      </w:pPr>
      <w:r w:rsidRPr="00760A41">
        <w:rPr>
          <w:rFonts w:ascii="Times New Roman" w:eastAsia="Times New Roman" w:hAnsi="Times New Roman" w:cs="Times New Roman"/>
          <w:sz w:val="20"/>
          <w:szCs w:val="20"/>
        </w:rPr>
        <w:t>England MR (2021) Are multi‐decadal fluctuations in Arctic and Antarctic surface temperatures a forced response to anthropogenic emissions or part of internal climate variability? Geophys Res Lett 48(6</w:t>
      </w:r>
      <w:proofErr w:type="gramStart"/>
      <w:r w:rsidRPr="00760A41">
        <w:rPr>
          <w:rFonts w:ascii="Times New Roman" w:eastAsia="Times New Roman" w:hAnsi="Times New Roman" w:cs="Times New Roman"/>
          <w:sz w:val="20"/>
          <w:szCs w:val="20"/>
        </w:rPr>
        <w:t>):e</w:t>
      </w:r>
      <w:proofErr w:type="gramEnd"/>
      <w:r w:rsidRPr="00760A41">
        <w:rPr>
          <w:rFonts w:ascii="Times New Roman" w:eastAsia="Times New Roman" w:hAnsi="Times New Roman" w:cs="Times New Roman"/>
          <w:sz w:val="20"/>
          <w:szCs w:val="20"/>
        </w:rPr>
        <w:t xml:space="preserve">2020GL090631. </w:t>
      </w:r>
      <w:hyperlink r:id="rId16" w:history="1">
        <w:r w:rsidR="00D34153" w:rsidRPr="00760A41">
          <w:rPr>
            <w:rStyle w:val="a5"/>
            <w:rFonts w:ascii="Times New Roman" w:eastAsia="Times New Roman" w:hAnsi="Times New Roman" w:cs="Times New Roman"/>
            <w:sz w:val="20"/>
            <w:szCs w:val="20"/>
          </w:rPr>
          <w:t>https://doi.org/10.1029/2020GL090631</w:t>
        </w:r>
      </w:hyperlink>
    </w:p>
    <w:p w14:paraId="2DF8450B" w14:textId="77777777" w:rsidR="00D34153" w:rsidRDefault="00D34153" w:rsidP="00D34153">
      <w:pPr>
        <w:ind w:left="400" w:hangingChars="200" w:hanging="400"/>
        <w:rPr>
          <w:rFonts w:ascii="Times New Roman" w:eastAsia="Times New Roman" w:hAnsi="Times New Roman" w:cs="Times New Roman"/>
          <w:sz w:val="20"/>
          <w:szCs w:val="20"/>
        </w:rPr>
      </w:pPr>
      <w:r w:rsidRPr="00D34153">
        <w:rPr>
          <w:rFonts w:ascii="Times New Roman" w:hAnsi="Times New Roman" w:cs="Times New Roman"/>
          <w:sz w:val="20"/>
          <w:szCs w:val="20"/>
        </w:rPr>
        <w:t>Trenberth KE, Caron JM (2001) Estimates of meridional atmosphere and ocean heat transports. J Clim 14:3433–3443</w:t>
      </w:r>
    </w:p>
    <w:p w14:paraId="108C58DE" w14:textId="77777777" w:rsidR="00D34153" w:rsidRDefault="00D34153" w:rsidP="00D34153">
      <w:pPr>
        <w:ind w:left="400" w:hangingChars="200" w:hanging="400"/>
        <w:rPr>
          <w:rFonts w:ascii="Times New Roman" w:eastAsia="Times New Roman" w:hAnsi="Times New Roman" w:cs="Times New Roman"/>
          <w:sz w:val="20"/>
          <w:szCs w:val="20"/>
        </w:rPr>
      </w:pPr>
      <w:r w:rsidRPr="00D34153">
        <w:rPr>
          <w:rFonts w:ascii="Times New Roman" w:hAnsi="Times New Roman" w:cs="Times New Roman"/>
          <w:sz w:val="20"/>
          <w:szCs w:val="20"/>
        </w:rPr>
        <w:t>Yang H, Li Q, Wang K, Sun Y, Sun D (2015) Decomposing the meridional heat transport in the climate system. Clim Dyn 44(9–10):2751–2768</w:t>
      </w:r>
    </w:p>
    <w:p w14:paraId="2B781345" w14:textId="77777777" w:rsidR="00D34153" w:rsidRDefault="00D34153" w:rsidP="00D34153">
      <w:pPr>
        <w:ind w:left="400" w:hangingChars="200" w:hanging="400"/>
        <w:rPr>
          <w:rFonts w:ascii="Times New Roman" w:eastAsia="Times New Roman" w:hAnsi="Times New Roman" w:cs="Times New Roman"/>
          <w:sz w:val="20"/>
          <w:szCs w:val="20"/>
        </w:rPr>
      </w:pPr>
      <w:r w:rsidRPr="00D34153">
        <w:rPr>
          <w:rFonts w:ascii="Times New Roman" w:hAnsi="Times New Roman" w:cs="Times New Roman"/>
          <w:sz w:val="20"/>
          <w:szCs w:val="20"/>
        </w:rPr>
        <w:t>Held IM (2001) The partitioning of the poleward energy transport</w:t>
      </w:r>
      <w:r w:rsidRPr="00D34153">
        <w:rPr>
          <w:rFonts w:ascii="Times New Roman" w:hAnsi="Times New Roman" w:cs="Times New Roman" w:hint="eastAsia"/>
          <w:sz w:val="20"/>
          <w:szCs w:val="20"/>
        </w:rPr>
        <w:t xml:space="preserve"> </w:t>
      </w:r>
      <w:r w:rsidRPr="00D34153">
        <w:rPr>
          <w:rFonts w:ascii="Times New Roman" w:hAnsi="Times New Roman" w:cs="Times New Roman"/>
          <w:sz w:val="20"/>
          <w:szCs w:val="20"/>
        </w:rPr>
        <w:t>between the tropical ocean and atmosphere. J Atmos Sci 58:943–948</w:t>
      </w:r>
    </w:p>
    <w:p w14:paraId="02C00644" w14:textId="77777777" w:rsidR="00D34153" w:rsidRDefault="00D34153" w:rsidP="00D34153">
      <w:pPr>
        <w:ind w:left="400" w:hangingChars="200" w:hanging="400"/>
        <w:rPr>
          <w:rFonts w:ascii="Times New Roman" w:eastAsia="Times New Roman" w:hAnsi="Times New Roman" w:cs="Times New Roman"/>
          <w:sz w:val="20"/>
          <w:szCs w:val="20"/>
        </w:rPr>
      </w:pPr>
      <w:r w:rsidRPr="00D34153">
        <w:rPr>
          <w:rFonts w:ascii="Times New Roman" w:hAnsi="Times New Roman" w:cs="Times New Roman"/>
          <w:sz w:val="20"/>
          <w:szCs w:val="20"/>
        </w:rPr>
        <w:t xml:space="preserve">Ferrari R, Ferreira D (2011) What processes drive the ocean heat transport? Ocean Model 38:171–186. </w:t>
      </w:r>
      <w:proofErr w:type="gramStart"/>
      <w:r w:rsidRPr="00D34153">
        <w:rPr>
          <w:rFonts w:ascii="Times New Roman" w:hAnsi="Times New Roman" w:cs="Times New Roman"/>
          <w:sz w:val="20"/>
          <w:szCs w:val="20"/>
        </w:rPr>
        <w:t>doi:10.1016/j.ocemod</w:t>
      </w:r>
      <w:proofErr w:type="gramEnd"/>
      <w:r w:rsidRPr="00D34153">
        <w:rPr>
          <w:rFonts w:ascii="Times New Roman" w:hAnsi="Times New Roman" w:cs="Times New Roman"/>
          <w:sz w:val="20"/>
          <w:szCs w:val="20"/>
        </w:rPr>
        <w:t>.2011.02.013</w:t>
      </w:r>
    </w:p>
    <w:p w14:paraId="2DD3A820" w14:textId="77777777" w:rsidR="00D34153" w:rsidRDefault="00D34153" w:rsidP="00D34153">
      <w:pPr>
        <w:ind w:left="400" w:hangingChars="200" w:hanging="400"/>
        <w:rPr>
          <w:rFonts w:ascii="Times New Roman" w:eastAsia="Times New Roman" w:hAnsi="Times New Roman" w:cs="Times New Roman"/>
          <w:sz w:val="20"/>
          <w:szCs w:val="20"/>
        </w:rPr>
      </w:pPr>
      <w:r w:rsidRPr="00D34153">
        <w:rPr>
          <w:rFonts w:ascii="Times New Roman" w:hAnsi="Times New Roman" w:cs="Times New Roman"/>
          <w:sz w:val="20"/>
          <w:szCs w:val="20"/>
        </w:rPr>
        <w:t>Skagseth Ø, Eldevik T, Årthun M, Asbjørnsen H, Lien VS, Smedsrud LH (2020) Reduced efficiency of the Barents Sea cooling machine. Nat Clim Change. </w:t>
      </w:r>
      <w:hyperlink r:id="rId17" w:history="1">
        <w:r w:rsidRPr="00D34153">
          <w:rPr>
            <w:rStyle w:val="a5"/>
            <w:rFonts w:ascii="Times New Roman" w:hAnsi="Times New Roman" w:cs="Times New Roman"/>
            <w:sz w:val="20"/>
            <w:szCs w:val="20"/>
          </w:rPr>
          <w:t>https://doi.org/10.1038/s41558-020-0772-6</w:t>
        </w:r>
      </w:hyperlink>
    </w:p>
    <w:p w14:paraId="3F4A911B" w14:textId="77777777" w:rsidR="00D34153" w:rsidRDefault="00D34153" w:rsidP="00D34153">
      <w:pPr>
        <w:ind w:left="400" w:hangingChars="200" w:hanging="400"/>
        <w:rPr>
          <w:rFonts w:ascii="Times New Roman" w:eastAsia="Times New Roman" w:hAnsi="Times New Roman" w:cs="Times New Roman"/>
          <w:sz w:val="20"/>
          <w:szCs w:val="20"/>
        </w:rPr>
      </w:pPr>
      <w:r w:rsidRPr="00D34153">
        <w:rPr>
          <w:rFonts w:ascii="Times New Roman" w:hAnsi="Times New Roman" w:cs="Times New Roman"/>
          <w:sz w:val="20"/>
          <w:szCs w:val="20"/>
        </w:rPr>
        <w:t>Beszczynska-Möller A, Fahrbach E, Schauer U, Hansen E (2012) Variability in Atlantic water temperature and transport at the entrance to the Arctic Ocean, 1997–2010. </w:t>
      </w:r>
      <w:r w:rsidRPr="00D34153">
        <w:rPr>
          <w:rFonts w:ascii="Times New Roman" w:hAnsi="Times New Roman" w:cs="Times New Roman"/>
          <w:i/>
          <w:iCs/>
          <w:sz w:val="20"/>
          <w:szCs w:val="20"/>
        </w:rPr>
        <w:t>ICES Journal of Marine Science</w:t>
      </w:r>
      <w:r w:rsidRPr="00D34153">
        <w:rPr>
          <w:rFonts w:ascii="Times New Roman" w:hAnsi="Times New Roman" w:cs="Times New Roman"/>
          <w:sz w:val="20"/>
          <w:szCs w:val="20"/>
        </w:rPr>
        <w:t>, 69(5)</w:t>
      </w:r>
      <w:r w:rsidRPr="00D34153">
        <w:rPr>
          <w:rFonts w:ascii="Times New Roman" w:hAnsi="Times New Roman" w:cs="Times New Roman" w:hint="eastAsia"/>
          <w:sz w:val="20"/>
          <w:szCs w:val="20"/>
        </w:rPr>
        <w:t>:</w:t>
      </w:r>
      <w:r w:rsidRPr="00D34153">
        <w:rPr>
          <w:rFonts w:ascii="Times New Roman" w:hAnsi="Times New Roman" w:cs="Times New Roman"/>
          <w:sz w:val="20"/>
          <w:szCs w:val="20"/>
        </w:rPr>
        <w:t>852–863, </w:t>
      </w:r>
      <w:hyperlink r:id="rId18" w:history="1">
        <w:r w:rsidRPr="00D34153">
          <w:rPr>
            <w:rStyle w:val="a5"/>
            <w:rFonts w:ascii="Times New Roman" w:hAnsi="Times New Roman" w:cs="Times New Roman"/>
            <w:sz w:val="20"/>
            <w:szCs w:val="20"/>
          </w:rPr>
          <w:t>https://doi.org/10.1093/icesjms/fss056</w:t>
        </w:r>
      </w:hyperlink>
    </w:p>
    <w:p w14:paraId="3F4B1437" w14:textId="77777777" w:rsidR="00D34153" w:rsidRDefault="00D34153" w:rsidP="00D34153">
      <w:pPr>
        <w:ind w:left="400" w:hangingChars="200" w:hanging="400"/>
        <w:rPr>
          <w:rFonts w:ascii="Times New Roman" w:eastAsia="Times New Roman" w:hAnsi="Times New Roman" w:cs="Times New Roman"/>
          <w:sz w:val="20"/>
          <w:szCs w:val="20"/>
        </w:rPr>
      </w:pPr>
      <w:r w:rsidRPr="00D34153">
        <w:rPr>
          <w:rFonts w:ascii="Times New Roman" w:hAnsi="Times New Roman" w:cs="Times New Roman"/>
          <w:sz w:val="20"/>
          <w:szCs w:val="20"/>
        </w:rPr>
        <w:t>Woodgate RA, Peralta Ferriz C (2021) Warming and freshening of the Pacific inflow to the arctic from 1990-2019 implying dramatic shoaling in Pacific winter water ventilation of the arctic water column. Geophys Res Lett 48(9): e2021GL092528. </w:t>
      </w:r>
      <w:hyperlink r:id="rId19" w:history="1">
        <w:r w:rsidRPr="00D34153">
          <w:rPr>
            <w:rStyle w:val="a5"/>
            <w:rFonts w:ascii="Times New Roman" w:hAnsi="Times New Roman" w:cs="Times New Roman"/>
            <w:sz w:val="20"/>
            <w:szCs w:val="20"/>
          </w:rPr>
          <w:t>https://doi.org/10.1029/2021GL092528</w:t>
        </w:r>
      </w:hyperlink>
    </w:p>
    <w:p w14:paraId="1E8FA631" w14:textId="5D19BBEB" w:rsidR="00D34153" w:rsidRPr="00D34153" w:rsidRDefault="00D34153" w:rsidP="00D34153">
      <w:pPr>
        <w:ind w:left="400" w:hangingChars="200" w:hanging="400"/>
        <w:rPr>
          <w:rFonts w:ascii="Times New Roman" w:eastAsia="Times New Roman" w:hAnsi="Times New Roman" w:cs="Times New Roman"/>
          <w:sz w:val="20"/>
          <w:szCs w:val="20"/>
        </w:rPr>
      </w:pPr>
      <w:r w:rsidRPr="00D34153">
        <w:rPr>
          <w:rFonts w:ascii="Times New Roman" w:hAnsi="Times New Roman" w:cs="Times New Roman"/>
          <w:sz w:val="20"/>
          <w:szCs w:val="20"/>
        </w:rPr>
        <w:t>Polyakov IV, Ingvaldsen RB, Pnyushkov AV, Bhatt US, Francis JA, Janout M et al (2023) Fluctuating Atlantic inflows modulate Arctic atlantification. Science 381(6661):972–979. https://doi.org/10.1126/science.adh5158</w:t>
      </w:r>
    </w:p>
    <w:p w14:paraId="75BB6759" w14:textId="4D0E8044" w:rsidR="00427F39" w:rsidRPr="00427F39" w:rsidRDefault="00427F39">
      <w:pPr>
        <w:rPr>
          <w:rFonts w:ascii="Times New Roman" w:hAnsi="Times New Roman" w:cs="Times New Roman"/>
          <w:sz w:val="20"/>
          <w:szCs w:val="20"/>
        </w:rPr>
      </w:pPr>
    </w:p>
    <w:sectPr w:rsidR="00427F39" w:rsidRPr="00427F39" w:rsidSect="00EF07DF">
      <w:pgSz w:w="11906" w:h="16838"/>
      <w:pgMar w:top="1440" w:right="1800" w:bottom="1440" w:left="1800" w:header="851" w:footer="992" w:gutter="0"/>
      <w:lnNumType w:countBy="1" w:restart="continuous"/>
      <w:cols w:space="425"/>
      <w:docGrid w:type="lines"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yriad Pro">
    <w:altName w:val="Segoe UI"/>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2"/>
  <w:doNotDisplayPageBoundaries/>
  <w:bordersDoNotSurroundHeader/>
  <w:bordersDoNotSurroundFooter/>
  <w:proofState w:grammar="clean"/>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宋体&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9w9w95xvre5sweww9eveta45zz95v9px05s&quot;&gt;Di_Libarary&lt;record-ids&gt;&lt;item&gt;8&lt;/item&gt;&lt;/record-ids&gt;&lt;/item&gt;&lt;/Libraries&gt;"/>
  </w:docVars>
  <w:rsids>
    <w:rsidRoot w:val="00291F04"/>
    <w:rsid w:val="00035BCA"/>
    <w:rsid w:val="00095CBA"/>
    <w:rsid w:val="00096973"/>
    <w:rsid w:val="000B2286"/>
    <w:rsid w:val="000C0E24"/>
    <w:rsid w:val="000C6467"/>
    <w:rsid w:val="00102825"/>
    <w:rsid w:val="001516D6"/>
    <w:rsid w:val="0016002A"/>
    <w:rsid w:val="001922C8"/>
    <w:rsid w:val="001C2558"/>
    <w:rsid w:val="00236D39"/>
    <w:rsid w:val="002574E8"/>
    <w:rsid w:val="002743EF"/>
    <w:rsid w:val="00276D87"/>
    <w:rsid w:val="00291F04"/>
    <w:rsid w:val="002C79EF"/>
    <w:rsid w:val="002F58B3"/>
    <w:rsid w:val="00322C0E"/>
    <w:rsid w:val="0034185A"/>
    <w:rsid w:val="00390701"/>
    <w:rsid w:val="003A26CA"/>
    <w:rsid w:val="003D2E03"/>
    <w:rsid w:val="003F7758"/>
    <w:rsid w:val="004148F4"/>
    <w:rsid w:val="00427F39"/>
    <w:rsid w:val="00435F48"/>
    <w:rsid w:val="004602BB"/>
    <w:rsid w:val="00466B4B"/>
    <w:rsid w:val="00480CF2"/>
    <w:rsid w:val="004A4BD5"/>
    <w:rsid w:val="004B2181"/>
    <w:rsid w:val="004F7EB1"/>
    <w:rsid w:val="00515423"/>
    <w:rsid w:val="00521635"/>
    <w:rsid w:val="005824B2"/>
    <w:rsid w:val="005B1ED6"/>
    <w:rsid w:val="005B7837"/>
    <w:rsid w:val="005F6609"/>
    <w:rsid w:val="005F6907"/>
    <w:rsid w:val="00652A85"/>
    <w:rsid w:val="00661638"/>
    <w:rsid w:val="00685924"/>
    <w:rsid w:val="00693B80"/>
    <w:rsid w:val="00696B56"/>
    <w:rsid w:val="006C731B"/>
    <w:rsid w:val="006D405D"/>
    <w:rsid w:val="006E2887"/>
    <w:rsid w:val="007111D8"/>
    <w:rsid w:val="007174A3"/>
    <w:rsid w:val="00760A41"/>
    <w:rsid w:val="007658B1"/>
    <w:rsid w:val="007659FB"/>
    <w:rsid w:val="00767525"/>
    <w:rsid w:val="0078143A"/>
    <w:rsid w:val="00790563"/>
    <w:rsid w:val="007B51FD"/>
    <w:rsid w:val="007C7A5D"/>
    <w:rsid w:val="007E225A"/>
    <w:rsid w:val="007E655D"/>
    <w:rsid w:val="00823CEE"/>
    <w:rsid w:val="00835BCE"/>
    <w:rsid w:val="00856511"/>
    <w:rsid w:val="00862F95"/>
    <w:rsid w:val="008641DC"/>
    <w:rsid w:val="008843DF"/>
    <w:rsid w:val="00892893"/>
    <w:rsid w:val="00897A21"/>
    <w:rsid w:val="008B217C"/>
    <w:rsid w:val="008C69A5"/>
    <w:rsid w:val="00904E3E"/>
    <w:rsid w:val="0091320A"/>
    <w:rsid w:val="00916892"/>
    <w:rsid w:val="009570A1"/>
    <w:rsid w:val="009619C0"/>
    <w:rsid w:val="009B33A0"/>
    <w:rsid w:val="009F5756"/>
    <w:rsid w:val="009F77B2"/>
    <w:rsid w:val="00A16771"/>
    <w:rsid w:val="00A30498"/>
    <w:rsid w:val="00A3390E"/>
    <w:rsid w:val="00A4767E"/>
    <w:rsid w:val="00A518F6"/>
    <w:rsid w:val="00A722E3"/>
    <w:rsid w:val="00A74180"/>
    <w:rsid w:val="00A96846"/>
    <w:rsid w:val="00AA73B8"/>
    <w:rsid w:val="00AB09CA"/>
    <w:rsid w:val="00AB579B"/>
    <w:rsid w:val="00AE19A2"/>
    <w:rsid w:val="00B010F0"/>
    <w:rsid w:val="00B04CEB"/>
    <w:rsid w:val="00B14834"/>
    <w:rsid w:val="00B16E63"/>
    <w:rsid w:val="00B51C89"/>
    <w:rsid w:val="00B54B28"/>
    <w:rsid w:val="00BF4593"/>
    <w:rsid w:val="00BF55D8"/>
    <w:rsid w:val="00C147CE"/>
    <w:rsid w:val="00C16578"/>
    <w:rsid w:val="00C177AF"/>
    <w:rsid w:val="00C30614"/>
    <w:rsid w:val="00C44FFC"/>
    <w:rsid w:val="00C453D9"/>
    <w:rsid w:val="00C453ED"/>
    <w:rsid w:val="00C92F40"/>
    <w:rsid w:val="00CA4298"/>
    <w:rsid w:val="00CC3227"/>
    <w:rsid w:val="00CD2027"/>
    <w:rsid w:val="00CD4953"/>
    <w:rsid w:val="00CD65BD"/>
    <w:rsid w:val="00CE03E5"/>
    <w:rsid w:val="00CE7E72"/>
    <w:rsid w:val="00CF0A95"/>
    <w:rsid w:val="00CF6D95"/>
    <w:rsid w:val="00D12D69"/>
    <w:rsid w:val="00D34153"/>
    <w:rsid w:val="00D55EEB"/>
    <w:rsid w:val="00D62878"/>
    <w:rsid w:val="00D7112B"/>
    <w:rsid w:val="00D72FF1"/>
    <w:rsid w:val="00D77C40"/>
    <w:rsid w:val="00D94BA3"/>
    <w:rsid w:val="00DA2FF4"/>
    <w:rsid w:val="00DA6151"/>
    <w:rsid w:val="00DB5AC2"/>
    <w:rsid w:val="00DD7796"/>
    <w:rsid w:val="00DE24BA"/>
    <w:rsid w:val="00E35CBC"/>
    <w:rsid w:val="00E35CF0"/>
    <w:rsid w:val="00E43A94"/>
    <w:rsid w:val="00E43B6D"/>
    <w:rsid w:val="00E4717C"/>
    <w:rsid w:val="00E564FE"/>
    <w:rsid w:val="00E63D47"/>
    <w:rsid w:val="00EB1FB9"/>
    <w:rsid w:val="00EC14CC"/>
    <w:rsid w:val="00EC3216"/>
    <w:rsid w:val="00EC5435"/>
    <w:rsid w:val="00ED725D"/>
    <w:rsid w:val="00EE416D"/>
    <w:rsid w:val="00EF07DF"/>
    <w:rsid w:val="00F103C0"/>
    <w:rsid w:val="00F50087"/>
    <w:rsid w:val="00F66468"/>
    <w:rsid w:val="00F73FDE"/>
    <w:rsid w:val="00FC2117"/>
    <w:rsid w:val="00FD47EA"/>
    <w:rsid w:val="00FE27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CF734E"/>
  <w15:chartTrackingRefBased/>
  <w15:docId w15:val="{DB47BA6A-A3A2-A547-9F9C-29DCE35E8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C14CC"/>
    <w:rPr>
      <w:rFonts w:ascii="宋体" w:eastAsia="宋体" w:hAnsi="宋体" w:cs="宋体"/>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D72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C16578"/>
    <w:pPr>
      <w:ind w:firstLineChars="200" w:firstLine="420"/>
    </w:pPr>
  </w:style>
  <w:style w:type="character" w:styleId="a5">
    <w:name w:val="Hyperlink"/>
    <w:basedOn w:val="a0"/>
    <w:uiPriority w:val="99"/>
    <w:unhideWhenUsed/>
    <w:rsid w:val="00F73FDE"/>
    <w:rPr>
      <w:color w:val="0563C1" w:themeColor="hyperlink"/>
      <w:u w:val="single"/>
    </w:rPr>
  </w:style>
  <w:style w:type="character" w:styleId="a6">
    <w:name w:val="Unresolved Mention"/>
    <w:basedOn w:val="a0"/>
    <w:uiPriority w:val="99"/>
    <w:semiHidden/>
    <w:unhideWhenUsed/>
    <w:rsid w:val="00F73FDE"/>
    <w:rPr>
      <w:color w:val="605E5C"/>
      <w:shd w:val="clear" w:color="auto" w:fill="E1DFDD"/>
    </w:rPr>
  </w:style>
  <w:style w:type="paragraph" w:styleId="a7">
    <w:name w:val="Revision"/>
    <w:hidden/>
    <w:uiPriority w:val="99"/>
    <w:semiHidden/>
    <w:rsid w:val="00C92F40"/>
    <w:rPr>
      <w:rFonts w:ascii="宋体" w:eastAsia="宋体" w:hAnsi="宋体" w:cs="宋体"/>
      <w:kern w:val="0"/>
      <w:sz w:val="24"/>
    </w:rPr>
  </w:style>
  <w:style w:type="paragraph" w:styleId="a8">
    <w:name w:val="Body Text Indent"/>
    <w:basedOn w:val="a"/>
    <w:link w:val="a9"/>
    <w:autoRedefine/>
    <w:qFormat/>
    <w:rsid w:val="006C731B"/>
    <w:pPr>
      <w:widowControl w:val="0"/>
      <w:adjustRightInd w:val="0"/>
      <w:jc w:val="center"/>
    </w:pPr>
    <w:rPr>
      <w:rFonts w:ascii="Times New Roman" w:hAnsi="Times New Roman" w:cs="Times New Roman"/>
      <w:kern w:val="2"/>
      <w:sz w:val="21"/>
      <w:szCs w:val="21"/>
    </w:rPr>
  </w:style>
  <w:style w:type="character" w:customStyle="1" w:styleId="a9">
    <w:name w:val="正文文本缩进 字符"/>
    <w:basedOn w:val="a0"/>
    <w:link w:val="a8"/>
    <w:qFormat/>
    <w:rsid w:val="006C731B"/>
    <w:rPr>
      <w:rFonts w:ascii="Times New Roman" w:eastAsia="宋体" w:hAnsi="Times New Roman" w:cs="Times New Roman"/>
      <w:szCs w:val="21"/>
    </w:rPr>
  </w:style>
  <w:style w:type="paragraph" w:customStyle="1" w:styleId="Text">
    <w:name w:val="Text"/>
    <w:basedOn w:val="a"/>
    <w:link w:val="Text0"/>
    <w:rsid w:val="001922C8"/>
    <w:pPr>
      <w:spacing w:before="120"/>
      <w:ind w:firstLine="720"/>
    </w:pPr>
    <w:rPr>
      <w:rFonts w:ascii="Times New Roman" w:eastAsia="Times New Roman" w:hAnsi="Times New Roman" w:cs="Times New Roman"/>
      <w:lang w:eastAsia="en-US"/>
    </w:rPr>
  </w:style>
  <w:style w:type="paragraph" w:customStyle="1" w:styleId="Heading-Main">
    <w:name w:val="Heading-Main"/>
    <w:basedOn w:val="a"/>
    <w:rsid w:val="001922C8"/>
    <w:pPr>
      <w:keepNext/>
      <w:spacing w:before="240" w:after="120"/>
      <w:outlineLvl w:val="0"/>
    </w:pPr>
    <w:rPr>
      <w:rFonts w:ascii="Times New Roman" w:eastAsia="Times New Roman" w:hAnsi="Times New Roman" w:cs="Times New Roman"/>
      <w:b/>
      <w:bCs/>
      <w:kern w:val="28"/>
      <w:lang w:eastAsia="en-US"/>
    </w:rPr>
  </w:style>
  <w:style w:type="character" w:customStyle="1" w:styleId="Text0">
    <w:name w:val="Text 字符"/>
    <w:basedOn w:val="a0"/>
    <w:link w:val="Text"/>
    <w:rsid w:val="001922C8"/>
    <w:rPr>
      <w:rFonts w:ascii="Times New Roman" w:eastAsia="Times New Roman" w:hAnsi="Times New Roman" w:cs="Times New Roman"/>
      <w:kern w:val="0"/>
      <w:sz w:val="24"/>
      <w:lang w:eastAsia="en-US"/>
    </w:rPr>
  </w:style>
  <w:style w:type="paragraph" w:customStyle="1" w:styleId="s8">
    <w:name w:val="s8"/>
    <w:basedOn w:val="a"/>
    <w:rsid w:val="00CD65BD"/>
    <w:pPr>
      <w:spacing w:before="100" w:beforeAutospacing="1" w:after="100" w:afterAutospacing="1"/>
    </w:pPr>
  </w:style>
  <w:style w:type="character" w:customStyle="1" w:styleId="s7">
    <w:name w:val="s7"/>
    <w:basedOn w:val="a0"/>
    <w:rsid w:val="00CD65BD"/>
  </w:style>
  <w:style w:type="paragraph" w:customStyle="1" w:styleId="s10">
    <w:name w:val="s10"/>
    <w:basedOn w:val="a"/>
    <w:rsid w:val="00CD65BD"/>
    <w:pPr>
      <w:spacing w:before="100" w:beforeAutospacing="1" w:after="100" w:afterAutospacing="1"/>
    </w:pPr>
  </w:style>
  <w:style w:type="character" w:customStyle="1" w:styleId="s9">
    <w:name w:val="s9"/>
    <w:basedOn w:val="a0"/>
    <w:rsid w:val="00CD65BD"/>
  </w:style>
  <w:style w:type="character" w:styleId="aa">
    <w:name w:val="line number"/>
    <w:basedOn w:val="a0"/>
    <w:uiPriority w:val="99"/>
    <w:semiHidden/>
    <w:unhideWhenUsed/>
    <w:rsid w:val="00EF07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781362">
      <w:bodyDiv w:val="1"/>
      <w:marLeft w:val="0"/>
      <w:marRight w:val="0"/>
      <w:marTop w:val="0"/>
      <w:marBottom w:val="0"/>
      <w:divBdr>
        <w:top w:val="none" w:sz="0" w:space="0" w:color="auto"/>
        <w:left w:val="none" w:sz="0" w:space="0" w:color="auto"/>
        <w:bottom w:val="none" w:sz="0" w:space="0" w:color="auto"/>
        <w:right w:val="none" w:sz="0" w:space="0" w:color="auto"/>
      </w:divBdr>
    </w:div>
    <w:div w:id="210121946">
      <w:bodyDiv w:val="1"/>
      <w:marLeft w:val="0"/>
      <w:marRight w:val="0"/>
      <w:marTop w:val="0"/>
      <w:marBottom w:val="0"/>
      <w:divBdr>
        <w:top w:val="none" w:sz="0" w:space="0" w:color="auto"/>
        <w:left w:val="none" w:sz="0" w:space="0" w:color="auto"/>
        <w:bottom w:val="none" w:sz="0" w:space="0" w:color="auto"/>
        <w:right w:val="none" w:sz="0" w:space="0" w:color="auto"/>
      </w:divBdr>
    </w:div>
    <w:div w:id="520096289">
      <w:bodyDiv w:val="1"/>
      <w:marLeft w:val="0"/>
      <w:marRight w:val="0"/>
      <w:marTop w:val="0"/>
      <w:marBottom w:val="0"/>
      <w:divBdr>
        <w:top w:val="none" w:sz="0" w:space="0" w:color="auto"/>
        <w:left w:val="none" w:sz="0" w:space="0" w:color="auto"/>
        <w:bottom w:val="none" w:sz="0" w:space="0" w:color="auto"/>
        <w:right w:val="none" w:sz="0" w:space="0" w:color="auto"/>
      </w:divBdr>
    </w:div>
    <w:div w:id="709187386">
      <w:bodyDiv w:val="1"/>
      <w:marLeft w:val="0"/>
      <w:marRight w:val="0"/>
      <w:marTop w:val="0"/>
      <w:marBottom w:val="0"/>
      <w:divBdr>
        <w:top w:val="none" w:sz="0" w:space="0" w:color="auto"/>
        <w:left w:val="none" w:sz="0" w:space="0" w:color="auto"/>
        <w:bottom w:val="none" w:sz="0" w:space="0" w:color="auto"/>
        <w:right w:val="none" w:sz="0" w:space="0" w:color="auto"/>
      </w:divBdr>
    </w:div>
    <w:div w:id="800420844">
      <w:bodyDiv w:val="1"/>
      <w:marLeft w:val="0"/>
      <w:marRight w:val="0"/>
      <w:marTop w:val="0"/>
      <w:marBottom w:val="0"/>
      <w:divBdr>
        <w:top w:val="none" w:sz="0" w:space="0" w:color="auto"/>
        <w:left w:val="none" w:sz="0" w:space="0" w:color="auto"/>
        <w:bottom w:val="none" w:sz="0" w:space="0" w:color="auto"/>
        <w:right w:val="none" w:sz="0" w:space="0" w:color="auto"/>
      </w:divBdr>
    </w:div>
    <w:div w:id="847598877">
      <w:bodyDiv w:val="1"/>
      <w:marLeft w:val="0"/>
      <w:marRight w:val="0"/>
      <w:marTop w:val="0"/>
      <w:marBottom w:val="0"/>
      <w:divBdr>
        <w:top w:val="none" w:sz="0" w:space="0" w:color="auto"/>
        <w:left w:val="none" w:sz="0" w:space="0" w:color="auto"/>
        <w:bottom w:val="none" w:sz="0" w:space="0" w:color="auto"/>
        <w:right w:val="none" w:sz="0" w:space="0" w:color="auto"/>
      </w:divBdr>
    </w:div>
    <w:div w:id="893663485">
      <w:bodyDiv w:val="1"/>
      <w:marLeft w:val="0"/>
      <w:marRight w:val="0"/>
      <w:marTop w:val="0"/>
      <w:marBottom w:val="0"/>
      <w:divBdr>
        <w:top w:val="none" w:sz="0" w:space="0" w:color="auto"/>
        <w:left w:val="none" w:sz="0" w:space="0" w:color="auto"/>
        <w:bottom w:val="none" w:sz="0" w:space="0" w:color="auto"/>
        <w:right w:val="none" w:sz="0" w:space="0" w:color="auto"/>
      </w:divBdr>
    </w:div>
    <w:div w:id="938023426">
      <w:bodyDiv w:val="1"/>
      <w:marLeft w:val="0"/>
      <w:marRight w:val="0"/>
      <w:marTop w:val="0"/>
      <w:marBottom w:val="0"/>
      <w:divBdr>
        <w:top w:val="none" w:sz="0" w:space="0" w:color="auto"/>
        <w:left w:val="none" w:sz="0" w:space="0" w:color="auto"/>
        <w:bottom w:val="none" w:sz="0" w:space="0" w:color="auto"/>
        <w:right w:val="none" w:sz="0" w:space="0" w:color="auto"/>
      </w:divBdr>
    </w:div>
    <w:div w:id="1039622202">
      <w:bodyDiv w:val="1"/>
      <w:marLeft w:val="0"/>
      <w:marRight w:val="0"/>
      <w:marTop w:val="0"/>
      <w:marBottom w:val="0"/>
      <w:divBdr>
        <w:top w:val="none" w:sz="0" w:space="0" w:color="auto"/>
        <w:left w:val="none" w:sz="0" w:space="0" w:color="auto"/>
        <w:bottom w:val="none" w:sz="0" w:space="0" w:color="auto"/>
        <w:right w:val="none" w:sz="0" w:space="0" w:color="auto"/>
      </w:divBdr>
    </w:div>
    <w:div w:id="1164466373">
      <w:bodyDiv w:val="1"/>
      <w:marLeft w:val="0"/>
      <w:marRight w:val="0"/>
      <w:marTop w:val="0"/>
      <w:marBottom w:val="0"/>
      <w:divBdr>
        <w:top w:val="none" w:sz="0" w:space="0" w:color="auto"/>
        <w:left w:val="none" w:sz="0" w:space="0" w:color="auto"/>
        <w:bottom w:val="none" w:sz="0" w:space="0" w:color="auto"/>
        <w:right w:val="none" w:sz="0" w:space="0" w:color="auto"/>
      </w:divBdr>
    </w:div>
    <w:div w:id="1395466338">
      <w:bodyDiv w:val="1"/>
      <w:marLeft w:val="0"/>
      <w:marRight w:val="0"/>
      <w:marTop w:val="0"/>
      <w:marBottom w:val="0"/>
      <w:divBdr>
        <w:top w:val="none" w:sz="0" w:space="0" w:color="auto"/>
        <w:left w:val="none" w:sz="0" w:space="0" w:color="auto"/>
        <w:bottom w:val="none" w:sz="0" w:space="0" w:color="auto"/>
        <w:right w:val="none" w:sz="0" w:space="0" w:color="auto"/>
      </w:divBdr>
    </w:div>
    <w:div w:id="1427649533">
      <w:bodyDiv w:val="1"/>
      <w:marLeft w:val="0"/>
      <w:marRight w:val="0"/>
      <w:marTop w:val="0"/>
      <w:marBottom w:val="0"/>
      <w:divBdr>
        <w:top w:val="none" w:sz="0" w:space="0" w:color="auto"/>
        <w:left w:val="none" w:sz="0" w:space="0" w:color="auto"/>
        <w:bottom w:val="none" w:sz="0" w:space="0" w:color="auto"/>
        <w:right w:val="none" w:sz="0" w:space="0" w:color="auto"/>
      </w:divBdr>
    </w:div>
    <w:div w:id="1743333027">
      <w:bodyDiv w:val="1"/>
      <w:marLeft w:val="0"/>
      <w:marRight w:val="0"/>
      <w:marTop w:val="0"/>
      <w:marBottom w:val="0"/>
      <w:divBdr>
        <w:top w:val="none" w:sz="0" w:space="0" w:color="auto"/>
        <w:left w:val="none" w:sz="0" w:space="0" w:color="auto"/>
        <w:bottom w:val="none" w:sz="0" w:space="0" w:color="auto"/>
        <w:right w:val="none" w:sz="0" w:space="0" w:color="auto"/>
      </w:divBdr>
    </w:div>
    <w:div w:id="1771581144">
      <w:bodyDiv w:val="1"/>
      <w:marLeft w:val="0"/>
      <w:marRight w:val="0"/>
      <w:marTop w:val="0"/>
      <w:marBottom w:val="0"/>
      <w:divBdr>
        <w:top w:val="none" w:sz="0" w:space="0" w:color="auto"/>
        <w:left w:val="none" w:sz="0" w:space="0" w:color="auto"/>
        <w:bottom w:val="none" w:sz="0" w:space="0" w:color="auto"/>
        <w:right w:val="none" w:sz="0" w:space="0" w:color="auto"/>
      </w:divBdr>
    </w:div>
    <w:div w:id="1945376977">
      <w:bodyDiv w:val="1"/>
      <w:marLeft w:val="0"/>
      <w:marRight w:val="0"/>
      <w:marTop w:val="0"/>
      <w:marBottom w:val="0"/>
      <w:divBdr>
        <w:top w:val="none" w:sz="0" w:space="0" w:color="auto"/>
        <w:left w:val="none" w:sz="0" w:space="0" w:color="auto"/>
        <w:bottom w:val="none" w:sz="0" w:space="0" w:color="auto"/>
        <w:right w:val="none" w:sz="0" w:space="0" w:color="auto"/>
      </w:divBdr>
    </w:div>
    <w:div w:id="1974869670">
      <w:bodyDiv w:val="1"/>
      <w:marLeft w:val="0"/>
      <w:marRight w:val="0"/>
      <w:marTop w:val="0"/>
      <w:marBottom w:val="0"/>
      <w:divBdr>
        <w:top w:val="none" w:sz="0" w:space="0" w:color="auto"/>
        <w:left w:val="none" w:sz="0" w:space="0" w:color="auto"/>
        <w:bottom w:val="none" w:sz="0" w:space="0" w:color="auto"/>
        <w:right w:val="none" w:sz="0" w:space="0" w:color="auto"/>
      </w:divBdr>
    </w:div>
    <w:div w:id="2043552042">
      <w:bodyDiv w:val="1"/>
      <w:marLeft w:val="0"/>
      <w:marRight w:val="0"/>
      <w:marTop w:val="0"/>
      <w:marBottom w:val="0"/>
      <w:divBdr>
        <w:top w:val="none" w:sz="0" w:space="0" w:color="auto"/>
        <w:left w:val="none" w:sz="0" w:space="0" w:color="auto"/>
        <w:bottom w:val="none" w:sz="0" w:space="0" w:color="auto"/>
        <w:right w:val="none" w:sz="0" w:space="0" w:color="auto"/>
      </w:divBdr>
      <w:divsChild>
        <w:div w:id="2069526830">
          <w:marLeft w:val="0"/>
          <w:marRight w:val="0"/>
          <w:marTop w:val="0"/>
          <w:marBottom w:val="0"/>
          <w:divBdr>
            <w:top w:val="none" w:sz="0" w:space="0" w:color="auto"/>
            <w:left w:val="none" w:sz="0" w:space="0" w:color="auto"/>
            <w:bottom w:val="none" w:sz="0" w:space="0" w:color="auto"/>
            <w:right w:val="none" w:sz="0" w:space="0" w:color="auto"/>
          </w:divBdr>
          <w:divsChild>
            <w:div w:id="1566454751">
              <w:marLeft w:val="0"/>
              <w:marRight w:val="0"/>
              <w:marTop w:val="0"/>
              <w:marBottom w:val="0"/>
              <w:divBdr>
                <w:top w:val="none" w:sz="0" w:space="0" w:color="auto"/>
                <w:left w:val="none" w:sz="0" w:space="0" w:color="auto"/>
                <w:bottom w:val="none" w:sz="0" w:space="0" w:color="auto"/>
                <w:right w:val="none" w:sz="0" w:space="0" w:color="auto"/>
              </w:divBdr>
              <w:divsChild>
                <w:div w:id="99263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967931">
      <w:bodyDiv w:val="1"/>
      <w:marLeft w:val="0"/>
      <w:marRight w:val="0"/>
      <w:marTop w:val="0"/>
      <w:marBottom w:val="0"/>
      <w:divBdr>
        <w:top w:val="none" w:sz="0" w:space="0" w:color="auto"/>
        <w:left w:val="none" w:sz="0" w:space="0" w:color="auto"/>
        <w:bottom w:val="none" w:sz="0" w:space="0" w:color="auto"/>
        <w:right w:val="none" w:sz="0" w:space="0" w:color="auto"/>
      </w:divBdr>
    </w:div>
    <w:div w:id="2119905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doi.org/10.1093/icesjms/fss056"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doi.org/10.1038/s41558-020-0772-6" TargetMode="External"/><Relationship Id="rId2" Type="http://schemas.openxmlformats.org/officeDocument/2006/relationships/settings" Target="settings.xml"/><Relationship Id="rId16" Type="http://schemas.openxmlformats.org/officeDocument/2006/relationships/hyperlink" Target="https://doi.org/10.1029/2020GL090631"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hyperlink" Target="https://doi.org/10.1029/2021GL092528" TargetMode="External"/><Relationship Id="rId4" Type="http://schemas.openxmlformats.org/officeDocument/2006/relationships/hyperlink" Target="mailto:chenxy@ouc.edu.cn" TargetMode="Externa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124</TotalTime>
  <Pages>13</Pages>
  <Words>1534</Words>
  <Characters>8745</Characters>
  <Application>Microsoft Office Word</Application>
  <DocSecurity>0</DocSecurity>
  <Lines>72</Lines>
  <Paragraphs>20</Paragraphs>
  <ScaleCrop>false</ScaleCrop>
  <Company/>
  <LinksUpToDate>false</LinksUpToDate>
  <CharactersWithSpaces>10259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娣 蔡</dc:creator>
  <cp:keywords/>
  <dc:description/>
  <cp:lastModifiedBy>娣 蔡</cp:lastModifiedBy>
  <cp:revision>134</cp:revision>
  <dcterms:created xsi:type="dcterms:W3CDTF">2024-09-16T12:06:00Z</dcterms:created>
  <dcterms:modified xsi:type="dcterms:W3CDTF">2025-07-30T07:14:00Z</dcterms:modified>
</cp:coreProperties>
</file>