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A3AD0" w14:textId="247A3F3E" w:rsidR="00406F44" w:rsidRPr="00406F44" w:rsidRDefault="00406F44" w:rsidP="00406F44">
      <w:pPr>
        <w:rPr>
          <w:lang w:val="en-US"/>
        </w:rPr>
      </w:pPr>
      <w:r w:rsidRPr="00406F44">
        <w:rPr>
          <w:lang w:val="en-US"/>
        </w:rPr>
        <w:drawing>
          <wp:inline distT="0" distB="0" distL="0" distR="0" wp14:anchorId="7C49E33B" wp14:editId="618ACA28">
            <wp:extent cx="4657725" cy="8229600"/>
            <wp:effectExtent l="0" t="0" r="0" b="0"/>
            <wp:docPr id="1521208575" name="Picture 1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screenshot of a graph&#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57725" cy="8229600"/>
                    </a:xfrm>
                    <a:prstGeom prst="rect">
                      <a:avLst/>
                    </a:prstGeom>
                    <a:noFill/>
                    <a:ln>
                      <a:noFill/>
                    </a:ln>
                  </pic:spPr>
                </pic:pic>
              </a:graphicData>
            </a:graphic>
          </wp:inline>
        </w:drawing>
      </w:r>
    </w:p>
    <w:p w14:paraId="2E7EE8DF" w14:textId="77777777" w:rsidR="00406F44" w:rsidRPr="00406F44" w:rsidRDefault="00406F44" w:rsidP="00406F44">
      <w:pPr>
        <w:rPr>
          <w:lang w:val="en-US"/>
        </w:rPr>
      </w:pPr>
      <w:r w:rsidRPr="00406F44">
        <w:rPr>
          <w:b/>
          <w:lang w:val="en-US"/>
        </w:rPr>
        <w:t xml:space="preserve">Figure S1. NHR-49 is required for the retention of unfertilized oocytes in reproductive and post-reproductive hermaphrodites. (A) </w:t>
      </w:r>
      <w:r w:rsidRPr="00406F44">
        <w:rPr>
          <w:lang w:val="en-US"/>
        </w:rPr>
        <w:t xml:space="preserve">Bar graphs showing mean </w:t>
      </w:r>
      <w:r w:rsidRPr="00406F44">
        <w:rPr>
          <w:lang w:val="en-US"/>
        </w:rPr>
        <w:lastRenderedPageBreak/>
        <w:t xml:space="preserve">brood size of </w:t>
      </w:r>
      <w:r w:rsidRPr="00406F44">
        <w:rPr>
          <w:iCs/>
          <w:lang w:val="en-US"/>
        </w:rPr>
        <w:t>N2</w:t>
      </w:r>
      <w:r w:rsidRPr="00406F44">
        <w:rPr>
          <w:i/>
          <w:lang w:val="en-US"/>
        </w:rPr>
        <w:t xml:space="preserve"> </w:t>
      </w:r>
      <w:r w:rsidRPr="00406F44">
        <w:rPr>
          <w:lang w:val="en-US"/>
        </w:rPr>
        <w:t xml:space="preserve">(wild-type) and </w:t>
      </w:r>
      <w:r w:rsidRPr="00406F44">
        <w:rPr>
          <w:i/>
          <w:lang w:val="en-US"/>
        </w:rPr>
        <w:t xml:space="preserve">nhr-49(gk405) </w:t>
      </w:r>
      <w:r w:rsidRPr="00406F44">
        <w:rPr>
          <w:lang w:val="en-US"/>
        </w:rPr>
        <w:t xml:space="preserve">mutants. </w:t>
      </w:r>
      <w:r w:rsidRPr="00406F44">
        <w:rPr>
          <w:b/>
          <w:lang w:val="en-US"/>
        </w:rPr>
        <w:t xml:space="preserve">(B) </w:t>
      </w:r>
      <w:r w:rsidRPr="00406F44">
        <w:rPr>
          <w:lang w:val="en-US"/>
        </w:rPr>
        <w:t xml:space="preserve">Bar graphs showing the mean number of unfertilized oocytes laid by </w:t>
      </w:r>
      <w:r w:rsidRPr="00406F44">
        <w:rPr>
          <w:iCs/>
          <w:lang w:val="en-US"/>
        </w:rPr>
        <w:t>N2</w:t>
      </w:r>
      <w:r w:rsidRPr="00406F44">
        <w:rPr>
          <w:i/>
          <w:lang w:val="en-US"/>
        </w:rPr>
        <w:t xml:space="preserve"> </w:t>
      </w:r>
      <w:r w:rsidRPr="00406F44">
        <w:rPr>
          <w:lang w:val="en-US"/>
        </w:rPr>
        <w:t xml:space="preserve">(wild-type) and </w:t>
      </w:r>
      <w:r w:rsidRPr="00406F44">
        <w:rPr>
          <w:i/>
          <w:lang w:val="en-US"/>
        </w:rPr>
        <w:t xml:space="preserve">nhr-49(gk405) </w:t>
      </w:r>
      <w:r w:rsidRPr="00406F44">
        <w:rPr>
          <w:lang w:val="en-US"/>
        </w:rPr>
        <w:t xml:space="preserve">mutants on day 6 of adulthood. </w:t>
      </w:r>
      <w:r w:rsidRPr="00406F44">
        <w:rPr>
          <w:b/>
          <w:lang w:val="en-US"/>
        </w:rPr>
        <w:t xml:space="preserve">(C-D) </w:t>
      </w:r>
      <w:r w:rsidRPr="00406F44">
        <w:rPr>
          <w:bCs/>
          <w:lang w:val="en-US"/>
        </w:rPr>
        <w:t>Line graphs</w:t>
      </w:r>
      <w:r w:rsidRPr="00406F44">
        <w:rPr>
          <w:b/>
          <w:lang w:val="en-US"/>
        </w:rPr>
        <w:t xml:space="preserve"> </w:t>
      </w:r>
      <w:r w:rsidRPr="00406F44">
        <w:rPr>
          <w:lang w:val="en-US"/>
        </w:rPr>
        <w:t>showing the number of embryos (C) and unfertilized oocytes (</w:t>
      </w:r>
      <w:proofErr w:type="spellStart"/>
      <w:r w:rsidRPr="00406F44">
        <w:rPr>
          <w:lang w:val="en-US"/>
        </w:rPr>
        <w:t>mean±SD</w:t>
      </w:r>
      <w:proofErr w:type="spellEnd"/>
      <w:r w:rsidRPr="00406F44">
        <w:rPr>
          <w:lang w:val="en-US"/>
        </w:rPr>
        <w:t xml:space="preserve">) (D) laid by </w:t>
      </w:r>
      <w:r w:rsidRPr="00406F44">
        <w:rPr>
          <w:i/>
          <w:lang w:val="en-US"/>
        </w:rPr>
        <w:t>N2</w:t>
      </w:r>
      <w:r w:rsidRPr="00406F44">
        <w:rPr>
          <w:lang w:val="en-US"/>
        </w:rPr>
        <w:t xml:space="preserve"> and </w:t>
      </w:r>
      <w:r w:rsidRPr="00406F44">
        <w:rPr>
          <w:i/>
          <w:lang w:val="en-US"/>
        </w:rPr>
        <w:t xml:space="preserve">nhr-49(gk405) </w:t>
      </w:r>
      <w:r w:rsidRPr="00406F44">
        <w:rPr>
          <w:lang w:val="en-US"/>
        </w:rPr>
        <w:t>worms throughout their reproductive span. Mean values were calculated based on the number of embryos or oocytes laid by at least 14 worms from two independent replicates. Embryo and unfertilized oocyte counts were recorded starting from the L4 larval stage.</w:t>
      </w:r>
      <w:r w:rsidRPr="00406F44">
        <w:rPr>
          <w:lang w:val="en-US"/>
        </w:rPr>
        <w:br w:type="page"/>
      </w:r>
    </w:p>
    <w:p w14:paraId="55B88C66" w14:textId="77777777" w:rsidR="00406F44" w:rsidRPr="00406F44" w:rsidRDefault="00406F44" w:rsidP="00406F44">
      <w:pPr>
        <w:rPr>
          <w:lang w:val="en-US"/>
        </w:rPr>
      </w:pPr>
    </w:p>
    <w:p w14:paraId="23EF19A5" w14:textId="7231541A" w:rsidR="00406F44" w:rsidRPr="00406F44" w:rsidRDefault="00406F44" w:rsidP="00406F44">
      <w:pPr>
        <w:rPr>
          <w:lang w:val="en-US"/>
        </w:rPr>
      </w:pPr>
      <w:r w:rsidRPr="00406F44">
        <w:rPr>
          <w:lang w:val="en-US"/>
        </w:rPr>
        <w:drawing>
          <wp:inline distT="0" distB="0" distL="0" distR="0" wp14:anchorId="399F3828" wp14:editId="2FCD4DE0">
            <wp:extent cx="5114925" cy="5029200"/>
            <wp:effectExtent l="0" t="0" r="0" b="0"/>
            <wp:docPr id="2032991935" name="Picture 1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screenshot of a computer screen&#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14925" cy="5029200"/>
                    </a:xfrm>
                    <a:prstGeom prst="rect">
                      <a:avLst/>
                    </a:prstGeom>
                    <a:noFill/>
                    <a:ln>
                      <a:noFill/>
                    </a:ln>
                  </pic:spPr>
                </pic:pic>
              </a:graphicData>
            </a:graphic>
          </wp:inline>
        </w:drawing>
      </w:r>
    </w:p>
    <w:p w14:paraId="26B79AB2" w14:textId="77777777" w:rsidR="00406F44" w:rsidRPr="00406F44" w:rsidRDefault="00406F44" w:rsidP="00406F44">
      <w:pPr>
        <w:rPr>
          <w:lang w:val="en-US"/>
        </w:rPr>
      </w:pPr>
      <w:r w:rsidRPr="00406F44">
        <w:rPr>
          <w:b/>
          <w:lang w:val="en-US"/>
        </w:rPr>
        <w:t xml:space="preserve">Figure S2. Lifespan shortening and fat loss in </w:t>
      </w:r>
      <w:r w:rsidRPr="00406F44">
        <w:rPr>
          <w:b/>
          <w:i/>
          <w:iCs/>
          <w:lang w:val="en-US"/>
        </w:rPr>
        <w:t>nhr-49</w:t>
      </w:r>
      <w:r w:rsidRPr="00406F44">
        <w:rPr>
          <w:b/>
          <w:lang w:val="en-US"/>
        </w:rPr>
        <w:t xml:space="preserve"> mutants are partially dependent on RME-2-mediated yolk transport into oocytes.</w:t>
      </w:r>
      <w:r w:rsidRPr="00406F44">
        <w:rPr>
          <w:lang w:val="en-US"/>
        </w:rPr>
        <w:t xml:space="preserve"> </w:t>
      </w:r>
      <w:r w:rsidRPr="00406F44">
        <w:rPr>
          <w:b/>
          <w:lang w:val="en-US"/>
        </w:rPr>
        <w:t xml:space="preserve">(A) </w:t>
      </w:r>
      <w:r w:rsidRPr="00406F44">
        <w:rPr>
          <w:lang w:val="en-US"/>
        </w:rPr>
        <w:t xml:space="preserve">Representative images of VIT-2::GFP (YP170::GFP) </w:t>
      </w:r>
      <w:r w:rsidRPr="00406F44">
        <w:rPr>
          <w:lang w:val="en-US"/>
        </w:rPr>
        <w:fldChar w:fldCharType="begin"/>
      </w:r>
      <w:r w:rsidRPr="00406F44">
        <w:rPr>
          <w:lang w:val="en-US"/>
        </w:rPr>
        <w:instrText xml:space="preserve"> ADDIN ZOTERO_ITEM CSL_CITATION {"citationID":"5AL4gKOh","properties":{"formattedCitation":"\\super 42\\nosupersub{}","plainCitation":"42","noteIndex":0},"citationItems":[{"id":229,"uris":["http://zotero.org/users/10491623/items/BBXQ24PW"],"itemData":{"id":229,"type":"article-journal","abstract":"The Caenorhabditis elegans oocyte is a highly amenable system for forward and reverse genetic analysis of receptor-mediated endocytosis. We describe the use of transgenic strains expressing a vitellogenin::green fluorescent protein (YP170::GFP) fusion to monitor yolk endocytosis by the C. elegans oocyte in vivo. This YP170::GFP reporter was used to assay the functions of C. elegans predicted proteins homologous to vertebrate endocytosis factors using RNA-mediated interference. We show that the basic components and pathways of endocytic trafficking are conserved between C. elegans and vertebrates, and that this system can be used to test the endocytic functions of any new gene. We also used the YP170::GFP assay to identify rme (receptor-mediated endocytosis) mutants. We describe a new member of the low-density lipoprotein receptor superfamily, RME-2, identified in our screens for endocytosis defective mutants. We show that RME-2 is the C. elegans yolk receptor.","container-title":"Molecular Biology of the Cell","DOI":"10.1091/mbc.10.12.4311","ISSN":"1059-1524","issue":"12","journalAbbreviation":"Mol Biol Cell","note":"PMID: 10588660\nPMCID: PMC25760","page":"4311-4326","source":"PubMed Central","title":"Receptor-mediated Endocytosis in the Caenorhabditis elegans Oocyte","volume":"10","author":[{"family":"Grant","given":"Barth"},{"family":"Hirsh","given":"David"}],"issued":{"date-parts":[["1999",12]]}}}],"schema":"https://github.com/citation-style-language/schema/raw/master/csl-citation.json"} </w:instrText>
      </w:r>
      <w:r w:rsidRPr="00406F44">
        <w:rPr>
          <w:lang w:val="en-US"/>
        </w:rPr>
        <w:fldChar w:fldCharType="separate"/>
      </w:r>
      <w:r w:rsidRPr="00406F44">
        <w:rPr>
          <w:vertAlign w:val="superscript"/>
          <w:lang w:val="en-US"/>
        </w:rPr>
        <w:t>42</w:t>
      </w:r>
      <w:r w:rsidRPr="00406F44">
        <w:fldChar w:fldCharType="end"/>
      </w:r>
      <w:r w:rsidRPr="00406F44">
        <w:rPr>
          <w:lang w:val="en-US"/>
        </w:rPr>
        <w:t xml:space="preserve">expression in </w:t>
      </w:r>
      <w:r w:rsidRPr="00406F44">
        <w:rPr>
          <w:i/>
          <w:lang w:val="en-US"/>
        </w:rPr>
        <w:t xml:space="preserve">fem-3(e1996);nhr-49(gk405) </w:t>
      </w:r>
      <w:r w:rsidRPr="00406F44">
        <w:rPr>
          <w:iCs/>
          <w:lang w:val="en-US"/>
        </w:rPr>
        <w:t xml:space="preserve">worms </w:t>
      </w:r>
      <w:r w:rsidRPr="00406F44">
        <w:rPr>
          <w:lang w:val="en-US"/>
        </w:rPr>
        <w:t xml:space="preserve">with and without </w:t>
      </w:r>
      <w:r w:rsidRPr="00406F44">
        <w:rPr>
          <w:i/>
          <w:lang w:val="en-US"/>
        </w:rPr>
        <w:t>rme-2</w:t>
      </w:r>
      <w:r w:rsidRPr="00406F44">
        <w:rPr>
          <w:lang w:val="en-US"/>
        </w:rPr>
        <w:t xml:space="preserve"> RNAi. </w:t>
      </w:r>
      <w:r w:rsidRPr="00406F44">
        <w:rPr>
          <w:b/>
          <w:lang w:val="en-US"/>
        </w:rPr>
        <w:t xml:space="preserve">(B) </w:t>
      </w:r>
      <w:r w:rsidRPr="00406F44">
        <w:rPr>
          <w:lang w:val="en-US"/>
        </w:rPr>
        <w:t xml:space="preserve">Bar graph showing fluorescence intensity in the indicated strains on day 1 of adulthood. Fluorescence intensity is shown as the mean intensity (N &gt;10) for the indicated genotype with or without </w:t>
      </w:r>
      <w:r w:rsidRPr="00406F44">
        <w:rPr>
          <w:i/>
          <w:iCs/>
          <w:lang w:val="en-US"/>
        </w:rPr>
        <w:t>rme-2</w:t>
      </w:r>
      <w:r w:rsidRPr="00406F44">
        <w:rPr>
          <w:lang w:val="en-US"/>
        </w:rPr>
        <w:t xml:space="preserve"> RNAi. Two-tailed P values were computed using an unpaired t-test. </w:t>
      </w:r>
      <w:r w:rsidRPr="00406F44">
        <w:rPr>
          <w:b/>
          <w:lang w:val="en-US"/>
        </w:rPr>
        <w:t xml:space="preserve">(E) </w:t>
      </w:r>
      <w:r w:rsidRPr="00406F44">
        <w:rPr>
          <w:lang w:val="en-US"/>
        </w:rPr>
        <w:t xml:space="preserve">Survival curves for </w:t>
      </w:r>
      <w:r w:rsidRPr="00406F44">
        <w:rPr>
          <w:iCs/>
          <w:lang w:val="en-US"/>
        </w:rPr>
        <w:t>N2 (Wildtype</w:t>
      </w:r>
      <w:r w:rsidRPr="00406F44">
        <w:rPr>
          <w:i/>
          <w:lang w:val="en-US"/>
        </w:rPr>
        <w:t>)</w:t>
      </w:r>
      <w:r w:rsidRPr="00406F44">
        <w:rPr>
          <w:lang w:val="en-US"/>
        </w:rPr>
        <w:t xml:space="preserve">, and </w:t>
      </w:r>
      <w:r w:rsidRPr="00406F44">
        <w:rPr>
          <w:i/>
          <w:lang w:val="en-US"/>
        </w:rPr>
        <w:t xml:space="preserve">nhr-49(gk405) </w:t>
      </w:r>
      <w:r w:rsidRPr="00406F44">
        <w:rPr>
          <w:lang w:val="en-US"/>
        </w:rPr>
        <w:t xml:space="preserve">mutants treated with control RNAi (EV) and </w:t>
      </w:r>
      <w:proofErr w:type="gramStart"/>
      <w:r w:rsidRPr="00406F44">
        <w:rPr>
          <w:i/>
          <w:lang w:val="en-US"/>
        </w:rPr>
        <w:t>rme</w:t>
      </w:r>
      <w:proofErr w:type="gramEnd"/>
      <w:r w:rsidRPr="00406F44">
        <w:rPr>
          <w:i/>
          <w:lang w:val="en-US"/>
        </w:rPr>
        <w:t>-2</w:t>
      </w:r>
      <w:r w:rsidRPr="00406F44">
        <w:rPr>
          <w:lang w:val="en-US"/>
        </w:rPr>
        <w:t xml:space="preserve"> RNAi from one representative experiment. Quantitative data and Kaplan–Meier statistics are provided in table 2.</w:t>
      </w:r>
    </w:p>
    <w:p w14:paraId="6CB66AA4" w14:textId="325DE2DB" w:rsidR="00406F44" w:rsidRPr="00406F44" w:rsidRDefault="00406F44" w:rsidP="00406F44">
      <w:pPr>
        <w:rPr>
          <w:lang w:val="en-US"/>
        </w:rPr>
      </w:pPr>
      <w:r w:rsidRPr="00406F44">
        <w:rPr>
          <w:lang w:val="en-US"/>
        </w:rPr>
        <w:lastRenderedPageBreak/>
        <w:drawing>
          <wp:inline distT="0" distB="0" distL="0" distR="0" wp14:anchorId="2C3A3BC3" wp14:editId="0EAA3271">
            <wp:extent cx="5038725" cy="4819650"/>
            <wp:effectExtent l="0" t="0" r="0" b="0"/>
            <wp:docPr id="910001134" name="Picture 12"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screenshot of a computer screen&#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8725" cy="4819650"/>
                    </a:xfrm>
                    <a:prstGeom prst="rect">
                      <a:avLst/>
                    </a:prstGeom>
                    <a:noFill/>
                    <a:ln>
                      <a:noFill/>
                    </a:ln>
                  </pic:spPr>
                </pic:pic>
              </a:graphicData>
            </a:graphic>
          </wp:inline>
        </w:drawing>
      </w:r>
    </w:p>
    <w:p w14:paraId="2D25F676" w14:textId="77777777" w:rsidR="00406F44" w:rsidRPr="00406F44" w:rsidRDefault="00406F44" w:rsidP="00406F44">
      <w:pPr>
        <w:rPr>
          <w:lang w:val="en-US"/>
        </w:rPr>
      </w:pPr>
      <w:r w:rsidRPr="00406F44">
        <w:rPr>
          <w:b/>
          <w:lang w:val="en-US"/>
        </w:rPr>
        <w:t xml:space="preserve">Figure S3. NHR-49 negatively regulates oocyte activation in the proximal gonad of feminized mutants. (A) </w:t>
      </w:r>
      <w:r w:rsidRPr="00406F44">
        <w:rPr>
          <w:lang w:val="en-US"/>
        </w:rPr>
        <w:t xml:space="preserve">Representative images of dpMPK-1 staining (red) of dissected gonads from day-1 adult feminized </w:t>
      </w:r>
      <w:r w:rsidRPr="00406F44">
        <w:rPr>
          <w:i/>
          <w:iCs/>
          <w:lang w:val="en-US"/>
        </w:rPr>
        <w:t>fog-3(q443)</w:t>
      </w:r>
      <w:r w:rsidRPr="00406F44">
        <w:rPr>
          <w:lang w:val="en-US"/>
        </w:rPr>
        <w:t xml:space="preserve"> and </w:t>
      </w:r>
      <w:r w:rsidRPr="00406F44">
        <w:rPr>
          <w:i/>
          <w:iCs/>
          <w:lang w:val="en-US"/>
        </w:rPr>
        <w:t>fog-3(q443</w:t>
      </w:r>
      <w:proofErr w:type="gramStart"/>
      <w:r w:rsidRPr="00406F44">
        <w:rPr>
          <w:i/>
          <w:iCs/>
          <w:lang w:val="en-US"/>
        </w:rPr>
        <w:t>)</w:t>
      </w:r>
      <w:r w:rsidRPr="00406F44">
        <w:rPr>
          <w:i/>
          <w:lang w:val="en-US"/>
        </w:rPr>
        <w:t>;nhr</w:t>
      </w:r>
      <w:proofErr w:type="gramEnd"/>
      <w:r w:rsidRPr="00406F44">
        <w:rPr>
          <w:i/>
          <w:lang w:val="en-US"/>
        </w:rPr>
        <w:t xml:space="preserve">-49(gk405) </w:t>
      </w:r>
      <w:r w:rsidRPr="00406F44">
        <w:rPr>
          <w:lang w:val="en-US"/>
        </w:rPr>
        <w:t>double mutants.</w:t>
      </w:r>
      <w:r w:rsidRPr="00406F44">
        <w:rPr>
          <w:b/>
          <w:lang w:val="en-US"/>
        </w:rPr>
        <w:t xml:space="preserve"> </w:t>
      </w:r>
      <w:r w:rsidRPr="00406F44">
        <w:rPr>
          <w:lang w:val="en-US"/>
        </w:rPr>
        <w:t xml:space="preserve">The position of the oocyte most proximal to the spermatheca in each image is marked by a yellow arrowhead. </w:t>
      </w:r>
      <w:r w:rsidRPr="00406F44">
        <w:rPr>
          <w:b/>
          <w:lang w:val="en-US"/>
        </w:rPr>
        <w:t>(B)</w:t>
      </w:r>
      <w:r w:rsidRPr="00406F44">
        <w:rPr>
          <w:lang w:val="en-US"/>
        </w:rPr>
        <w:t xml:space="preserve"> Bar graph showing dpMPK-1 </w:t>
      </w:r>
      <w:proofErr w:type="gramStart"/>
      <w:r w:rsidRPr="00406F44">
        <w:rPr>
          <w:lang w:val="en-US"/>
        </w:rPr>
        <w:t>mean</w:t>
      </w:r>
      <w:proofErr w:type="gramEnd"/>
      <w:r w:rsidRPr="00406F44">
        <w:rPr>
          <w:lang w:val="en-US"/>
        </w:rPr>
        <w:t xml:space="preserve"> signal intensity in the proximal oocytes of the strains indicated in (A). Two-tailed p-values were computed using an unpaired t-test.</w:t>
      </w:r>
      <w:r w:rsidRPr="00406F44">
        <w:rPr>
          <w:b/>
          <w:lang w:val="en-US"/>
        </w:rPr>
        <w:t xml:space="preserve"> (C)</w:t>
      </w:r>
      <w:r w:rsidRPr="00406F44">
        <w:rPr>
          <w:lang w:val="en-US"/>
        </w:rPr>
        <w:t xml:space="preserve"> Representative images of dpMPK-1 staining of dissected gonads from post-reproductive N2 (wild-type) and </w:t>
      </w:r>
      <w:r w:rsidRPr="00406F44">
        <w:rPr>
          <w:i/>
          <w:iCs/>
          <w:lang w:val="en-US"/>
        </w:rPr>
        <w:t>nhr-49(gk405)</w:t>
      </w:r>
      <w:r w:rsidRPr="00406F44">
        <w:rPr>
          <w:lang w:val="en-US"/>
        </w:rPr>
        <w:t xml:space="preserve"> mutants at day 6 adulthood. The position of the oocyte most proximal to the spermatheca in each image is marked by a yellow arrowhead. </w:t>
      </w:r>
      <w:r w:rsidRPr="00406F44">
        <w:rPr>
          <w:b/>
          <w:lang w:val="en-US"/>
        </w:rPr>
        <w:t>(D)</w:t>
      </w:r>
      <w:r w:rsidRPr="00406F44">
        <w:rPr>
          <w:lang w:val="en-US"/>
        </w:rPr>
        <w:t xml:space="preserve"> Bar graph showing dpMPK-1 </w:t>
      </w:r>
      <w:proofErr w:type="gramStart"/>
      <w:r w:rsidRPr="00406F44">
        <w:rPr>
          <w:lang w:val="en-US"/>
        </w:rPr>
        <w:t>mean</w:t>
      </w:r>
      <w:proofErr w:type="gramEnd"/>
      <w:r w:rsidRPr="00406F44">
        <w:rPr>
          <w:lang w:val="en-US"/>
        </w:rPr>
        <w:t xml:space="preserve"> signal intensity in the proximal oocytes of the strains indicated in (C). </w:t>
      </w:r>
      <w:proofErr w:type="gramStart"/>
      <w:r w:rsidRPr="00406F44">
        <w:rPr>
          <w:lang w:val="en-US"/>
        </w:rPr>
        <w:t>Two-tailed</w:t>
      </w:r>
      <w:proofErr w:type="gramEnd"/>
      <w:r w:rsidRPr="00406F44">
        <w:rPr>
          <w:lang w:val="en-US"/>
        </w:rPr>
        <w:t xml:space="preserve"> p-value were computed using an unpaired t-test.</w:t>
      </w:r>
    </w:p>
    <w:p w14:paraId="246CE177" w14:textId="6A2B0544" w:rsidR="00406F44" w:rsidRPr="00406F44" w:rsidRDefault="00406F44" w:rsidP="00406F44">
      <w:pPr>
        <w:rPr>
          <w:b/>
          <w:lang w:val="en-US"/>
        </w:rPr>
      </w:pPr>
      <w:r w:rsidRPr="00406F44">
        <w:rPr>
          <w:lang w:val="en-US"/>
        </w:rPr>
        <w:lastRenderedPageBreak/>
        <w:drawing>
          <wp:inline distT="0" distB="0" distL="0" distR="0" wp14:anchorId="51136A86" wp14:editId="19EB1F2C">
            <wp:extent cx="5731510" cy="6824345"/>
            <wp:effectExtent l="0" t="0" r="0" b="0"/>
            <wp:docPr id="1777732862" name="Picture 11"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screenshot of a video game&#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6824345"/>
                    </a:xfrm>
                    <a:prstGeom prst="rect">
                      <a:avLst/>
                    </a:prstGeom>
                    <a:noFill/>
                    <a:ln>
                      <a:noFill/>
                    </a:ln>
                  </pic:spPr>
                </pic:pic>
              </a:graphicData>
            </a:graphic>
          </wp:inline>
        </w:drawing>
      </w:r>
    </w:p>
    <w:p w14:paraId="0012487C" w14:textId="77777777" w:rsidR="00406F44" w:rsidRPr="00406F44" w:rsidRDefault="00406F44" w:rsidP="00406F44">
      <w:pPr>
        <w:rPr>
          <w:b/>
          <w:lang w:val="en-US"/>
        </w:rPr>
      </w:pPr>
      <w:r w:rsidRPr="00406F44">
        <w:rPr>
          <w:b/>
          <w:lang w:val="en-US"/>
        </w:rPr>
        <w:t xml:space="preserve">Figure S4. NHR-49 promotes germline MPK-1 activation in feminized and post-reproductive animals. (A-B) </w:t>
      </w:r>
      <w:r w:rsidRPr="00406F44">
        <w:rPr>
          <w:bCs/>
          <w:lang w:val="en-US"/>
        </w:rPr>
        <w:t xml:space="preserve">Representative images of dpMPK-1 staining (red) in dissected gonads from day 1 adult N2 (wild-type), </w:t>
      </w:r>
      <w:r w:rsidRPr="00406F44">
        <w:rPr>
          <w:bCs/>
          <w:i/>
          <w:iCs/>
          <w:lang w:val="en-US"/>
        </w:rPr>
        <w:t>nhr-49(gk405)</w:t>
      </w:r>
      <w:r w:rsidRPr="00406F44">
        <w:rPr>
          <w:bCs/>
          <w:lang w:val="en-US"/>
        </w:rPr>
        <w:t xml:space="preserve">, </w:t>
      </w:r>
      <w:r w:rsidRPr="00406F44">
        <w:rPr>
          <w:bCs/>
          <w:i/>
          <w:iCs/>
          <w:lang w:val="en-US"/>
        </w:rPr>
        <w:t>fem-3(e1996)</w:t>
      </w:r>
      <w:r w:rsidRPr="00406F44">
        <w:rPr>
          <w:bCs/>
          <w:lang w:val="en-US"/>
        </w:rPr>
        <w:t xml:space="preserve">, </w:t>
      </w:r>
      <w:r w:rsidRPr="00406F44">
        <w:rPr>
          <w:bCs/>
          <w:i/>
          <w:iCs/>
          <w:lang w:val="en-US"/>
        </w:rPr>
        <w:t>fem-3(e1996</w:t>
      </w:r>
      <w:proofErr w:type="gramStart"/>
      <w:r w:rsidRPr="00406F44">
        <w:rPr>
          <w:bCs/>
          <w:i/>
          <w:iCs/>
          <w:lang w:val="en-US"/>
        </w:rPr>
        <w:t>);nhr</w:t>
      </w:r>
      <w:proofErr w:type="gramEnd"/>
      <w:r w:rsidRPr="00406F44">
        <w:rPr>
          <w:bCs/>
          <w:i/>
          <w:iCs/>
          <w:lang w:val="en-US"/>
        </w:rPr>
        <w:t>-49(gk405)</w:t>
      </w:r>
      <w:r w:rsidRPr="00406F44">
        <w:rPr>
          <w:bCs/>
          <w:lang w:val="en-US"/>
        </w:rPr>
        <w:t xml:space="preserve">, </w:t>
      </w:r>
      <w:r w:rsidRPr="00406F44">
        <w:rPr>
          <w:bCs/>
          <w:i/>
          <w:iCs/>
          <w:lang w:val="en-US"/>
        </w:rPr>
        <w:t>fog-3(q443)</w:t>
      </w:r>
      <w:r w:rsidRPr="00406F44">
        <w:rPr>
          <w:bCs/>
          <w:lang w:val="en-US"/>
        </w:rPr>
        <w:t xml:space="preserve">, and </w:t>
      </w:r>
      <w:r w:rsidRPr="00406F44">
        <w:rPr>
          <w:bCs/>
          <w:i/>
          <w:iCs/>
          <w:lang w:val="en-US"/>
        </w:rPr>
        <w:t>fog-3(q443</w:t>
      </w:r>
      <w:proofErr w:type="gramStart"/>
      <w:r w:rsidRPr="00406F44">
        <w:rPr>
          <w:bCs/>
          <w:i/>
          <w:iCs/>
          <w:lang w:val="en-US"/>
        </w:rPr>
        <w:t>);nhr</w:t>
      </w:r>
      <w:proofErr w:type="gramEnd"/>
      <w:r w:rsidRPr="00406F44">
        <w:rPr>
          <w:bCs/>
          <w:i/>
          <w:iCs/>
          <w:lang w:val="en-US"/>
        </w:rPr>
        <w:t>-49(gk405)</w:t>
      </w:r>
      <w:r w:rsidRPr="00406F44">
        <w:rPr>
          <w:bCs/>
          <w:lang w:val="en-US"/>
        </w:rPr>
        <w:t xml:space="preserve">. DAPI (cyan) marks germ cell nuclei. </w:t>
      </w:r>
      <w:r w:rsidRPr="00406F44">
        <w:rPr>
          <w:lang w:val="en-US"/>
        </w:rPr>
        <w:t xml:space="preserve">The position of the oocyte most proximal to the spermatheca in each image is marked by a yellow or arrowhead. </w:t>
      </w:r>
      <w:r w:rsidRPr="00406F44">
        <w:rPr>
          <w:b/>
          <w:bCs/>
          <w:lang w:val="en-US"/>
        </w:rPr>
        <w:t xml:space="preserve">(C-D) </w:t>
      </w:r>
      <w:r w:rsidRPr="00406F44">
        <w:rPr>
          <w:lang w:val="en-US"/>
        </w:rPr>
        <w:t xml:space="preserve">Bar graph showing dpMPK-1 signal intensity in the proximal oocytes of the indicated strains. Statistical comparisons were performed using one-way analysis of variance (ANOVA) followed by Tukey’s multiple </w:t>
      </w:r>
      <w:r w:rsidRPr="00406F44">
        <w:rPr>
          <w:lang w:val="en-US"/>
        </w:rPr>
        <w:lastRenderedPageBreak/>
        <w:t xml:space="preserve">comparisons test. More than 45 worms from 2 independent replicates per genotype were analyzed. </w:t>
      </w:r>
      <w:r w:rsidRPr="00406F44">
        <w:rPr>
          <w:bCs/>
          <w:lang w:val="en-US"/>
        </w:rPr>
        <w:t xml:space="preserve">(E) Representative images of dpMPK-1 </w:t>
      </w:r>
      <w:proofErr w:type="gramStart"/>
      <w:r w:rsidRPr="00406F44">
        <w:rPr>
          <w:bCs/>
          <w:lang w:val="en-US"/>
        </w:rPr>
        <w:t>staining in</w:t>
      </w:r>
      <w:proofErr w:type="gramEnd"/>
      <w:r w:rsidRPr="00406F44">
        <w:rPr>
          <w:bCs/>
          <w:lang w:val="en-US"/>
        </w:rPr>
        <w:t xml:space="preserve"> dissected gonads from day 6 N2 and </w:t>
      </w:r>
      <w:r w:rsidRPr="00406F44">
        <w:rPr>
          <w:bCs/>
          <w:i/>
          <w:iCs/>
          <w:lang w:val="en-US"/>
        </w:rPr>
        <w:t xml:space="preserve">nhr-49(gk405) </w:t>
      </w:r>
      <w:r w:rsidRPr="00406F44">
        <w:rPr>
          <w:bCs/>
          <w:lang w:val="en-US"/>
        </w:rPr>
        <w:t>worms. Scale bars = 50 µm. (F)</w:t>
      </w:r>
      <w:r w:rsidRPr="00406F44">
        <w:rPr>
          <w:b/>
          <w:bCs/>
          <w:lang w:val="en-US"/>
        </w:rPr>
        <w:t xml:space="preserve"> </w:t>
      </w:r>
      <w:r w:rsidRPr="00406F44">
        <w:rPr>
          <w:lang w:val="en-US"/>
        </w:rPr>
        <w:t xml:space="preserve">Bar graph showing dpMPK-1 signal intensity in the proximal oocytes of </w:t>
      </w:r>
      <w:r w:rsidRPr="00406F44">
        <w:rPr>
          <w:b/>
          <w:bCs/>
          <w:lang w:val="en-US"/>
        </w:rPr>
        <w:t>day 6 post-reproductive adults</w:t>
      </w:r>
      <w:r w:rsidRPr="00406F44">
        <w:rPr>
          <w:lang w:val="en-US"/>
        </w:rPr>
        <w:t xml:space="preserve"> of the indicated strains. Statistical comparisons were performed using one-way analysis of variance (ANOVA) followed by Tukey’s multiple comparisons test. More than 45 worms from 2 independent replicates per genotype were analyzed. </w:t>
      </w:r>
      <w:r w:rsidRPr="00406F44">
        <w:rPr>
          <w:b/>
          <w:bCs/>
          <w:lang w:val="en-US"/>
        </w:rPr>
        <w:t xml:space="preserve"> Panel (D) and (F) were analyzed using unpaired two-tailed t-tests. Bars represent mean ± SD. </w:t>
      </w:r>
    </w:p>
    <w:p w14:paraId="58735DA4" w14:textId="3224703A" w:rsidR="00406F44" w:rsidRPr="00406F44" w:rsidRDefault="00406F44" w:rsidP="00406F44">
      <w:pPr>
        <w:rPr>
          <w:lang w:val="en-US"/>
        </w:rPr>
      </w:pPr>
      <w:r w:rsidRPr="00406F44">
        <w:rPr>
          <w:lang w:val="en-US"/>
        </w:rPr>
        <w:lastRenderedPageBreak/>
        <w:drawing>
          <wp:inline distT="0" distB="0" distL="0" distR="0" wp14:anchorId="70EA89D8" wp14:editId="203526F6">
            <wp:extent cx="5705475" cy="8229600"/>
            <wp:effectExtent l="0" t="0" r="0" b="0"/>
            <wp:docPr id="393241153" name="Picture 10" descr="A screenshot of a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 screenshot of a game&#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5475" cy="8229600"/>
                    </a:xfrm>
                    <a:prstGeom prst="rect">
                      <a:avLst/>
                    </a:prstGeom>
                    <a:noFill/>
                    <a:ln>
                      <a:noFill/>
                    </a:ln>
                  </pic:spPr>
                </pic:pic>
              </a:graphicData>
            </a:graphic>
          </wp:inline>
        </w:drawing>
      </w:r>
      <w:r w:rsidRPr="00406F44">
        <w:rPr>
          <w:b/>
          <w:lang w:val="en-US"/>
        </w:rPr>
        <w:t xml:space="preserve">Figure S5. NHR-49 likely regulates oocyte activation primarily through somatic tissues. (A-B) </w:t>
      </w:r>
      <w:r w:rsidRPr="00406F44">
        <w:rPr>
          <w:lang w:val="en-US"/>
        </w:rPr>
        <w:t xml:space="preserve">Bar graphs showing mean dpMPK-1 signal intensities from </w:t>
      </w:r>
      <w:proofErr w:type="spellStart"/>
      <w:r w:rsidRPr="00406F44">
        <w:rPr>
          <w:lang w:val="en-US"/>
        </w:rPr>
        <w:lastRenderedPageBreak/>
        <w:t>immunostained</w:t>
      </w:r>
      <w:proofErr w:type="spellEnd"/>
      <w:r w:rsidRPr="00406F44">
        <w:rPr>
          <w:lang w:val="en-US"/>
        </w:rPr>
        <w:t xml:space="preserve"> gonads of </w:t>
      </w:r>
      <w:r w:rsidRPr="00406F44">
        <w:rPr>
          <w:b/>
          <w:bCs/>
          <w:i/>
          <w:iCs/>
          <w:lang w:val="en-US"/>
        </w:rPr>
        <w:t>fog-3(q443</w:t>
      </w:r>
      <w:proofErr w:type="gramStart"/>
      <w:r w:rsidRPr="00406F44">
        <w:rPr>
          <w:b/>
          <w:bCs/>
          <w:i/>
          <w:iCs/>
          <w:lang w:val="en-US"/>
        </w:rPr>
        <w:t>)</w:t>
      </w:r>
      <w:r w:rsidRPr="00406F44">
        <w:rPr>
          <w:i/>
          <w:lang w:val="en-US"/>
        </w:rPr>
        <w:t>;Ppie</w:t>
      </w:r>
      <w:proofErr w:type="gramEnd"/>
      <w:r w:rsidRPr="00406F44">
        <w:rPr>
          <w:i/>
          <w:lang w:val="en-US"/>
        </w:rPr>
        <w:t>-</w:t>
      </w:r>
      <w:proofErr w:type="gramStart"/>
      <w:r w:rsidRPr="00406F44">
        <w:rPr>
          <w:i/>
          <w:lang w:val="en-US"/>
        </w:rPr>
        <w:t>1::</w:t>
      </w:r>
      <w:proofErr w:type="gramEnd"/>
      <w:r w:rsidRPr="00406F44">
        <w:rPr>
          <w:i/>
          <w:lang w:val="en-US"/>
        </w:rPr>
        <w:t>VAB-</w:t>
      </w:r>
      <w:proofErr w:type="gramStart"/>
      <w:r w:rsidRPr="00406F44">
        <w:rPr>
          <w:i/>
          <w:lang w:val="en-US"/>
        </w:rPr>
        <w:t>1::</w:t>
      </w:r>
      <w:proofErr w:type="gramEnd"/>
      <w:r w:rsidRPr="00406F44">
        <w:rPr>
          <w:i/>
          <w:lang w:val="en-US"/>
        </w:rPr>
        <w:t xml:space="preserve">GFP </w:t>
      </w:r>
      <w:r w:rsidRPr="00406F44">
        <w:rPr>
          <w:iCs/>
          <w:lang w:val="en-US"/>
        </w:rPr>
        <w:t>worms, in which</w:t>
      </w:r>
      <w:r w:rsidRPr="00406F44">
        <w:rPr>
          <w:i/>
          <w:lang w:val="en-US"/>
        </w:rPr>
        <w:t xml:space="preserve"> </w:t>
      </w:r>
      <w:r w:rsidRPr="00406F44">
        <w:rPr>
          <w:i/>
          <w:iCs/>
          <w:lang w:val="en-US"/>
        </w:rPr>
        <w:t>vab-1</w:t>
      </w:r>
      <w:r w:rsidRPr="00406F44">
        <w:rPr>
          <w:lang w:val="en-US"/>
        </w:rPr>
        <w:t xml:space="preserve"> is driven by a germline-specific promoter </w:t>
      </w:r>
      <w:r w:rsidRPr="00406F44">
        <w:rPr>
          <w:i/>
          <w:iCs/>
          <w:lang w:val="en-US"/>
        </w:rPr>
        <w:t>pie-1</w:t>
      </w:r>
      <w:r w:rsidRPr="00406F44">
        <w:rPr>
          <w:lang w:val="en-US"/>
        </w:rPr>
        <w:t xml:space="preserve">. Quantification of signal intensities in the distal oogenesis region (A) and in the proximal oocyte maturation region (B). These worms still showed aberrant dpMPK-1 expression upon </w:t>
      </w:r>
      <w:r w:rsidRPr="00406F44">
        <w:rPr>
          <w:i/>
          <w:lang w:val="en-US"/>
        </w:rPr>
        <w:t>nhr-49</w:t>
      </w:r>
      <w:r w:rsidRPr="00406F44">
        <w:rPr>
          <w:lang w:val="en-US"/>
        </w:rPr>
        <w:t xml:space="preserve"> RNAi in both distal and proximal regions. Comparisons were statistically tested by one-way analysis of variance (ANOVA) followed by multiple comparisons with Tukey's correction, based on more than 45 worms from two independent replicates per genotype. </w:t>
      </w:r>
      <w:r w:rsidRPr="00406F44">
        <w:rPr>
          <w:b/>
          <w:bCs/>
          <w:lang w:val="en-US"/>
        </w:rPr>
        <w:t xml:space="preserve">(C) </w:t>
      </w:r>
      <w:r w:rsidRPr="00406F44">
        <w:rPr>
          <w:bCs/>
          <w:lang w:val="en-US"/>
        </w:rPr>
        <w:t xml:space="preserve">Representative images of dpMPK-1 staining (red) in dissected gonads </w:t>
      </w:r>
      <w:r w:rsidRPr="00406F44">
        <w:rPr>
          <w:lang w:val="en-US"/>
        </w:rPr>
        <w:t xml:space="preserve">of </w:t>
      </w:r>
      <w:r w:rsidRPr="00406F44">
        <w:rPr>
          <w:b/>
          <w:bCs/>
          <w:i/>
          <w:iCs/>
          <w:lang w:val="en-US"/>
        </w:rPr>
        <w:t>fog-3(q443</w:t>
      </w:r>
      <w:proofErr w:type="gramStart"/>
      <w:r w:rsidRPr="00406F44">
        <w:rPr>
          <w:b/>
          <w:bCs/>
          <w:i/>
          <w:iCs/>
          <w:lang w:val="en-US"/>
        </w:rPr>
        <w:t>)</w:t>
      </w:r>
      <w:r w:rsidRPr="00406F44">
        <w:rPr>
          <w:i/>
          <w:iCs/>
          <w:lang w:val="en-US"/>
        </w:rPr>
        <w:t>;Ppie</w:t>
      </w:r>
      <w:proofErr w:type="gramEnd"/>
      <w:r w:rsidRPr="00406F44">
        <w:rPr>
          <w:i/>
          <w:iCs/>
          <w:lang w:val="en-US"/>
        </w:rPr>
        <w:t>-</w:t>
      </w:r>
      <w:proofErr w:type="gramStart"/>
      <w:r w:rsidRPr="00406F44">
        <w:rPr>
          <w:i/>
          <w:iCs/>
          <w:lang w:val="en-US"/>
        </w:rPr>
        <w:t>1::</w:t>
      </w:r>
      <w:proofErr w:type="gramEnd"/>
      <w:r w:rsidRPr="00406F44">
        <w:rPr>
          <w:i/>
          <w:iCs/>
          <w:lang w:val="en-US"/>
        </w:rPr>
        <w:t>VAB-</w:t>
      </w:r>
      <w:proofErr w:type="gramStart"/>
      <w:r w:rsidRPr="00406F44">
        <w:rPr>
          <w:i/>
          <w:iCs/>
          <w:lang w:val="en-US"/>
        </w:rPr>
        <w:t>1::</w:t>
      </w:r>
      <w:proofErr w:type="gramEnd"/>
      <w:r w:rsidRPr="00406F44">
        <w:rPr>
          <w:i/>
          <w:iCs/>
          <w:lang w:val="en-US"/>
        </w:rPr>
        <w:t>GFP</w:t>
      </w:r>
      <w:r w:rsidRPr="00406F44">
        <w:rPr>
          <w:lang w:val="en-US"/>
        </w:rPr>
        <w:t xml:space="preserve"> animals. Animals were treated with control (EV) or </w:t>
      </w:r>
      <w:r w:rsidRPr="00406F44">
        <w:rPr>
          <w:i/>
          <w:iCs/>
          <w:lang w:val="en-US"/>
        </w:rPr>
        <w:t>nhr-49</w:t>
      </w:r>
      <w:r w:rsidRPr="00406F44">
        <w:rPr>
          <w:lang w:val="en-US"/>
        </w:rPr>
        <w:t xml:space="preserve"> RNAi. DAPI staining (blue) was used to stain germ cell nuclei. Blue box indicates proximal maturation region, and </w:t>
      </w:r>
      <w:proofErr w:type="gramStart"/>
      <w:r w:rsidRPr="00406F44">
        <w:rPr>
          <w:lang w:val="en-US"/>
        </w:rPr>
        <w:t>the green</w:t>
      </w:r>
      <w:proofErr w:type="gramEnd"/>
      <w:r w:rsidRPr="00406F44">
        <w:rPr>
          <w:lang w:val="en-US"/>
        </w:rPr>
        <w:t xml:space="preserve"> box indicates distal oogenesis region. (D) </w:t>
      </w:r>
      <w:r w:rsidRPr="00406F44">
        <w:rPr>
          <w:bCs/>
          <w:lang w:val="en-US"/>
        </w:rPr>
        <w:t>Line graphs</w:t>
      </w:r>
      <w:r w:rsidRPr="00406F44">
        <w:rPr>
          <w:b/>
          <w:lang w:val="en-US"/>
        </w:rPr>
        <w:t xml:space="preserve"> </w:t>
      </w:r>
      <w:r w:rsidRPr="00406F44">
        <w:rPr>
          <w:lang w:val="en-US"/>
        </w:rPr>
        <w:t>showing the number of unfertilized oocytes (</w:t>
      </w:r>
      <w:proofErr w:type="spellStart"/>
      <w:r w:rsidRPr="00406F44">
        <w:rPr>
          <w:lang w:val="en-US"/>
        </w:rPr>
        <w:t>mean±SD</w:t>
      </w:r>
      <w:proofErr w:type="spellEnd"/>
      <w:r w:rsidRPr="00406F44">
        <w:rPr>
          <w:lang w:val="en-US"/>
        </w:rPr>
        <w:t xml:space="preserve">) laid by </w:t>
      </w:r>
      <w:r w:rsidRPr="00406F44">
        <w:rPr>
          <w:i/>
          <w:lang w:val="en-US"/>
        </w:rPr>
        <w:t>fog-2(q71),</w:t>
      </w:r>
      <w:r w:rsidRPr="00406F44">
        <w:rPr>
          <w:lang w:val="en-US"/>
        </w:rPr>
        <w:t xml:space="preserve"> </w:t>
      </w:r>
      <w:r w:rsidRPr="00406F44">
        <w:rPr>
          <w:i/>
          <w:lang w:val="en-US"/>
        </w:rPr>
        <w:t>vab-1(dx31</w:t>
      </w:r>
      <w:proofErr w:type="gramStart"/>
      <w:r w:rsidRPr="00406F44">
        <w:rPr>
          <w:i/>
          <w:lang w:val="en-US"/>
        </w:rPr>
        <w:t>);fog</w:t>
      </w:r>
      <w:proofErr w:type="gramEnd"/>
      <w:r w:rsidRPr="00406F44">
        <w:rPr>
          <w:i/>
          <w:lang w:val="en-US"/>
        </w:rPr>
        <w:t xml:space="preserve">-2(q71) </w:t>
      </w:r>
      <w:r w:rsidRPr="00406F44">
        <w:rPr>
          <w:iCs/>
          <w:lang w:val="en-US"/>
        </w:rPr>
        <w:t>(</w:t>
      </w:r>
      <w:proofErr w:type="gramStart"/>
      <w:r w:rsidRPr="00406F44">
        <w:rPr>
          <w:iCs/>
          <w:lang w:val="en-US"/>
        </w:rPr>
        <w:t>E)</w:t>
      </w:r>
      <w:r w:rsidRPr="00406F44">
        <w:rPr>
          <w:i/>
          <w:lang w:val="en-US"/>
        </w:rPr>
        <w:t xml:space="preserve">  fog</w:t>
      </w:r>
      <w:proofErr w:type="gramEnd"/>
      <w:r w:rsidRPr="00406F44">
        <w:rPr>
          <w:i/>
          <w:lang w:val="en-US"/>
        </w:rPr>
        <w:t>-2(q71),</w:t>
      </w:r>
      <w:r w:rsidRPr="00406F44">
        <w:rPr>
          <w:lang w:val="en-US"/>
        </w:rPr>
        <w:t xml:space="preserve"> </w:t>
      </w:r>
      <w:r w:rsidRPr="00406F44">
        <w:rPr>
          <w:i/>
          <w:lang w:val="en-US"/>
        </w:rPr>
        <w:t>fog-2(q71</w:t>
      </w:r>
      <w:proofErr w:type="gramStart"/>
      <w:r w:rsidRPr="00406F44">
        <w:rPr>
          <w:i/>
          <w:lang w:val="en-US"/>
        </w:rPr>
        <w:t>);ceh</w:t>
      </w:r>
      <w:proofErr w:type="gramEnd"/>
      <w:r w:rsidRPr="00406F44">
        <w:rPr>
          <w:i/>
          <w:lang w:val="en-US"/>
        </w:rPr>
        <w:t>-18(mg57)</w:t>
      </w:r>
      <w:r w:rsidRPr="00406F44">
        <w:rPr>
          <w:lang w:val="en-US"/>
        </w:rPr>
        <w:t xml:space="preserve"> </w:t>
      </w:r>
      <w:proofErr w:type="gramStart"/>
      <w:r w:rsidRPr="00406F44">
        <w:rPr>
          <w:lang w:val="en-US"/>
        </w:rPr>
        <w:t xml:space="preserve">animals </w:t>
      </w:r>
      <w:r w:rsidRPr="00406F44">
        <w:rPr>
          <w:i/>
          <w:lang w:val="en-US"/>
        </w:rPr>
        <w:t xml:space="preserve"> </w:t>
      </w:r>
      <w:r w:rsidRPr="00406F44">
        <w:rPr>
          <w:iCs/>
          <w:lang w:val="en-US"/>
        </w:rPr>
        <w:t>treated</w:t>
      </w:r>
      <w:proofErr w:type="gramEnd"/>
      <w:r w:rsidRPr="00406F44">
        <w:rPr>
          <w:iCs/>
          <w:lang w:val="en-US"/>
        </w:rPr>
        <w:t xml:space="preserve"> </w:t>
      </w:r>
      <w:proofErr w:type="gramStart"/>
      <w:r w:rsidRPr="00406F44">
        <w:rPr>
          <w:iCs/>
          <w:lang w:val="en-US"/>
        </w:rPr>
        <w:t>with</w:t>
      </w:r>
      <w:r w:rsidRPr="00406F44">
        <w:rPr>
          <w:i/>
          <w:lang w:val="en-US"/>
        </w:rPr>
        <w:t xml:space="preserve"> </w:t>
      </w:r>
      <w:r w:rsidRPr="00406F44">
        <w:rPr>
          <w:lang w:val="en-US"/>
        </w:rPr>
        <w:t xml:space="preserve"> control</w:t>
      </w:r>
      <w:proofErr w:type="gramEnd"/>
      <w:r w:rsidRPr="00406F44">
        <w:rPr>
          <w:lang w:val="en-US"/>
        </w:rPr>
        <w:t xml:space="preserve"> (EV) or </w:t>
      </w:r>
      <w:r w:rsidRPr="00406F44">
        <w:rPr>
          <w:i/>
          <w:iCs/>
          <w:lang w:val="en-US"/>
        </w:rPr>
        <w:t>nhr-49</w:t>
      </w:r>
      <w:r w:rsidRPr="00406F44">
        <w:rPr>
          <w:lang w:val="en-US"/>
        </w:rPr>
        <w:t xml:space="preserve"> RNAi. Mean values were calculated based on the number of embryos or oocytes laid by at least 15 worms from two independent replicates. Embryo and unfertilized oocyte counts were recorded starting from the L4 larval stage.</w:t>
      </w:r>
    </w:p>
    <w:p w14:paraId="5CDC36F1" w14:textId="268F7A43" w:rsidR="00406F44" w:rsidRPr="00406F44" w:rsidRDefault="00406F44" w:rsidP="00406F44">
      <w:pPr>
        <w:rPr>
          <w:b/>
          <w:lang w:val="en-US"/>
        </w:rPr>
      </w:pPr>
      <w:r w:rsidRPr="00406F44">
        <w:rPr>
          <w:lang w:val="en-US"/>
        </w:rPr>
        <w:lastRenderedPageBreak/>
        <w:drawing>
          <wp:inline distT="0" distB="0" distL="0" distR="0" wp14:anchorId="70B70446" wp14:editId="56ABDA86">
            <wp:extent cx="5562600" cy="8010525"/>
            <wp:effectExtent l="0" t="0" r="0" b="0"/>
            <wp:docPr id="1623544850" name="Picture 9"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screenshot of a computer screen&#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62600" cy="8010525"/>
                    </a:xfrm>
                    <a:prstGeom prst="rect">
                      <a:avLst/>
                    </a:prstGeom>
                    <a:noFill/>
                    <a:ln>
                      <a:noFill/>
                    </a:ln>
                  </pic:spPr>
                </pic:pic>
              </a:graphicData>
            </a:graphic>
          </wp:inline>
        </w:drawing>
      </w:r>
    </w:p>
    <w:p w14:paraId="0734A547" w14:textId="77777777" w:rsidR="00406F44" w:rsidRPr="00406F44" w:rsidRDefault="00406F44" w:rsidP="00406F44">
      <w:pPr>
        <w:rPr>
          <w:lang w:val="en-US"/>
        </w:rPr>
      </w:pPr>
      <w:r w:rsidRPr="00406F44">
        <w:rPr>
          <w:b/>
          <w:lang w:val="en-US"/>
        </w:rPr>
        <w:t>Figure S6. Genome-wide binding profile of NHR-</w:t>
      </w:r>
      <w:proofErr w:type="gramStart"/>
      <w:r w:rsidRPr="00406F44">
        <w:rPr>
          <w:b/>
          <w:lang w:val="en-US"/>
        </w:rPr>
        <w:t>49::</w:t>
      </w:r>
      <w:proofErr w:type="gramEnd"/>
      <w:r w:rsidRPr="00406F44">
        <w:rPr>
          <w:b/>
          <w:lang w:val="en-US"/>
        </w:rPr>
        <w:t>HA revealed by CUT&amp;RUN. (A)</w:t>
      </w:r>
      <w:r w:rsidRPr="00406F44">
        <w:rPr>
          <w:lang w:val="en-US"/>
        </w:rPr>
        <w:t xml:space="preserve"> Distribution of NHR-49 binding peaks across genomic features. The majority of NHR-49 binding is localized to promoter regions. </w:t>
      </w:r>
      <w:r w:rsidRPr="00406F44">
        <w:rPr>
          <w:b/>
          <w:lang w:val="en-US"/>
        </w:rPr>
        <w:t>(B)</w:t>
      </w:r>
      <w:r w:rsidRPr="00406F44">
        <w:rPr>
          <w:lang w:val="en-US"/>
        </w:rPr>
        <w:t xml:space="preserve"> NHR-49 binding peak distribution relative to </w:t>
      </w:r>
      <w:r w:rsidRPr="00406F44">
        <w:rPr>
          <w:lang w:val="en-US"/>
        </w:rPr>
        <w:lastRenderedPageBreak/>
        <w:t xml:space="preserve">transcription start sites (TSS). The majority of NHR-49 binding peaks are located within 1kb upstream of the TSS. </w:t>
      </w:r>
      <w:r w:rsidRPr="00406F44">
        <w:rPr>
          <w:b/>
          <w:lang w:val="en-US"/>
        </w:rPr>
        <w:t>(C)</w:t>
      </w:r>
      <w:r w:rsidRPr="00406F44">
        <w:rPr>
          <w:lang w:val="en-US"/>
        </w:rPr>
        <w:t xml:space="preserve"> </w:t>
      </w:r>
      <w:proofErr w:type="spellStart"/>
      <w:r w:rsidRPr="00406F44">
        <w:rPr>
          <w:lang w:val="en-US"/>
        </w:rPr>
        <w:t>WormCat</w:t>
      </w:r>
      <w:proofErr w:type="spellEnd"/>
      <w:r w:rsidRPr="00406F44">
        <w:rPr>
          <w:lang w:val="en-US"/>
        </w:rPr>
        <w:t xml:space="preserve"> gene set enrichment analysis of NHR-49 binding targets. Dot size represents the number of genes; color indicates adjusted </w:t>
      </w:r>
      <w:r w:rsidRPr="00406F44">
        <w:rPr>
          <w:i/>
          <w:iCs/>
          <w:lang w:val="en-US"/>
        </w:rPr>
        <w:t>p</w:t>
      </w:r>
      <w:r w:rsidRPr="00406F44">
        <w:rPr>
          <w:lang w:val="en-US"/>
        </w:rPr>
        <w:t>-value.</w:t>
      </w:r>
      <w:r w:rsidRPr="00406F44">
        <w:rPr>
          <w:b/>
          <w:lang w:val="en-US"/>
        </w:rPr>
        <w:t xml:space="preserve"> (D)</w:t>
      </w:r>
      <w:r w:rsidRPr="00406F44">
        <w:rPr>
          <w:lang w:val="en-US"/>
        </w:rPr>
        <w:t xml:space="preserve"> KEGG pathway analysis of lipid metabolism genes associated with NHR-49 CUT&amp;RUN binding peaks. Sunburst plot shows enriched lipid metabolic pathways, with the inner ring representing broader categories (e.g., fatty acid metabolism, steroid metabolism), and the outer ring representing more specific sub-pathways.</w:t>
      </w:r>
    </w:p>
    <w:p w14:paraId="09B55396" w14:textId="77777777" w:rsidR="00406F44" w:rsidRPr="00406F44" w:rsidRDefault="00406F44" w:rsidP="00406F44">
      <w:pPr>
        <w:rPr>
          <w:lang w:val="en-US"/>
        </w:rPr>
      </w:pPr>
    </w:p>
    <w:p w14:paraId="0C545D37" w14:textId="60E83227" w:rsidR="00406F44" w:rsidRPr="00406F44" w:rsidRDefault="00406F44" w:rsidP="00406F44">
      <w:pPr>
        <w:rPr>
          <w:lang w:val="en-US"/>
        </w:rPr>
      </w:pPr>
      <w:r w:rsidRPr="00406F44">
        <w:rPr>
          <w:lang w:val="en-US"/>
        </w:rPr>
        <w:lastRenderedPageBreak/>
        <w:drawing>
          <wp:inline distT="0" distB="0" distL="0" distR="0" wp14:anchorId="382BE558" wp14:editId="297A5F6E">
            <wp:extent cx="5731510" cy="7366635"/>
            <wp:effectExtent l="0" t="0" r="0" b="5715"/>
            <wp:docPr id="723506048" name="Picture 8"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screenshot of a computer screen&#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7366635"/>
                    </a:xfrm>
                    <a:prstGeom prst="rect">
                      <a:avLst/>
                    </a:prstGeom>
                    <a:noFill/>
                    <a:ln>
                      <a:noFill/>
                    </a:ln>
                  </pic:spPr>
                </pic:pic>
              </a:graphicData>
            </a:graphic>
          </wp:inline>
        </w:drawing>
      </w:r>
    </w:p>
    <w:p w14:paraId="1B88B18B" w14:textId="77777777" w:rsidR="00406F44" w:rsidRPr="00406F44" w:rsidRDefault="00406F44" w:rsidP="00406F44">
      <w:pPr>
        <w:rPr>
          <w:lang w:val="en-US"/>
        </w:rPr>
      </w:pPr>
      <w:r w:rsidRPr="00406F44">
        <w:rPr>
          <w:b/>
          <w:bCs/>
          <w:lang w:val="en-US"/>
        </w:rPr>
        <w:t xml:space="preserve">Fig S7. NHR-49 binding targets overlap with genes differentially expressed in </w:t>
      </w:r>
      <w:r w:rsidRPr="00406F44">
        <w:rPr>
          <w:b/>
          <w:bCs/>
          <w:i/>
          <w:iCs/>
          <w:lang w:val="en-US"/>
        </w:rPr>
        <w:t xml:space="preserve">nhr-49 </w:t>
      </w:r>
      <w:r w:rsidRPr="00406F44">
        <w:rPr>
          <w:b/>
          <w:bCs/>
          <w:lang w:val="en-US"/>
        </w:rPr>
        <w:t>mutants and across published whole-worm transcriptomes.</w:t>
      </w:r>
      <w:r w:rsidRPr="00406F44">
        <w:rPr>
          <w:lang w:val="en-US"/>
        </w:rPr>
        <w:br/>
      </w:r>
      <w:r w:rsidRPr="00406F44">
        <w:rPr>
          <w:b/>
          <w:bCs/>
          <w:lang w:val="en-US"/>
        </w:rPr>
        <w:t>(A)</w:t>
      </w:r>
      <w:r w:rsidRPr="00406F44">
        <w:rPr>
          <w:lang w:val="en-US"/>
        </w:rPr>
        <w:t xml:space="preserve"> Volcano plot showing differential gene expression in </w:t>
      </w:r>
      <w:r w:rsidRPr="00406F44">
        <w:rPr>
          <w:i/>
          <w:iCs/>
          <w:lang w:val="en-US"/>
        </w:rPr>
        <w:t>nhr-49(gk405)</w:t>
      </w:r>
      <w:r w:rsidRPr="00406F44">
        <w:rPr>
          <w:lang w:val="en-US"/>
        </w:rPr>
        <w:t xml:space="preserve"> mutants compared to N2 (wild-type) animals, based on whole-worm RNA-seq analyzed using DESeq2. Significantly upregulated (red) and downregulated (blue) genes are indicated (adjusted </w:t>
      </w:r>
      <w:r w:rsidRPr="00406F44">
        <w:rPr>
          <w:i/>
          <w:iCs/>
          <w:lang w:val="en-US"/>
        </w:rPr>
        <w:t>p</w:t>
      </w:r>
      <w:r w:rsidRPr="00406F44">
        <w:rPr>
          <w:lang w:val="en-US"/>
        </w:rPr>
        <w:t xml:space="preserve"> &lt; 0.05, </w:t>
      </w:r>
      <w:proofErr w:type="spellStart"/>
      <w:r w:rsidRPr="00406F44">
        <w:rPr>
          <w:lang w:val="en-US"/>
        </w:rPr>
        <w:t>log₂FC</w:t>
      </w:r>
      <w:proofErr w:type="spellEnd"/>
      <w:r w:rsidRPr="00406F44">
        <w:rPr>
          <w:lang w:val="en-US"/>
        </w:rPr>
        <w:t xml:space="preserve"> &gt; 0.58). </w:t>
      </w:r>
      <w:r w:rsidRPr="00406F44">
        <w:rPr>
          <w:b/>
          <w:bCs/>
          <w:lang w:val="en-US"/>
        </w:rPr>
        <w:t>(B)</w:t>
      </w:r>
      <w:r w:rsidRPr="00406F44">
        <w:rPr>
          <w:lang w:val="en-US"/>
        </w:rPr>
        <w:t xml:space="preserve"> Gene set enrichment analysis of genes </w:t>
      </w:r>
      <w:r w:rsidRPr="00406F44">
        <w:rPr>
          <w:lang w:val="en-US"/>
        </w:rPr>
        <w:lastRenderedPageBreak/>
        <w:t xml:space="preserve">upregulated (top) and downregulated (bottom) in </w:t>
      </w:r>
      <w:r w:rsidRPr="00406F44">
        <w:rPr>
          <w:i/>
          <w:iCs/>
          <w:lang w:val="en-US"/>
        </w:rPr>
        <w:t>nhr-49(gk405)</w:t>
      </w:r>
      <w:r w:rsidRPr="00406F44">
        <w:rPr>
          <w:lang w:val="en-US"/>
        </w:rPr>
        <w:t xml:space="preserve"> mutants. Dot size represents the number of genes; color indicates adjusted </w:t>
      </w:r>
      <w:r w:rsidRPr="00406F44">
        <w:rPr>
          <w:i/>
          <w:iCs/>
          <w:lang w:val="en-US"/>
        </w:rPr>
        <w:t>p</w:t>
      </w:r>
      <w:r w:rsidRPr="00406F44">
        <w:rPr>
          <w:lang w:val="en-US"/>
        </w:rPr>
        <w:t xml:space="preserve">-value. </w:t>
      </w:r>
      <w:r w:rsidRPr="00406F44">
        <w:rPr>
          <w:b/>
          <w:bCs/>
          <w:lang w:val="en-US"/>
        </w:rPr>
        <w:t>(C)</w:t>
      </w:r>
      <w:r w:rsidRPr="00406F44">
        <w:rPr>
          <w:lang w:val="en-US"/>
        </w:rPr>
        <w:t xml:space="preserve"> Venn diagram showing overlap between NHR-49 CUT&amp;RUN binding targets (red) and genes upregulated (green) or downregulated (blue) in </w:t>
      </w:r>
      <w:r w:rsidRPr="00406F44">
        <w:rPr>
          <w:i/>
          <w:iCs/>
          <w:lang w:val="en-US"/>
        </w:rPr>
        <w:t>nhr-49(gk405)</w:t>
      </w:r>
      <w:r w:rsidRPr="00406F44">
        <w:rPr>
          <w:lang w:val="en-US"/>
        </w:rPr>
        <w:t xml:space="preserve"> mutants. </w:t>
      </w:r>
      <w:r w:rsidRPr="00406F44">
        <w:rPr>
          <w:i/>
          <w:iCs/>
          <w:lang w:val="en-US"/>
        </w:rPr>
        <w:t>p</w:t>
      </w:r>
      <w:r w:rsidRPr="00406F44">
        <w:rPr>
          <w:lang w:val="en-US"/>
        </w:rPr>
        <w:t xml:space="preserve">-value calculated using Fisher’s exact test. </w:t>
      </w:r>
      <w:r w:rsidRPr="00406F44">
        <w:rPr>
          <w:b/>
          <w:bCs/>
          <w:lang w:val="en-US"/>
        </w:rPr>
        <w:t>(D)</w:t>
      </w:r>
      <w:r w:rsidRPr="00406F44">
        <w:rPr>
          <w:lang w:val="en-US"/>
        </w:rPr>
        <w:t xml:space="preserve"> Gene set enrichment analysis of the genes overlapping between NHR-49 CUT&amp;RUN binding targets and differentially expressed gene in </w:t>
      </w:r>
      <w:r w:rsidRPr="00406F44">
        <w:rPr>
          <w:i/>
          <w:iCs/>
          <w:lang w:val="en-US"/>
        </w:rPr>
        <w:t>nhr-49(gk405)</w:t>
      </w:r>
      <w:r w:rsidRPr="00406F44">
        <w:rPr>
          <w:lang w:val="en-US"/>
        </w:rPr>
        <w:t xml:space="preserve"> mutants. </w:t>
      </w:r>
      <w:r w:rsidRPr="00406F44">
        <w:rPr>
          <w:b/>
          <w:bCs/>
          <w:lang w:val="en-US"/>
        </w:rPr>
        <w:t>(E, F)</w:t>
      </w:r>
      <w:r w:rsidRPr="00406F44">
        <w:rPr>
          <w:lang w:val="en-US"/>
        </w:rPr>
        <w:t xml:space="preserve"> Venn diagrams comparing genes upregulated (E) or downregulated (F) in this study with previously published whole-worm transcriptomes from </w:t>
      </w:r>
      <w:proofErr w:type="spellStart"/>
      <w:r w:rsidRPr="00406F44">
        <w:rPr>
          <w:lang w:val="en-US"/>
        </w:rPr>
        <w:t>Ratnappan</w:t>
      </w:r>
      <w:proofErr w:type="spellEnd"/>
      <w:r w:rsidRPr="00406F44">
        <w:rPr>
          <w:lang w:val="en-US"/>
        </w:rPr>
        <w:t xml:space="preserve"> et al</w:t>
      </w:r>
      <w:r w:rsidRPr="00406F44">
        <w:rPr>
          <w:lang w:val="en-US"/>
        </w:rPr>
        <w:fldChar w:fldCharType="begin"/>
      </w:r>
      <w:r w:rsidRPr="00406F44">
        <w:rPr>
          <w:lang w:val="en-US"/>
        </w:rPr>
        <w:instrText xml:space="preserve"> ADDIN ZOTERO_ITEM CSL_CITATION {"citationID":"bSqyIN8j","properties":{"formattedCitation":"\\super 33\\nosupersub{}","plainCitation":"33","noteIndex":0},"citationItems":[{"id":211,"uris":["http://zotero.org/users/10491623/items/VPC2K7K7"],"itemData":{"id":211,"type":"article-journal","abstract":"In C. elegans, removal of the germline extends lifespan significantly. We demonstrate that the nuclear hormone receptor, NHR-49, enables the response to this physiological change by increasing the expression of genes involved in mitochondrial β-oxidation and fatty-acid desaturation. The coordinated augmentation of these processes is critical for germline-less animals to maintain their lipid stores and to sustain de novo fat synthesis during adulthood. Following germline ablation, NHR-49 is up-regulated in somatic cells by the conserved longevity determinants DAF-16/FOXO and TCER-1/TCERG1. Accordingly, NHR-49 overexpression in fertile animals extends their lifespan modestly. In fertile adults, nhr-49 expression is DAF-16/FOXO and TCER-1/TCERG1 independent although its depletion causes age-related lipid abnormalities. Our data provide molecular insights into how reproductive stimuli are integrated into global metabolic changes to alter the lifespan of the animal. They suggest that NHR-49 may facilitate the adaptation to loss of reproductive potential through synchronized enhancement of fatty-acid oxidation and desaturation, thus breaking down some fats ordained for reproduction and orchestrating a lipid profile conducive for somatic maintenance and longevity.","container-title":"PLoS genetics","DOI":"10.1371/journal.pgen.1004829","ISSN":"1553-7404","issue":"12","journalAbbreviation":"PLoS Genet","language":"eng","note":"PMID: 25474470\nPMCID: PMC4256272","page":"e1004829","source":"PubMed","title":"Germline signals deploy NHR-49 to modulate fatty-acid β-oxidation and desaturation in somatic tissues of C. elegans","volume":"10","author":[{"family":"Ratnappan","given":"Ramesh"},{"family":"Amrit","given":"Francis R. G."},{"family":"Chen","given":"Shaw-Wen"},{"family":"Gill","given":"Hasreet"},{"family":"Holden","given":"Kyle"},{"family":"Ward","given":"Jordan"},{"family":"Yamamoto","given":"Keith R."},{"family":"Olsen","given":"Carissa P."},{"family":"Ghazi","given":"Arjumand"}],"issued":{"date-parts":[["2014",12]]}}}],"schema":"https://github.com/citation-style-language/schema/raw/master/csl-citation.json"} </w:instrText>
      </w:r>
      <w:r w:rsidRPr="00406F44">
        <w:rPr>
          <w:lang w:val="en-US"/>
        </w:rPr>
        <w:fldChar w:fldCharType="separate"/>
      </w:r>
      <w:r w:rsidRPr="00406F44">
        <w:rPr>
          <w:vertAlign w:val="superscript"/>
          <w:lang w:val="en-US"/>
        </w:rPr>
        <w:t>33</w:t>
      </w:r>
      <w:r w:rsidRPr="00406F44">
        <w:fldChar w:fldCharType="end"/>
      </w:r>
      <w:r w:rsidRPr="00406F44">
        <w:rPr>
          <w:lang w:val="en-US"/>
        </w:rPr>
        <w:t xml:space="preserve"> (2014) and Doering et al</w:t>
      </w:r>
      <w:r w:rsidRPr="00406F44">
        <w:rPr>
          <w:lang w:val="en-US"/>
        </w:rPr>
        <w:fldChar w:fldCharType="begin"/>
      </w:r>
      <w:r w:rsidRPr="00406F44">
        <w:rPr>
          <w:lang w:val="en-US"/>
        </w:rPr>
        <w:instrText xml:space="preserve"> ADDIN ZOTERO_ITEM CSL_CITATION {"citationID":"A1vNXTNf","properties":{"formattedCitation":"\\super 19\\nosupersub{}","plainCitation":"19","noteIndex":0},"citationItems":[{"id":304,"uris":["http://zotero.org/users/10491623/items/9AJEIJRD"],"itemData":{"id":304,"type":"article-journal","abstract":"The genome of Caenorhabditis elegans encodes 284 nuclear hormone receptor, which perform diverse functions in development and physiology. One of the best characterized of these is NHR-49, related in sequence and function to mammalian hepatocyte nuclear factor 4α and peroxisome proliferator-activated receptor α. Initially identified as regulator of lipid metabolism, including fatty acid catabolism and desaturation, additional important roles for NHR-49 have since emerged. It is an essential contributor to longevity in several genetic and environmental contexts, and also plays vital roles in the resistance to several stresses and innate immune response to infection with various bacterial pathogens. Here, we review how NHR-49 is integrated into pertinent signaling circuits and how it achieves its diverse functions. We also highlight areas for future investigation including identification of regulatory inputs that drive NHR-49 activity and identification of tissue-specific gene regulatory outputs. We anticipate that future work on this protein will provide information that could be useful for developing strategies to age-associated declines in health and age-related human diseases.","container-title":"Frontiers in Physiology","DOI":"10.3389/fphys.2023.1241591","ISSN":"1664-042X","journalAbbreviation":"Front Physiol","note":"PMID: 37645565\nPMCID: PMC10461480","page":"1241591","source":"PubMed Central","title":"Nuclear hormone receptor NHR-49 is an essential regulator of stress resilience and healthy aging in Caenorhabditis elegans","volume":"14","author":[{"family":"Doering","given":"Kelsie R. S."},{"family":"Ermakova","given":"Glafira"},{"family":"Taubert","given":"Stefan"}],"issued":{"date-parts":[["2023",8,14]]}}}],"schema":"https://github.com/citation-style-language/schema/raw/master/csl-citation.json"} </w:instrText>
      </w:r>
      <w:r w:rsidRPr="00406F44">
        <w:rPr>
          <w:lang w:val="en-US"/>
        </w:rPr>
        <w:fldChar w:fldCharType="separate"/>
      </w:r>
      <w:r w:rsidRPr="00406F44">
        <w:rPr>
          <w:vertAlign w:val="superscript"/>
          <w:lang w:val="en-US"/>
        </w:rPr>
        <w:t>19</w:t>
      </w:r>
      <w:r w:rsidRPr="00406F44">
        <w:fldChar w:fldCharType="end"/>
      </w:r>
      <w:r w:rsidRPr="00406F44">
        <w:rPr>
          <w:lang w:val="en-US"/>
        </w:rPr>
        <w:t xml:space="preserve"> (2021).</w:t>
      </w:r>
    </w:p>
    <w:p w14:paraId="522FDD76"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F44"/>
    <w:rsid w:val="0030104F"/>
    <w:rsid w:val="00406F44"/>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77EA5"/>
  <w15:chartTrackingRefBased/>
  <w15:docId w15:val="{A6104C91-D9C9-4BA2-B04D-E9A2DEA13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F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6F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6F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6F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6F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6F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F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F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F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F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6F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6F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6F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6F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6F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F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F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F44"/>
    <w:rPr>
      <w:rFonts w:eastAsiaTheme="majorEastAsia" w:cstheme="majorBidi"/>
      <w:color w:val="272727" w:themeColor="text1" w:themeTint="D8"/>
    </w:rPr>
  </w:style>
  <w:style w:type="paragraph" w:styleId="Title">
    <w:name w:val="Title"/>
    <w:basedOn w:val="Normal"/>
    <w:next w:val="Normal"/>
    <w:link w:val="TitleChar"/>
    <w:uiPriority w:val="10"/>
    <w:qFormat/>
    <w:rsid w:val="00406F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F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F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F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F44"/>
    <w:pPr>
      <w:spacing w:before="160"/>
      <w:jc w:val="center"/>
    </w:pPr>
    <w:rPr>
      <w:i/>
      <w:iCs/>
      <w:color w:val="404040" w:themeColor="text1" w:themeTint="BF"/>
    </w:rPr>
  </w:style>
  <w:style w:type="character" w:customStyle="1" w:styleId="QuoteChar">
    <w:name w:val="Quote Char"/>
    <w:basedOn w:val="DefaultParagraphFont"/>
    <w:link w:val="Quote"/>
    <w:uiPriority w:val="29"/>
    <w:rsid w:val="00406F44"/>
    <w:rPr>
      <w:i/>
      <w:iCs/>
      <w:color w:val="404040" w:themeColor="text1" w:themeTint="BF"/>
    </w:rPr>
  </w:style>
  <w:style w:type="paragraph" w:styleId="ListParagraph">
    <w:name w:val="List Paragraph"/>
    <w:basedOn w:val="Normal"/>
    <w:uiPriority w:val="34"/>
    <w:qFormat/>
    <w:rsid w:val="00406F44"/>
    <w:pPr>
      <w:ind w:left="720"/>
      <w:contextualSpacing/>
    </w:pPr>
  </w:style>
  <w:style w:type="character" w:styleId="IntenseEmphasis">
    <w:name w:val="Intense Emphasis"/>
    <w:basedOn w:val="DefaultParagraphFont"/>
    <w:uiPriority w:val="21"/>
    <w:qFormat/>
    <w:rsid w:val="00406F44"/>
    <w:rPr>
      <w:i/>
      <w:iCs/>
      <w:color w:val="0F4761" w:themeColor="accent1" w:themeShade="BF"/>
    </w:rPr>
  </w:style>
  <w:style w:type="paragraph" w:styleId="IntenseQuote">
    <w:name w:val="Intense Quote"/>
    <w:basedOn w:val="Normal"/>
    <w:next w:val="Normal"/>
    <w:link w:val="IntenseQuoteChar"/>
    <w:uiPriority w:val="30"/>
    <w:qFormat/>
    <w:rsid w:val="00406F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6F44"/>
    <w:rPr>
      <w:i/>
      <w:iCs/>
      <w:color w:val="0F4761" w:themeColor="accent1" w:themeShade="BF"/>
    </w:rPr>
  </w:style>
  <w:style w:type="character" w:styleId="IntenseReference">
    <w:name w:val="Intense Reference"/>
    <w:basedOn w:val="DefaultParagraphFont"/>
    <w:uiPriority w:val="32"/>
    <w:qFormat/>
    <w:rsid w:val="00406F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9078933">
      <w:bodyDiv w:val="1"/>
      <w:marLeft w:val="0"/>
      <w:marRight w:val="0"/>
      <w:marTop w:val="0"/>
      <w:marBottom w:val="0"/>
      <w:divBdr>
        <w:top w:val="none" w:sz="0" w:space="0" w:color="auto"/>
        <w:left w:val="none" w:sz="0" w:space="0" w:color="auto"/>
        <w:bottom w:val="none" w:sz="0" w:space="0" w:color="auto"/>
        <w:right w:val="none" w:sz="0" w:space="0" w:color="auto"/>
      </w:divBdr>
    </w:div>
    <w:div w:id="184793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2032</Words>
  <Characters>11585</Characters>
  <Application>Microsoft Office Word</Application>
  <DocSecurity>0</DocSecurity>
  <Lines>96</Lines>
  <Paragraphs>27</Paragraphs>
  <ScaleCrop>false</ScaleCrop>
  <Company/>
  <LinksUpToDate>false</LinksUpToDate>
  <CharactersWithSpaces>13590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2025-09-03T12:44:00Z</dcterms:created>
  <dcterms:modified xsi:type="dcterms:W3CDTF">2025-09-03T12:44:00Z</dcterms:modified>
</cp:coreProperties>
</file>