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top w:w="15" w:type="dxa"/>
          <w:left w:w="15" w:type="dxa"/>
          <w:bottom w:w="15" w:type="dxa"/>
          <w:right w:w="15" w:type="dxa"/>
        </w:tblCellMar>
        <w:tblLook w:val="04A0" w:firstRow="1" w:lastRow="0" w:firstColumn="1" w:lastColumn="0" w:noHBand="0" w:noVBand="1"/>
      </w:tblPr>
      <w:tblGrid>
        <w:gridCol w:w="9340"/>
      </w:tblGrid>
      <w:tr w:rsidR="00CA11D3" w:rsidRPr="00CA11D3" w14:paraId="7681EA00" w14:textId="77777777" w:rsidTr="0036775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89DE91" w14:textId="77777777" w:rsidR="00CA11D3" w:rsidRPr="00CA11D3" w:rsidRDefault="00CA11D3" w:rsidP="00CA11D3">
            <w:pPr>
              <w:spacing w:after="0" w:line="240" w:lineRule="auto"/>
              <w:rPr>
                <w:rFonts w:eastAsia="Times New Roman" w:cs="Times New Roman"/>
                <w:color w:val="000000" w:themeColor="text1"/>
                <w:kern w:val="0"/>
                <w14:ligatures w14:val="none"/>
              </w:rPr>
            </w:pPr>
            <w:r w:rsidRPr="00CA11D3">
              <w:rPr>
                <w:rFonts w:eastAsia="Times New Roman" w:cs="Times New Roman"/>
                <w:color w:val="000000" w:themeColor="text1"/>
                <w:kern w:val="0"/>
                <w14:ligatures w14:val="none"/>
              </w:rPr>
              <w:t>Category 1: “Clarifying equity”</w:t>
            </w:r>
          </w:p>
          <w:p w14:paraId="392C6094" w14:textId="77777777" w:rsidR="00CA11D3" w:rsidRPr="00CA11D3" w:rsidRDefault="00CA11D3" w:rsidP="00CA11D3">
            <w:pPr>
              <w:spacing w:after="0" w:line="240" w:lineRule="auto"/>
              <w:rPr>
                <w:rFonts w:eastAsia="Times New Roman" w:cs="Times New Roman"/>
                <w:color w:val="000000" w:themeColor="text1"/>
                <w:kern w:val="0"/>
                <w14:ligatures w14:val="none"/>
              </w:rPr>
            </w:pPr>
            <w:r w:rsidRPr="00CA11D3">
              <w:rPr>
                <w:rFonts w:eastAsia="Times New Roman" w:cs="Times New Roman"/>
                <w:color w:val="000000" w:themeColor="text1"/>
                <w:kern w:val="0"/>
                <w14:ligatures w14:val="none"/>
              </w:rPr>
              <w:t>This category contributed to thinking about terms related to the operationalization of health equity and description of the equity extension items that authors and readers of the guidance would need to know to understand the guideline. We have included in the reporting guideline a box of terms defining health equity, populations experiencing inequities and describe tools to operationalize these definitions in studies (Box 1: Definitions).</w:t>
            </w:r>
          </w:p>
        </w:tc>
      </w:tr>
      <w:tr w:rsidR="00CA11D3" w:rsidRPr="00CA11D3" w14:paraId="35F89FEF" w14:textId="77777777" w:rsidTr="0036775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FAF2D7" w14:textId="77777777" w:rsidR="00CA11D3" w:rsidRPr="00CA11D3" w:rsidRDefault="00CA11D3" w:rsidP="00CA11D3">
            <w:pPr>
              <w:spacing w:after="0" w:line="240" w:lineRule="auto"/>
              <w:rPr>
                <w:rFonts w:eastAsia="Times New Roman" w:cs="Times New Roman"/>
                <w:color w:val="000000" w:themeColor="text1"/>
                <w:kern w:val="0"/>
                <w14:ligatures w14:val="none"/>
              </w:rPr>
            </w:pPr>
            <w:r w:rsidRPr="00CA11D3">
              <w:rPr>
                <w:rFonts w:eastAsia="Times New Roman" w:cs="Times New Roman"/>
                <w:color w:val="000000" w:themeColor="text1"/>
                <w:kern w:val="0"/>
                <w14:ligatures w14:val="none"/>
              </w:rPr>
              <w:t>Category 2: “Equity is dynamic”</w:t>
            </w:r>
          </w:p>
          <w:p w14:paraId="66431139" w14:textId="77777777" w:rsidR="00CA11D3" w:rsidRPr="00CA11D3" w:rsidRDefault="00CA11D3" w:rsidP="00CA11D3">
            <w:pPr>
              <w:spacing w:after="0" w:line="240" w:lineRule="auto"/>
              <w:rPr>
                <w:rFonts w:eastAsia="Times New Roman" w:cs="Times New Roman"/>
                <w:color w:val="000000" w:themeColor="text1"/>
                <w:kern w:val="0"/>
                <w14:ligatures w14:val="none"/>
              </w:rPr>
            </w:pPr>
            <w:r w:rsidRPr="00CA11D3">
              <w:rPr>
                <w:rFonts w:eastAsia="Times New Roman" w:cs="Times New Roman"/>
                <w:color w:val="000000" w:themeColor="text1"/>
                <w:kern w:val="0"/>
                <w14:ligatures w14:val="none"/>
              </w:rPr>
              <w:t>This category promoted us to review the reporting guideline extension items to ensure that they would encourage the reporting of contextual information (e.g., social, economic factors) that could affect health equity as well as highlight this in relevant elaboration sections. For example, STROBE item 6, Participants, extension item EQ6, recommends authors describe whether characteristics associated with inequities were considered in the selection process (e.g., eligibility criteria, matching). Recognizing that contextual issues are important and relevant to eligibility criteria, we have included in the elaboration of the EQ6 item the importance of considering those accordingly.</w:t>
            </w:r>
          </w:p>
        </w:tc>
      </w:tr>
      <w:tr w:rsidR="00CA11D3" w:rsidRPr="00CA11D3" w14:paraId="155D9A45" w14:textId="77777777" w:rsidTr="0036775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1C60B4" w14:textId="77777777" w:rsidR="00CA11D3" w:rsidRPr="00CA11D3" w:rsidRDefault="00CA11D3" w:rsidP="00CA11D3">
            <w:pPr>
              <w:spacing w:after="0" w:line="240" w:lineRule="auto"/>
              <w:rPr>
                <w:rFonts w:eastAsia="Times New Roman" w:cs="Times New Roman"/>
                <w:color w:val="000000" w:themeColor="text1"/>
                <w:kern w:val="0"/>
                <w14:ligatures w14:val="none"/>
              </w:rPr>
            </w:pPr>
            <w:r w:rsidRPr="00CA11D3">
              <w:rPr>
                <w:rFonts w:eastAsia="Times New Roman" w:cs="Times New Roman"/>
                <w:color w:val="000000" w:themeColor="text1"/>
                <w:kern w:val="0"/>
                <w14:ligatures w14:val="none"/>
              </w:rPr>
              <w:t>Category 3: “The challenges of making equity claims”</w:t>
            </w:r>
          </w:p>
          <w:p w14:paraId="41B69ACE" w14:textId="77777777" w:rsidR="00CA11D3" w:rsidRPr="00CA11D3" w:rsidRDefault="00CA11D3" w:rsidP="00CA11D3">
            <w:pPr>
              <w:spacing w:after="0" w:line="240" w:lineRule="auto"/>
              <w:rPr>
                <w:rFonts w:eastAsia="Times New Roman" w:cs="Times New Roman"/>
                <w:color w:val="000000" w:themeColor="text1"/>
                <w:kern w:val="0"/>
                <w14:ligatures w14:val="none"/>
              </w:rPr>
            </w:pPr>
            <w:r w:rsidRPr="00CA11D3">
              <w:rPr>
                <w:rFonts w:eastAsia="Times New Roman" w:cs="Times New Roman"/>
                <w:color w:val="000000" w:themeColor="text1"/>
                <w:kern w:val="0"/>
                <w14:ligatures w14:val="none"/>
              </w:rPr>
              <w:t>This category affirmed the importance of the reporting guideline extension in encouraging the explicit reporting of authors’ motivations for addressing health inequities. Making claims about health equity requires careful consideration of the study’s context and the underlying rationale for addressing equity in a specific setting. Thus, clearly articulating these factors is crucial for contextualizing the research and ensuring that health equity claims are well-grounded and relevant to the study’s objectives and motivations. This helps enables readers to situate any findings or claims about health equity in the context of the study and enables interpretation of its contribution.</w:t>
            </w:r>
          </w:p>
        </w:tc>
      </w:tr>
      <w:tr w:rsidR="00CA11D3" w:rsidRPr="00CA11D3" w14:paraId="64A71C92" w14:textId="77777777" w:rsidTr="0036775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F3FCD8" w14:textId="77777777" w:rsidR="00CA11D3" w:rsidRPr="00CA11D3" w:rsidRDefault="00CA11D3" w:rsidP="00CA11D3">
            <w:pPr>
              <w:spacing w:after="0" w:line="240" w:lineRule="auto"/>
              <w:rPr>
                <w:rFonts w:eastAsia="Times New Roman" w:cs="Times New Roman"/>
                <w:color w:val="000000" w:themeColor="text1"/>
                <w:kern w:val="0"/>
                <w14:ligatures w14:val="none"/>
              </w:rPr>
            </w:pPr>
            <w:r w:rsidRPr="00CA11D3">
              <w:rPr>
                <w:rFonts w:eastAsia="Times New Roman" w:cs="Times New Roman"/>
                <w:color w:val="000000" w:themeColor="text1"/>
                <w:kern w:val="0"/>
                <w14:ligatures w14:val="none"/>
              </w:rPr>
              <w:t>Category 4: “Making reporting on equity feasible”</w:t>
            </w:r>
          </w:p>
          <w:p w14:paraId="2537B1A7" w14:textId="77777777" w:rsidR="00CA11D3" w:rsidRPr="00CA11D3" w:rsidRDefault="00CA11D3" w:rsidP="00CA11D3">
            <w:pPr>
              <w:spacing w:after="0" w:line="240" w:lineRule="auto"/>
              <w:rPr>
                <w:rFonts w:eastAsia="Times New Roman" w:cs="Times New Roman"/>
                <w:color w:val="000000" w:themeColor="text1"/>
                <w:kern w:val="0"/>
                <w14:ligatures w14:val="none"/>
              </w:rPr>
            </w:pPr>
            <w:r w:rsidRPr="00CA11D3">
              <w:rPr>
                <w:rFonts w:eastAsia="Times New Roman" w:cs="Times New Roman"/>
                <w:color w:val="000000" w:themeColor="text1"/>
                <w:kern w:val="0"/>
                <w14:ligatures w14:val="none"/>
              </w:rPr>
              <w:t>This category emphasized the importance of a feasible and useful reporting guideline, which influence how we developed the final extension items. In our writing working group, we focused on ensuring the final guideline was as short and parsimonious as possible. This sometimes involved combining more than one item or deciding that some items were not needed. We based these decisions on the overall goal to create a feasible guideline. For several items, we decided that the main STROBE guideline and checklist was sufficiently broad to be inclusive of equity-focused issues. For example, we initially had two equity extension items for the STROBE item on selection bias. However, we decided these were extraneous since any efforts to reduce selection bias related to health equity would be reported by adhering to the main STROBE reporting guidance. </w:t>
            </w:r>
          </w:p>
        </w:tc>
      </w:tr>
      <w:tr w:rsidR="00CA11D3" w:rsidRPr="00CA11D3" w14:paraId="19C5E164" w14:textId="77777777" w:rsidTr="0036775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00031F" w14:textId="77777777" w:rsidR="00CA11D3" w:rsidRPr="00CA11D3" w:rsidRDefault="00CA11D3" w:rsidP="00CA11D3">
            <w:pPr>
              <w:spacing w:after="0" w:line="240" w:lineRule="auto"/>
              <w:rPr>
                <w:rFonts w:eastAsia="Times New Roman" w:cs="Times New Roman"/>
                <w:color w:val="000000" w:themeColor="text1"/>
                <w:kern w:val="0"/>
                <w14:ligatures w14:val="none"/>
              </w:rPr>
            </w:pPr>
            <w:r w:rsidRPr="00CA11D3">
              <w:rPr>
                <w:rFonts w:eastAsia="Times New Roman" w:cs="Times New Roman"/>
                <w:color w:val="000000" w:themeColor="text1"/>
                <w:kern w:val="0"/>
                <w14:ligatures w14:val="none"/>
              </w:rPr>
              <w:t>Category 5: “Using reporting guidelines to manage tension”</w:t>
            </w:r>
          </w:p>
          <w:p w14:paraId="6D84C6A7" w14:textId="77777777" w:rsidR="00CA11D3" w:rsidRPr="00CA11D3" w:rsidRDefault="00CA11D3" w:rsidP="00CA11D3">
            <w:pPr>
              <w:spacing w:after="0" w:line="240" w:lineRule="auto"/>
              <w:rPr>
                <w:rFonts w:eastAsia="Times New Roman" w:cs="Times New Roman"/>
                <w:color w:val="000000" w:themeColor="text1"/>
                <w:kern w:val="0"/>
                <w14:ligatures w14:val="none"/>
              </w:rPr>
            </w:pPr>
            <w:r w:rsidRPr="00CA11D3">
              <w:rPr>
                <w:rFonts w:eastAsia="Times New Roman" w:cs="Times New Roman"/>
                <w:color w:val="000000" w:themeColor="text1"/>
                <w:kern w:val="0"/>
                <w14:ligatures w14:val="none"/>
              </w:rPr>
              <w:t xml:space="preserve">In the context of reporting on health equity, tension arises from the complex interplay between social and historical factors that influence health outcomes and the challenges </w:t>
            </w:r>
            <w:r w:rsidRPr="00CA11D3">
              <w:rPr>
                <w:rFonts w:eastAsia="Times New Roman" w:cs="Times New Roman"/>
                <w:color w:val="000000" w:themeColor="text1"/>
                <w:kern w:val="0"/>
                <w14:ligatures w14:val="none"/>
              </w:rPr>
              <w:lastRenderedPageBreak/>
              <w:t>in accurately representing these within broader frameworks, including the composition of the research team. STROBE item 4, Study design, equity extension item EQ4, recommends that authors describe the research team composition, particularly if it includes individuals with lived experience of inequities. This is a novel addition to reporting standards for quantitative studies and the key informant findings of managing tensions strongly supports our rationale for including this item. The composition of a research team can have a profound impact on how health equity issues are identified, addressed, and reported. Including individuals with lived experience of inequities brings a deeper, more authentic understanding of equity issues, which can ultimately improve the relevance and inclusivity of the findings. Moreover, individuals who experience inequities have been, in many cases, exploited through unethical research practices. Their inclusion in the research process helps rectify this historical injustice by validating their lived experiences and incorporating their insights into research that affects them. This enriches the quality and ethical integrity of the research and supports grounding the research in the realities of the communities most affected by inequities.</w:t>
            </w:r>
          </w:p>
        </w:tc>
      </w:tr>
      <w:tr w:rsidR="00CA11D3" w:rsidRPr="00CA11D3" w14:paraId="5AEB3120" w14:textId="77777777" w:rsidTr="0036775C">
        <w:trPr>
          <w:trHeight w:val="267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648262" w14:textId="77777777" w:rsidR="00CA11D3" w:rsidRPr="00CA11D3" w:rsidRDefault="00CA11D3" w:rsidP="00CA11D3">
            <w:pPr>
              <w:spacing w:after="0" w:line="240" w:lineRule="auto"/>
              <w:rPr>
                <w:rFonts w:eastAsia="Times New Roman" w:cs="Times New Roman"/>
                <w:color w:val="000000" w:themeColor="text1"/>
                <w:kern w:val="0"/>
                <w14:ligatures w14:val="none"/>
              </w:rPr>
            </w:pPr>
            <w:r w:rsidRPr="00CA11D3">
              <w:rPr>
                <w:rFonts w:eastAsia="Times New Roman" w:cs="Times New Roman"/>
                <w:color w:val="000000" w:themeColor="text1"/>
                <w:kern w:val="0"/>
                <w14:ligatures w14:val="none"/>
              </w:rPr>
              <w:lastRenderedPageBreak/>
              <w:t>Category 6: “Potential for better outcomes”</w:t>
            </w:r>
          </w:p>
          <w:p w14:paraId="45EAC743" w14:textId="77777777" w:rsidR="00CA11D3" w:rsidRPr="00CA11D3" w:rsidRDefault="00CA11D3" w:rsidP="00CA11D3">
            <w:pPr>
              <w:spacing w:after="0" w:line="240" w:lineRule="auto"/>
              <w:rPr>
                <w:rFonts w:eastAsia="Times New Roman" w:cs="Times New Roman"/>
                <w:color w:val="000000" w:themeColor="text1"/>
                <w:kern w:val="0"/>
                <w14:ligatures w14:val="none"/>
              </w:rPr>
            </w:pPr>
            <w:r w:rsidRPr="00CA11D3">
              <w:rPr>
                <w:rFonts w:eastAsia="Times New Roman" w:cs="Times New Roman"/>
                <w:color w:val="000000" w:themeColor="text1"/>
                <w:kern w:val="0"/>
                <w14:ligatures w14:val="none"/>
              </w:rPr>
              <w:t>In the context of reporting on health equity, the potential for better outcomes includes ensuring adequate representation of participants from groups experiencing inequities, increasing the likelihood that the findings will be relevant and applicable to those populations. This category contributed to thinking about keeping items in the equity extension that would have broad implications on the health outcomes of populations experiencing inequities. STROBE item 10, Study size, equity extension item EQ10, related to interpreting the results while considering the representation of the study sample and the implications of the findings on health equity. This is particularly important for addressing health disparities, as underrepresentation of people experiencing inequities can skew the findings and limit the applicability of interventions to those who face the greatest health inequities.</w:t>
            </w:r>
          </w:p>
        </w:tc>
      </w:tr>
      <w:tr w:rsidR="00CA11D3" w:rsidRPr="00B45E47" w14:paraId="3A4B3CC5" w14:textId="77777777" w:rsidTr="0036775C">
        <w:trPr>
          <w:trHeight w:val="1159"/>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C88606" w14:textId="77777777" w:rsidR="00CA11D3" w:rsidRPr="00CA11D3" w:rsidRDefault="00CA11D3" w:rsidP="00CA11D3">
            <w:pPr>
              <w:spacing w:after="0" w:line="240" w:lineRule="auto"/>
              <w:rPr>
                <w:rFonts w:eastAsia="Times New Roman" w:cs="Times New Roman"/>
                <w:color w:val="000000" w:themeColor="text1"/>
                <w:kern w:val="0"/>
                <w14:ligatures w14:val="none"/>
              </w:rPr>
            </w:pPr>
            <w:r w:rsidRPr="00CA11D3">
              <w:rPr>
                <w:rFonts w:eastAsia="Times New Roman" w:cs="Times New Roman"/>
                <w:color w:val="000000" w:themeColor="text1"/>
                <w:kern w:val="0"/>
                <w14:ligatures w14:val="none"/>
              </w:rPr>
              <w:t>Category 7: “Nobody’s perspective is neutral”</w:t>
            </w:r>
          </w:p>
          <w:p w14:paraId="26CA4F26" w14:textId="77777777" w:rsidR="00CA11D3" w:rsidRPr="00B45E47" w:rsidRDefault="00CA11D3" w:rsidP="00CA11D3">
            <w:pPr>
              <w:spacing w:after="0" w:line="240" w:lineRule="auto"/>
              <w:rPr>
                <w:rFonts w:eastAsia="Times New Roman" w:cs="Times New Roman"/>
                <w:color w:val="000000" w:themeColor="text1"/>
                <w:kern w:val="0"/>
                <w14:ligatures w14:val="none"/>
              </w:rPr>
            </w:pPr>
            <w:r w:rsidRPr="00CA11D3">
              <w:rPr>
                <w:rFonts w:eastAsia="Times New Roman" w:cs="Times New Roman"/>
                <w:color w:val="000000" w:themeColor="text1"/>
                <w:kern w:val="0"/>
                <w14:ligatures w14:val="none"/>
              </w:rPr>
              <w:t>This category expands our understanding of the social context in which equity-relevant reporting may be engaged with by researchers and interpreted by end-users and is not directly related to the development of the reporting guideline.</w:t>
            </w:r>
          </w:p>
        </w:tc>
      </w:tr>
    </w:tbl>
    <w:p w14:paraId="0CE3E99B" w14:textId="77777777" w:rsidR="0027236F" w:rsidRDefault="0027236F"/>
    <w:sectPr w:rsidR="0027236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11D3"/>
    <w:rsid w:val="00016DFA"/>
    <w:rsid w:val="00017993"/>
    <w:rsid w:val="000224AB"/>
    <w:rsid w:val="000231CF"/>
    <w:rsid w:val="000361EF"/>
    <w:rsid w:val="00043385"/>
    <w:rsid w:val="000B23E3"/>
    <w:rsid w:val="000B4904"/>
    <w:rsid w:val="0010661A"/>
    <w:rsid w:val="001122AD"/>
    <w:rsid w:val="0013424C"/>
    <w:rsid w:val="00134743"/>
    <w:rsid w:val="001421FC"/>
    <w:rsid w:val="0016542F"/>
    <w:rsid w:val="001744C6"/>
    <w:rsid w:val="00195EB4"/>
    <w:rsid w:val="001A1566"/>
    <w:rsid w:val="001C539A"/>
    <w:rsid w:val="001E0C27"/>
    <w:rsid w:val="001E3F6C"/>
    <w:rsid w:val="00211739"/>
    <w:rsid w:val="0021378C"/>
    <w:rsid w:val="0023280B"/>
    <w:rsid w:val="00244D2C"/>
    <w:rsid w:val="002526BB"/>
    <w:rsid w:val="00262562"/>
    <w:rsid w:val="0027236F"/>
    <w:rsid w:val="0027535D"/>
    <w:rsid w:val="002765E7"/>
    <w:rsid w:val="002C0934"/>
    <w:rsid w:val="002D7DD5"/>
    <w:rsid w:val="002E61BD"/>
    <w:rsid w:val="00305CF8"/>
    <w:rsid w:val="003178CE"/>
    <w:rsid w:val="00347637"/>
    <w:rsid w:val="00363B57"/>
    <w:rsid w:val="00371108"/>
    <w:rsid w:val="00376A1B"/>
    <w:rsid w:val="00377421"/>
    <w:rsid w:val="0039233A"/>
    <w:rsid w:val="00395B37"/>
    <w:rsid w:val="003A4B34"/>
    <w:rsid w:val="003C2E26"/>
    <w:rsid w:val="003E089D"/>
    <w:rsid w:val="003E312E"/>
    <w:rsid w:val="003E4A12"/>
    <w:rsid w:val="003E6940"/>
    <w:rsid w:val="003E7728"/>
    <w:rsid w:val="003F4A3B"/>
    <w:rsid w:val="003F4B66"/>
    <w:rsid w:val="003F6755"/>
    <w:rsid w:val="00407BD6"/>
    <w:rsid w:val="00433D9E"/>
    <w:rsid w:val="0043583A"/>
    <w:rsid w:val="004372BE"/>
    <w:rsid w:val="00445D03"/>
    <w:rsid w:val="00446FAB"/>
    <w:rsid w:val="004570AB"/>
    <w:rsid w:val="004B1B81"/>
    <w:rsid w:val="004B58ED"/>
    <w:rsid w:val="004E6D11"/>
    <w:rsid w:val="004F4A06"/>
    <w:rsid w:val="005036B8"/>
    <w:rsid w:val="00510B85"/>
    <w:rsid w:val="005306BF"/>
    <w:rsid w:val="005377B3"/>
    <w:rsid w:val="00544D39"/>
    <w:rsid w:val="00546CB1"/>
    <w:rsid w:val="0054766C"/>
    <w:rsid w:val="00562A26"/>
    <w:rsid w:val="00576FA2"/>
    <w:rsid w:val="00596C3E"/>
    <w:rsid w:val="005A2A9F"/>
    <w:rsid w:val="005C7C22"/>
    <w:rsid w:val="005E0A0F"/>
    <w:rsid w:val="005E38C9"/>
    <w:rsid w:val="005F1741"/>
    <w:rsid w:val="00610CA3"/>
    <w:rsid w:val="00623AF7"/>
    <w:rsid w:val="00627A70"/>
    <w:rsid w:val="006317E1"/>
    <w:rsid w:val="006339C9"/>
    <w:rsid w:val="00654005"/>
    <w:rsid w:val="00663291"/>
    <w:rsid w:val="00670EB6"/>
    <w:rsid w:val="00691B1F"/>
    <w:rsid w:val="00695911"/>
    <w:rsid w:val="006C3F47"/>
    <w:rsid w:val="006D3DA5"/>
    <w:rsid w:val="006D4445"/>
    <w:rsid w:val="006E37AD"/>
    <w:rsid w:val="006E7315"/>
    <w:rsid w:val="00730449"/>
    <w:rsid w:val="00733FF3"/>
    <w:rsid w:val="007564E0"/>
    <w:rsid w:val="0076098A"/>
    <w:rsid w:val="00766A9A"/>
    <w:rsid w:val="0077315E"/>
    <w:rsid w:val="00781019"/>
    <w:rsid w:val="007F17B3"/>
    <w:rsid w:val="00832816"/>
    <w:rsid w:val="00834303"/>
    <w:rsid w:val="008362A5"/>
    <w:rsid w:val="00843DD3"/>
    <w:rsid w:val="008644D2"/>
    <w:rsid w:val="008719A2"/>
    <w:rsid w:val="00877B2C"/>
    <w:rsid w:val="00886927"/>
    <w:rsid w:val="00887908"/>
    <w:rsid w:val="00892B00"/>
    <w:rsid w:val="00897AD4"/>
    <w:rsid w:val="008A42F5"/>
    <w:rsid w:val="008B2CF4"/>
    <w:rsid w:val="008B7008"/>
    <w:rsid w:val="008B7981"/>
    <w:rsid w:val="008C0A66"/>
    <w:rsid w:val="008C681F"/>
    <w:rsid w:val="008C6EE3"/>
    <w:rsid w:val="008D6507"/>
    <w:rsid w:val="008E24FC"/>
    <w:rsid w:val="008F3764"/>
    <w:rsid w:val="009015F0"/>
    <w:rsid w:val="009240DD"/>
    <w:rsid w:val="0093171D"/>
    <w:rsid w:val="009343E3"/>
    <w:rsid w:val="00935A19"/>
    <w:rsid w:val="009375FF"/>
    <w:rsid w:val="009405A9"/>
    <w:rsid w:val="00963B13"/>
    <w:rsid w:val="00967DE6"/>
    <w:rsid w:val="009763E6"/>
    <w:rsid w:val="009978E1"/>
    <w:rsid w:val="009B1AC0"/>
    <w:rsid w:val="009C636A"/>
    <w:rsid w:val="009E6F41"/>
    <w:rsid w:val="009F4805"/>
    <w:rsid w:val="009F77C6"/>
    <w:rsid w:val="00A07A7D"/>
    <w:rsid w:val="00A1762C"/>
    <w:rsid w:val="00A2484D"/>
    <w:rsid w:val="00A40E20"/>
    <w:rsid w:val="00A42911"/>
    <w:rsid w:val="00A434AC"/>
    <w:rsid w:val="00A70C96"/>
    <w:rsid w:val="00A75C18"/>
    <w:rsid w:val="00A75F19"/>
    <w:rsid w:val="00AA1D99"/>
    <w:rsid w:val="00AA2D73"/>
    <w:rsid w:val="00AB4DE3"/>
    <w:rsid w:val="00AB6435"/>
    <w:rsid w:val="00AE3EE7"/>
    <w:rsid w:val="00AE49B0"/>
    <w:rsid w:val="00AE505A"/>
    <w:rsid w:val="00B056E9"/>
    <w:rsid w:val="00B05CE8"/>
    <w:rsid w:val="00B1253A"/>
    <w:rsid w:val="00B17C22"/>
    <w:rsid w:val="00B23ACB"/>
    <w:rsid w:val="00B250B5"/>
    <w:rsid w:val="00B360D4"/>
    <w:rsid w:val="00B4065B"/>
    <w:rsid w:val="00B501F9"/>
    <w:rsid w:val="00B6595A"/>
    <w:rsid w:val="00B85ACE"/>
    <w:rsid w:val="00B87687"/>
    <w:rsid w:val="00B940A3"/>
    <w:rsid w:val="00BA3509"/>
    <w:rsid w:val="00BC4A8E"/>
    <w:rsid w:val="00BD2FD2"/>
    <w:rsid w:val="00BD57A5"/>
    <w:rsid w:val="00BE0188"/>
    <w:rsid w:val="00C201F5"/>
    <w:rsid w:val="00C21A37"/>
    <w:rsid w:val="00C329A1"/>
    <w:rsid w:val="00C45592"/>
    <w:rsid w:val="00C5797A"/>
    <w:rsid w:val="00C813DD"/>
    <w:rsid w:val="00C82ECF"/>
    <w:rsid w:val="00C875C3"/>
    <w:rsid w:val="00C95034"/>
    <w:rsid w:val="00CA11D3"/>
    <w:rsid w:val="00CB065B"/>
    <w:rsid w:val="00CD5155"/>
    <w:rsid w:val="00D22BAF"/>
    <w:rsid w:val="00D25817"/>
    <w:rsid w:val="00D362FD"/>
    <w:rsid w:val="00D445E1"/>
    <w:rsid w:val="00DA3843"/>
    <w:rsid w:val="00DA769C"/>
    <w:rsid w:val="00DC029D"/>
    <w:rsid w:val="00DC3EA6"/>
    <w:rsid w:val="00DD17A8"/>
    <w:rsid w:val="00DF547D"/>
    <w:rsid w:val="00E072D1"/>
    <w:rsid w:val="00E24C69"/>
    <w:rsid w:val="00E27F89"/>
    <w:rsid w:val="00E418B7"/>
    <w:rsid w:val="00E447D1"/>
    <w:rsid w:val="00E46146"/>
    <w:rsid w:val="00E47F5A"/>
    <w:rsid w:val="00E8063F"/>
    <w:rsid w:val="00E814B2"/>
    <w:rsid w:val="00E81ECB"/>
    <w:rsid w:val="00E84B4A"/>
    <w:rsid w:val="00E87A2B"/>
    <w:rsid w:val="00E91096"/>
    <w:rsid w:val="00EA1081"/>
    <w:rsid w:val="00EA6CD1"/>
    <w:rsid w:val="00EC32BC"/>
    <w:rsid w:val="00EE4177"/>
    <w:rsid w:val="00EE6BD5"/>
    <w:rsid w:val="00EE77E2"/>
    <w:rsid w:val="00EF5040"/>
    <w:rsid w:val="00F05993"/>
    <w:rsid w:val="00F06C15"/>
    <w:rsid w:val="00F13857"/>
    <w:rsid w:val="00F31D08"/>
    <w:rsid w:val="00F322F4"/>
    <w:rsid w:val="00F602D3"/>
    <w:rsid w:val="00F66FD4"/>
    <w:rsid w:val="00F671AE"/>
    <w:rsid w:val="00F844E2"/>
    <w:rsid w:val="00F93BE0"/>
    <w:rsid w:val="00FB2C2C"/>
    <w:rsid w:val="00FB46C5"/>
    <w:rsid w:val="00FF3E7F"/>
    <w:rsid w:val="00FF64E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CF3C46B"/>
  <w15:chartTrackingRefBased/>
  <w15:docId w15:val="{5617179A-74DD-9F4A-8A87-DDCE21519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11D3"/>
  </w:style>
  <w:style w:type="paragraph" w:styleId="Heading1">
    <w:name w:val="heading 1"/>
    <w:basedOn w:val="Normal"/>
    <w:next w:val="Normal"/>
    <w:link w:val="Heading1Char"/>
    <w:uiPriority w:val="9"/>
    <w:qFormat/>
    <w:rsid w:val="00CA11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11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11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11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11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11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11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11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11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11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11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11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11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11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11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11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11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11D3"/>
    <w:rPr>
      <w:rFonts w:eastAsiaTheme="majorEastAsia" w:cstheme="majorBidi"/>
      <w:color w:val="272727" w:themeColor="text1" w:themeTint="D8"/>
    </w:rPr>
  </w:style>
  <w:style w:type="paragraph" w:styleId="Title">
    <w:name w:val="Title"/>
    <w:basedOn w:val="Normal"/>
    <w:next w:val="Normal"/>
    <w:link w:val="TitleChar"/>
    <w:uiPriority w:val="10"/>
    <w:qFormat/>
    <w:rsid w:val="00CA11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11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11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11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11D3"/>
    <w:pPr>
      <w:spacing w:before="160"/>
      <w:jc w:val="center"/>
    </w:pPr>
    <w:rPr>
      <w:i/>
      <w:iCs/>
      <w:color w:val="404040" w:themeColor="text1" w:themeTint="BF"/>
    </w:rPr>
  </w:style>
  <w:style w:type="character" w:customStyle="1" w:styleId="QuoteChar">
    <w:name w:val="Quote Char"/>
    <w:basedOn w:val="DefaultParagraphFont"/>
    <w:link w:val="Quote"/>
    <w:uiPriority w:val="29"/>
    <w:rsid w:val="00CA11D3"/>
    <w:rPr>
      <w:i/>
      <w:iCs/>
      <w:color w:val="404040" w:themeColor="text1" w:themeTint="BF"/>
    </w:rPr>
  </w:style>
  <w:style w:type="paragraph" w:styleId="ListParagraph">
    <w:name w:val="List Paragraph"/>
    <w:basedOn w:val="Normal"/>
    <w:uiPriority w:val="34"/>
    <w:qFormat/>
    <w:rsid w:val="00CA11D3"/>
    <w:pPr>
      <w:ind w:left="720"/>
      <w:contextualSpacing/>
    </w:pPr>
  </w:style>
  <w:style w:type="character" w:styleId="IntenseEmphasis">
    <w:name w:val="Intense Emphasis"/>
    <w:basedOn w:val="DefaultParagraphFont"/>
    <w:uiPriority w:val="21"/>
    <w:qFormat/>
    <w:rsid w:val="00CA11D3"/>
    <w:rPr>
      <w:i/>
      <w:iCs/>
      <w:color w:val="0F4761" w:themeColor="accent1" w:themeShade="BF"/>
    </w:rPr>
  </w:style>
  <w:style w:type="paragraph" w:styleId="IntenseQuote">
    <w:name w:val="Intense Quote"/>
    <w:basedOn w:val="Normal"/>
    <w:next w:val="Normal"/>
    <w:link w:val="IntenseQuoteChar"/>
    <w:uiPriority w:val="30"/>
    <w:qFormat/>
    <w:rsid w:val="00CA11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11D3"/>
    <w:rPr>
      <w:i/>
      <w:iCs/>
      <w:color w:val="0F4761" w:themeColor="accent1" w:themeShade="BF"/>
    </w:rPr>
  </w:style>
  <w:style w:type="character" w:styleId="IntenseReference">
    <w:name w:val="Intense Reference"/>
    <w:basedOn w:val="DefaultParagraphFont"/>
    <w:uiPriority w:val="32"/>
    <w:qFormat/>
    <w:rsid w:val="00CA11D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834</Words>
  <Characters>4757</Characters>
  <Application>Microsoft Office Word</Application>
  <DocSecurity>0</DocSecurity>
  <Lines>39</Lines>
  <Paragraphs>11</Paragraphs>
  <ScaleCrop>false</ScaleCrop>
  <Company/>
  <LinksUpToDate>false</LinksUpToDate>
  <CharactersWithSpaces>5580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 Simpson</dc:creator>
  <cp:keywords/>
  <dc:description/>
  <cp:lastModifiedBy>Dana Simpson</cp:lastModifiedBy>
  <cp:revision>1</cp:revision>
  <dcterms:created xsi:type="dcterms:W3CDTF">2025-04-17T16:09:00Z</dcterms:created>
  <dcterms:modified xsi:type="dcterms:W3CDTF">2025-04-17T16:12:00Z</dcterms:modified>
</cp:coreProperties>
</file>