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604" w:rsidRDefault="00AB6BD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Supplementary Information for</w:t>
      </w:r>
    </w:p>
    <w:p w:rsidR="003B5604" w:rsidRDefault="003B5604">
      <w:pPr>
        <w:jc w:val="center"/>
        <w:rPr>
          <w:rFonts w:ascii="Times New Roman" w:eastAsia="Times New Roman" w:hAnsi="Times New Roman" w:cs="Times New Roman"/>
          <w:b/>
          <w:sz w:val="26"/>
          <w:szCs w:val="26"/>
        </w:rPr>
      </w:pPr>
    </w:p>
    <w:p w:rsidR="003B5604" w:rsidRDefault="00AB6BD5">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Assessment of the IITM Decadal Climate</w:t>
      </w:r>
      <w:r w:rsidR="00917843">
        <w:rPr>
          <w:rFonts w:ascii="Times New Roman" w:eastAsia="Times New Roman" w:hAnsi="Times New Roman" w:cs="Times New Roman"/>
          <w:b/>
          <w:sz w:val="26"/>
          <w:szCs w:val="26"/>
        </w:rPr>
        <w:t xml:space="preserve"> Prediction System</w:t>
      </w:r>
      <w:bookmarkStart w:id="0" w:name="_GoBack"/>
      <w:bookmarkEnd w:id="0"/>
      <w:r>
        <w:rPr>
          <w:rFonts w:ascii="Times New Roman" w:eastAsia="Times New Roman" w:hAnsi="Times New Roman" w:cs="Times New Roman"/>
          <w:b/>
          <w:sz w:val="26"/>
          <w:szCs w:val="26"/>
        </w:rPr>
        <w:t xml:space="preserve"> for </w:t>
      </w:r>
      <w:proofErr w:type="spellStart"/>
      <w:r>
        <w:rPr>
          <w:rFonts w:ascii="Times New Roman" w:eastAsia="Times New Roman" w:hAnsi="Times New Roman" w:cs="Times New Roman"/>
          <w:b/>
          <w:sz w:val="26"/>
          <w:szCs w:val="26"/>
        </w:rPr>
        <w:t>Interannual</w:t>
      </w:r>
      <w:proofErr w:type="spellEnd"/>
      <w:r>
        <w:rPr>
          <w:rFonts w:ascii="Times New Roman" w:eastAsia="Times New Roman" w:hAnsi="Times New Roman" w:cs="Times New Roman"/>
          <w:b/>
          <w:sz w:val="26"/>
          <w:szCs w:val="26"/>
        </w:rPr>
        <w:t xml:space="preserve"> to Decadal Climate Variability and Indian Summer Monsoon Teleconnections</w:t>
      </w:r>
    </w:p>
    <w:p w:rsidR="003B5604" w:rsidRDefault="00AB6BD5">
      <w:pPr>
        <w:jc w:val="center"/>
        <w:rPr>
          <w:rFonts w:ascii="Times New Roman" w:eastAsia="Times New Roman" w:hAnsi="Times New Roman" w:cs="Times New Roman"/>
        </w:rPr>
      </w:pPr>
      <w:r>
        <w:rPr>
          <w:rFonts w:ascii="Times New Roman" w:eastAsia="Times New Roman" w:hAnsi="Times New Roman" w:cs="Times New Roman"/>
        </w:rPr>
        <w:t>P. V. Rajesh</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Rosimitha</w:t>
      </w:r>
      <w:proofErr w:type="spellEnd"/>
      <w:r>
        <w:rPr>
          <w:rFonts w:ascii="Times New Roman" w:eastAsia="Times New Roman" w:hAnsi="Times New Roman" w:cs="Times New Roman"/>
        </w:rPr>
        <w:t xml:space="preserve"> Panda</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Rahul Pai</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Rashmi Kakatkar</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Darshana</w:t>
      </w:r>
      <w:proofErr w:type="spellEnd"/>
      <w:r>
        <w:rPr>
          <w:rFonts w:ascii="Times New Roman" w:eastAsia="Times New Roman" w:hAnsi="Times New Roman" w:cs="Times New Roman"/>
        </w:rPr>
        <w:t xml:space="preserve"> Patekar</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J.S. Deepa</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C. Gnanaseelan</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A.G. Prajeesh</w:t>
      </w:r>
      <w:r w:rsidRPr="00C549CF">
        <w:rPr>
          <w:rFonts w:ascii="Times New Roman" w:eastAsia="Times New Roman" w:hAnsi="Times New Roman" w:cs="Times New Roman"/>
          <w:vertAlign w:val="superscript"/>
        </w:rPr>
        <w:t>1,2</w:t>
      </w:r>
      <w:r>
        <w:rPr>
          <w:rFonts w:ascii="Times New Roman" w:eastAsia="Times New Roman" w:hAnsi="Times New Roman" w:cs="Times New Roman"/>
        </w:rPr>
        <w:t>, Amit Kumar Sharma</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T.S. Fousiya</w:t>
      </w:r>
      <w:r w:rsidRPr="00C549CF">
        <w:rPr>
          <w:rFonts w:ascii="Times New Roman" w:eastAsia="Times New Roman" w:hAnsi="Times New Roman" w:cs="Times New Roman"/>
          <w:vertAlign w:val="superscript"/>
        </w:rPr>
        <w:t>1,3</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Subrota</w:t>
      </w:r>
      <w:proofErr w:type="spellEnd"/>
      <w:r>
        <w:rPr>
          <w:rFonts w:ascii="Times New Roman" w:eastAsia="Times New Roman" w:hAnsi="Times New Roman" w:cs="Times New Roman"/>
        </w:rPr>
        <w:t xml:space="preserve"> Halder</w:t>
      </w:r>
      <w:r w:rsidRPr="00C549CF">
        <w:rPr>
          <w:rFonts w:ascii="Times New Roman" w:eastAsia="Times New Roman" w:hAnsi="Times New Roman" w:cs="Times New Roman"/>
          <w:vertAlign w:val="superscript"/>
        </w:rPr>
        <w:t>1,4</w:t>
      </w:r>
      <w:r w:rsidR="00C549CF">
        <w:rPr>
          <w:rFonts w:ascii="Times New Roman" w:eastAsia="Times New Roman" w:hAnsi="Times New Roman" w:cs="Times New Roman"/>
        </w:rPr>
        <w:t xml:space="preserve">, </w:t>
      </w:r>
      <w:r>
        <w:rPr>
          <w:rFonts w:ascii="Times New Roman" w:eastAsia="Times New Roman" w:hAnsi="Times New Roman" w:cs="Times New Roman"/>
        </w:rPr>
        <w:t>Sebastian</w:t>
      </w:r>
      <w:r w:rsidR="00C549CF">
        <w:rPr>
          <w:rFonts w:ascii="Times New Roman" w:eastAsia="Times New Roman" w:hAnsi="Times New Roman" w:cs="Times New Roman"/>
        </w:rPr>
        <w:t xml:space="preserve"> Anila</w:t>
      </w:r>
      <w:r w:rsidRPr="00C549CF">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Anant</w:t>
      </w:r>
      <w:proofErr w:type="spellEnd"/>
      <w:r>
        <w:rPr>
          <w:rFonts w:ascii="Times New Roman" w:eastAsia="Times New Roman" w:hAnsi="Times New Roman" w:cs="Times New Roman"/>
        </w:rPr>
        <w:t xml:space="preserve"> Parekh</w:t>
      </w:r>
      <w:r w:rsidRPr="00C549CF">
        <w:rPr>
          <w:rFonts w:ascii="Times New Roman" w:eastAsia="Times New Roman" w:hAnsi="Times New Roman" w:cs="Times New Roman"/>
          <w:vertAlign w:val="superscript"/>
        </w:rPr>
        <w:t>1</w:t>
      </w:r>
    </w:p>
    <w:p w:rsidR="003B5604" w:rsidRDefault="003B5604">
      <w:pPr>
        <w:jc w:val="center"/>
        <w:rPr>
          <w:rFonts w:ascii="Times New Roman" w:eastAsia="Times New Roman" w:hAnsi="Times New Roman" w:cs="Times New Roman"/>
          <w:sz w:val="20"/>
          <w:szCs w:val="20"/>
        </w:rPr>
      </w:pPr>
    </w:p>
    <w:p w:rsidR="003B5604" w:rsidRDefault="00AB6BD5">
      <w:pPr>
        <w:jc w:val="center"/>
        <w:rPr>
          <w:rFonts w:ascii="Times New Roman" w:eastAsia="Times New Roman" w:hAnsi="Times New Roman" w:cs="Times New Roman"/>
          <w:sz w:val="20"/>
          <w:szCs w:val="20"/>
        </w:rPr>
      </w:pPr>
      <w:r w:rsidRPr="00C549CF">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Indian Institute of Tropical Meteorology, Pune-411008</w:t>
      </w:r>
    </w:p>
    <w:p w:rsidR="003B5604" w:rsidRDefault="00AB6BD5">
      <w:pPr>
        <w:jc w:val="center"/>
        <w:rPr>
          <w:rFonts w:ascii="Times New Roman" w:eastAsia="Times New Roman" w:hAnsi="Times New Roman" w:cs="Times New Roman"/>
          <w:sz w:val="20"/>
          <w:szCs w:val="20"/>
          <w:highlight w:val="white"/>
        </w:rPr>
      </w:pPr>
      <w:r w:rsidRPr="00C549CF">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highlight w:val="white"/>
        </w:rPr>
        <w:t>King Abdullah University of Science and Technology</w:t>
      </w:r>
    </w:p>
    <w:p w:rsidR="003B5604" w:rsidRDefault="00AB6BD5">
      <w:pPr>
        <w:jc w:val="center"/>
        <w:rPr>
          <w:rFonts w:ascii="Times New Roman" w:eastAsia="Times New Roman" w:hAnsi="Times New Roman" w:cs="Times New Roman"/>
          <w:sz w:val="20"/>
          <w:szCs w:val="20"/>
          <w:highlight w:val="white"/>
        </w:rPr>
      </w:pPr>
      <w:r w:rsidRPr="00C549CF">
        <w:rPr>
          <w:rFonts w:ascii="Times New Roman" w:eastAsia="Times New Roman" w:hAnsi="Times New Roman" w:cs="Times New Roman"/>
          <w:sz w:val="20"/>
          <w:szCs w:val="20"/>
          <w:highlight w:val="white"/>
          <w:vertAlign w:val="superscript"/>
        </w:rPr>
        <w:t>3</w:t>
      </w:r>
      <w:r>
        <w:rPr>
          <w:rFonts w:ascii="Times New Roman" w:eastAsia="Times New Roman" w:hAnsi="Times New Roman" w:cs="Times New Roman"/>
          <w:sz w:val="20"/>
          <w:szCs w:val="20"/>
          <w:highlight w:val="white"/>
        </w:rPr>
        <w:t>Meteo-France Toulouse</w:t>
      </w:r>
    </w:p>
    <w:p w:rsidR="003B5604" w:rsidRDefault="00AB6BD5">
      <w:pPr>
        <w:jc w:val="center"/>
        <w:rPr>
          <w:rFonts w:ascii="Times New Roman" w:eastAsia="Times New Roman" w:hAnsi="Times New Roman" w:cs="Times New Roman"/>
          <w:sz w:val="20"/>
          <w:szCs w:val="20"/>
          <w:highlight w:val="white"/>
        </w:rPr>
      </w:pPr>
      <w:r w:rsidRPr="00C549CF">
        <w:rPr>
          <w:rFonts w:ascii="Times New Roman" w:eastAsia="Times New Roman" w:hAnsi="Times New Roman" w:cs="Times New Roman"/>
          <w:sz w:val="20"/>
          <w:szCs w:val="20"/>
          <w:highlight w:val="white"/>
          <w:vertAlign w:val="superscript"/>
        </w:rPr>
        <w:t>4</w:t>
      </w:r>
      <w:r>
        <w:rPr>
          <w:rFonts w:ascii="Times New Roman" w:eastAsia="Times New Roman" w:hAnsi="Times New Roman" w:cs="Times New Roman"/>
          <w:sz w:val="20"/>
          <w:szCs w:val="20"/>
          <w:highlight w:val="white"/>
        </w:rPr>
        <w:t>New York University Abu Dhabi</w:t>
      </w:r>
    </w:p>
    <w:p w:rsidR="003B5604" w:rsidRDefault="00AB6BD5">
      <w:pPr>
        <w:jc w:val="center"/>
        <w:rPr>
          <w:rFonts w:ascii="Times New Roman" w:eastAsia="Times New Roman" w:hAnsi="Times New Roman" w:cs="Times New Roman"/>
        </w:rPr>
      </w:pPr>
      <w:r>
        <w:rPr>
          <w:rFonts w:ascii="Times New Roman" w:eastAsia="Times New Roman" w:hAnsi="Times New Roman" w:cs="Times New Roman"/>
          <w:sz w:val="20"/>
          <w:szCs w:val="20"/>
          <w:highlight w:val="white"/>
        </w:rPr>
        <w:t>*seelan@tropmet.res.in</w:t>
      </w:r>
    </w:p>
    <w:p w:rsidR="003B5604" w:rsidRDefault="00AB6BD5">
      <w:pPr>
        <w:spacing w:before="240" w:after="240" w:line="360" w:lineRule="auto"/>
        <w:jc w:val="center"/>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extent cx="4558896" cy="3205163"/>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558896" cy="3205163"/>
                    </a:xfrm>
                    <a:prstGeom prst="rect">
                      <a:avLst/>
                    </a:prstGeom>
                    <a:ln/>
                  </pic:spPr>
                </pic:pic>
              </a:graphicData>
            </a:graphic>
          </wp:inline>
        </w:drawing>
      </w:r>
    </w:p>
    <w:p w:rsidR="003B5604" w:rsidRDefault="00AB6BD5">
      <w:pPr>
        <w:spacing w:before="240" w:after="24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Figure S1a: Bias of 2m temperature (first column), precipitation (second column) and SST (third column), for 200 years of the pi-control from 13 Earth system models (ESMs) participating in CMIP6-DCPP, and IITM-DCPS compared to the observed climatology data. The observed climatological temperature is derived from ERA5, precipitation from GPCP and COBE </w:t>
      </w:r>
      <w:proofErr w:type="gramStart"/>
      <w:r>
        <w:rPr>
          <w:rFonts w:ascii="Times New Roman" w:eastAsia="Times New Roman" w:hAnsi="Times New Roman" w:cs="Times New Roman"/>
          <w:i/>
        </w:rPr>
        <w:t>SST .</w:t>
      </w:r>
      <w:proofErr w:type="gramEnd"/>
      <w:r>
        <w:rPr>
          <w:rFonts w:ascii="Times New Roman" w:eastAsia="Times New Roman" w:hAnsi="Times New Roman" w:cs="Times New Roman"/>
          <w:i/>
        </w:rPr>
        <w:t xml:space="preserve"> Each row represents the mean bias for the same model, with units of T2 in </w:t>
      </w:r>
      <w:proofErr w:type="spellStart"/>
      <w:r>
        <w:rPr>
          <w:rFonts w:ascii="Times New Roman" w:eastAsia="Times New Roman" w:hAnsi="Times New Roman" w:cs="Times New Roman"/>
          <w:i/>
        </w:rPr>
        <w:t>degC</w:t>
      </w:r>
      <w:proofErr w:type="spellEnd"/>
      <w:r>
        <w:rPr>
          <w:rFonts w:ascii="Times New Roman" w:eastAsia="Times New Roman" w:hAnsi="Times New Roman" w:cs="Times New Roman"/>
          <w:i/>
        </w:rPr>
        <w:t>, precipitation in mm day-1 and SST in K.</w:t>
      </w:r>
    </w:p>
    <w:p w:rsidR="003B5604" w:rsidRDefault="00AB6BD5">
      <w:pPr>
        <w:spacing w:after="240" w:line="240" w:lineRule="auto"/>
        <w:jc w:val="center"/>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114300" distB="114300" distL="114300" distR="114300">
            <wp:extent cx="2730500" cy="79883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2730987" cy="7989724"/>
                    </a:xfrm>
                    <a:prstGeom prst="rect">
                      <a:avLst/>
                    </a:prstGeom>
                    <a:ln/>
                  </pic:spPr>
                </pic:pic>
              </a:graphicData>
            </a:graphic>
          </wp:inline>
        </w:drawing>
      </w:r>
    </w:p>
    <w:p w:rsidR="003B5604" w:rsidRDefault="00AB6BD5">
      <w:pPr>
        <w:spacing w:before="240" w:after="240" w:line="240" w:lineRule="auto"/>
        <w:jc w:val="both"/>
        <w:rPr>
          <w:rFonts w:ascii="Times New Roman" w:eastAsia="Times New Roman" w:hAnsi="Times New Roman" w:cs="Times New Roman"/>
          <w:i/>
        </w:rPr>
      </w:pPr>
      <w:r>
        <w:rPr>
          <w:rFonts w:ascii="Times New Roman" w:eastAsia="Times New Roman" w:hAnsi="Times New Roman" w:cs="Times New Roman"/>
          <w:i/>
        </w:rPr>
        <w:t>Figure S1b: Comparison of the seasonal cycle of rainfall from IITM-DCPS (green), IITM-ESM historical (purple), and IITM-ESM-PI (magenta) with various CMIP6 models’ PI-control runs participating in the Decadal Climate Prediction Project (DCPP), validated against IMD rainfall observations.</w:t>
      </w:r>
    </w:p>
    <w:p w:rsidR="003B5604" w:rsidRDefault="00AB6BD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688859" cy="3795713"/>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688859" cy="3795713"/>
                    </a:xfrm>
                    <a:prstGeom prst="rect">
                      <a:avLst/>
                    </a:prstGeom>
                    <a:ln/>
                  </pic:spPr>
                </pic:pic>
              </a:graphicData>
            </a:graphic>
          </wp:inline>
        </w:drawing>
      </w:r>
    </w:p>
    <w:p w:rsidR="003B5604" w:rsidRDefault="00AB6BD5">
      <w:pPr>
        <w:spacing w:before="240" w:after="24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Figure S2: Time series of simulated ISMR and seasonal mean circulation indices (MHI, TTG, SMI, WYI, MCI and HWSI) normalized by their own </w:t>
      </w:r>
      <w:proofErr w:type="spellStart"/>
      <w:r>
        <w:rPr>
          <w:rFonts w:ascii="Times New Roman" w:eastAsia="Times New Roman" w:hAnsi="Times New Roman" w:cs="Times New Roman"/>
          <w:i/>
        </w:rPr>
        <w:t>interannual</w:t>
      </w:r>
      <w:proofErr w:type="spellEnd"/>
      <w:r>
        <w:rPr>
          <w:rFonts w:ascii="Times New Roman" w:eastAsia="Times New Roman" w:hAnsi="Times New Roman" w:cs="Times New Roman"/>
          <w:i/>
        </w:rPr>
        <w:t xml:space="preserve"> standard deviation for the period of 200 years and the observation values for correlation coefficient (R) given in black colour.</w:t>
      </w:r>
      <w:r>
        <w:br w:type="page"/>
      </w:r>
    </w:p>
    <w:p w:rsidR="003B5604" w:rsidRDefault="00AB6B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4863113" cy="2922996"/>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863113" cy="2922996"/>
                    </a:xfrm>
                    <a:prstGeom prst="rect">
                      <a:avLst/>
                    </a:prstGeom>
                    <a:ln/>
                  </pic:spPr>
                </pic:pic>
              </a:graphicData>
            </a:graphic>
          </wp:inline>
        </w:drawing>
      </w:r>
    </w:p>
    <w:p w:rsidR="003B5604" w:rsidRDefault="00AB6BD5">
      <w:pPr>
        <w:spacing w:line="240" w:lineRule="auto"/>
        <w:jc w:val="both"/>
        <w:rPr>
          <w:rFonts w:ascii="Times New Roman" w:eastAsia="Times New Roman" w:hAnsi="Times New Roman" w:cs="Times New Roman"/>
          <w:i/>
        </w:rPr>
      </w:pPr>
      <w:r>
        <w:rPr>
          <w:rFonts w:ascii="Times New Roman" w:eastAsia="Times New Roman" w:hAnsi="Times New Roman" w:cs="Times New Roman"/>
          <w:i/>
        </w:rPr>
        <w:t>Figure S3: Comparison of annual cycle of meridional Tropospheric Temperature Gradient (TTG) (</w:t>
      </w:r>
      <w:proofErr w:type="spellStart"/>
      <w:r>
        <w:rPr>
          <w:rFonts w:ascii="Times New Roman" w:eastAsia="Times New Roman" w:hAnsi="Times New Roman" w:cs="Times New Roman"/>
          <w:i/>
        </w:rPr>
        <w:t>deg</w:t>
      </w:r>
      <w:proofErr w:type="spellEnd"/>
      <w:r>
        <w:rPr>
          <w:rFonts w:ascii="Times New Roman" w:eastAsia="Times New Roman" w:hAnsi="Times New Roman" w:cs="Times New Roman"/>
          <w:i/>
        </w:rPr>
        <w:t xml:space="preserve"> K) between IITM-DCPS (model) and observation over the period of 200 years. TTG is calculated by averaging the air temperature over the column 600-200 </w:t>
      </w:r>
      <w:proofErr w:type="spellStart"/>
      <w:r>
        <w:rPr>
          <w:rFonts w:ascii="Times New Roman" w:eastAsia="Times New Roman" w:hAnsi="Times New Roman" w:cs="Times New Roman"/>
          <w:i/>
        </w:rPr>
        <w:t>hPa</w:t>
      </w:r>
      <w:proofErr w:type="spellEnd"/>
      <w:r>
        <w:rPr>
          <w:rFonts w:ascii="Times New Roman" w:eastAsia="Times New Roman" w:hAnsi="Times New Roman" w:cs="Times New Roman"/>
          <w:i/>
        </w:rPr>
        <w:t xml:space="preserve"> and taking the difference between the Indian monsoon domain (60–100°E, 20–30°N) and the equatorial region (60–100°E, 5°S–5°N).</w:t>
      </w:r>
    </w:p>
    <w:p w:rsidR="003B5604" w:rsidRDefault="00AB6BD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4939313" cy="278858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939313" cy="2788585"/>
                    </a:xfrm>
                    <a:prstGeom prst="rect">
                      <a:avLst/>
                    </a:prstGeom>
                    <a:ln/>
                  </pic:spPr>
                </pic:pic>
              </a:graphicData>
            </a:graphic>
          </wp:inline>
        </w:drawing>
      </w:r>
    </w:p>
    <w:p w:rsidR="003B5604" w:rsidRDefault="00AB6BD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3B5604" w:rsidRDefault="00AB6BD5">
      <w:pPr>
        <w:spacing w:after="240" w:line="240" w:lineRule="auto"/>
        <w:jc w:val="both"/>
        <w:rPr>
          <w:rFonts w:ascii="Times New Roman" w:eastAsia="Times New Roman" w:hAnsi="Times New Roman" w:cs="Times New Roman"/>
          <w:i/>
        </w:rPr>
      </w:pPr>
      <w:r>
        <w:rPr>
          <w:rFonts w:ascii="Gungsuh" w:eastAsia="Gungsuh" w:hAnsi="Gungsuh" w:cs="Gungsuh"/>
          <w:i/>
        </w:rPr>
        <w:t>Figure S4: Lead-lag correlations between Indian monsoon rainfall (JJAS mean) time series (IITM) and monthly Niño-3.4 SST (ERSSTv5) from the previous year (year −1) to the following year of the monsoon (year +1) (Black line). The blue line represents the same analysis using the IITM-DCPS control run, while the red line corresponds to the IITM-ESM-</w:t>
      </w:r>
      <w:proofErr w:type="spellStart"/>
      <w:r>
        <w:rPr>
          <w:rFonts w:ascii="Gungsuh" w:eastAsia="Gungsuh" w:hAnsi="Gungsuh" w:cs="Gungsuh"/>
          <w:i/>
        </w:rPr>
        <w:t>picontrol</w:t>
      </w:r>
      <w:proofErr w:type="spellEnd"/>
      <w:r>
        <w:rPr>
          <w:rFonts w:ascii="Gungsuh" w:eastAsia="Gungsuh" w:hAnsi="Gungsuh" w:cs="Gungsuh"/>
          <w:i/>
        </w:rPr>
        <w:t xml:space="preserve"> run. IITM Historical may be added, </w:t>
      </w:r>
      <w:proofErr w:type="spellStart"/>
      <w:r>
        <w:rPr>
          <w:rFonts w:ascii="Gungsuh" w:eastAsia="Gungsuh" w:hAnsi="Gungsuh" w:cs="Gungsuh"/>
          <w:i/>
        </w:rPr>
        <w:t>Jastis</w:t>
      </w:r>
      <w:proofErr w:type="spellEnd"/>
      <w:r>
        <w:rPr>
          <w:rFonts w:ascii="Gungsuh" w:eastAsia="Gungsuh" w:hAnsi="Gungsuh" w:cs="Gungsuh"/>
          <w:i/>
        </w:rPr>
        <w:t xml:space="preserve"> might have done with CMIP, </w:t>
      </w:r>
      <w:proofErr w:type="gramStart"/>
      <w:r>
        <w:rPr>
          <w:rFonts w:ascii="Gungsuh" w:eastAsia="Gungsuh" w:hAnsi="Gungsuh" w:cs="Gungsuh"/>
          <w:i/>
        </w:rPr>
        <w:t>you</w:t>
      </w:r>
      <w:proofErr w:type="gramEnd"/>
      <w:r>
        <w:rPr>
          <w:rFonts w:ascii="Gungsuh" w:eastAsia="Gungsuh" w:hAnsi="Gungsuh" w:cs="Gungsuh"/>
          <w:i/>
        </w:rPr>
        <w:t xml:space="preserve"> may add those results about CMIP models status.  </w:t>
      </w:r>
    </w:p>
    <w:p w:rsidR="003B5604" w:rsidRDefault="00AB6BD5">
      <w:pPr>
        <w:spacing w:after="240" w:line="24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070638" cy="3439386"/>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070638" cy="3439386"/>
                    </a:xfrm>
                    <a:prstGeom prst="rect">
                      <a:avLst/>
                    </a:prstGeom>
                    <a:ln/>
                  </pic:spPr>
                </pic:pic>
              </a:graphicData>
            </a:graphic>
          </wp:inline>
        </w:drawing>
      </w:r>
    </w:p>
    <w:p w:rsidR="003B5604" w:rsidRDefault="00AB6BD5">
      <w:pPr>
        <w:spacing w:after="240" w:line="240" w:lineRule="auto"/>
        <w:jc w:val="both"/>
        <w:rPr>
          <w:rFonts w:ascii="Times New Roman" w:eastAsia="Times New Roman" w:hAnsi="Times New Roman" w:cs="Times New Roman"/>
          <w:i/>
        </w:rPr>
      </w:pPr>
      <w:r>
        <w:rPr>
          <w:rFonts w:ascii="Times New Roman" w:eastAsia="Times New Roman" w:hAnsi="Times New Roman" w:cs="Times New Roman"/>
          <w:i/>
          <w:sz w:val="20"/>
          <w:szCs w:val="20"/>
        </w:rPr>
        <w:t>Figure S5: June–September rainfall anomaly composites of (a) observed El Niño events and (b) observed La Niña events for those years as used as in above Figure 6. (</w:t>
      </w:r>
      <w:proofErr w:type="gramStart"/>
      <w:r>
        <w:rPr>
          <w:rFonts w:ascii="Times New Roman" w:eastAsia="Times New Roman" w:hAnsi="Times New Roman" w:cs="Times New Roman"/>
          <w:i/>
          <w:sz w:val="20"/>
          <w:szCs w:val="20"/>
        </w:rPr>
        <w:t>c</w:t>
      </w:r>
      <w:proofErr w:type="gramEnd"/>
      <w:r>
        <w:rPr>
          <w:rFonts w:ascii="Times New Roman" w:eastAsia="Times New Roman" w:hAnsi="Times New Roman" w:cs="Times New Roman"/>
          <w:i/>
          <w:sz w:val="20"/>
          <w:szCs w:val="20"/>
        </w:rPr>
        <w:t>, d), are the same as above, but for IITM-DCPS (model).</w:t>
      </w:r>
      <w:r>
        <w:rPr>
          <w:rFonts w:ascii="Times New Roman" w:eastAsia="Times New Roman" w:hAnsi="Times New Roman" w:cs="Times New Roman"/>
          <w:i/>
        </w:rPr>
        <w:t xml:space="preserve"> </w:t>
      </w:r>
    </w:p>
    <w:p w:rsidR="003B5604" w:rsidRDefault="00AB6BD5">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273251" cy="3667137"/>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273251" cy="3667137"/>
                    </a:xfrm>
                    <a:prstGeom prst="rect">
                      <a:avLst/>
                    </a:prstGeom>
                    <a:ln/>
                  </pic:spPr>
                </pic:pic>
              </a:graphicData>
            </a:graphic>
          </wp:inline>
        </w:drawing>
      </w:r>
    </w:p>
    <w:p w:rsidR="003B5604" w:rsidRDefault="00AB6BD5">
      <w:pPr>
        <w:spacing w:after="24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Figure S6: (a) June–September rainfall anomaly composite for the positive decadal modes of ENSO and (b) for negative decadal modes of ENSO, extracted for the same epochs as illustrated in Figure 8. </w:t>
      </w:r>
      <w:proofErr w:type="gramStart"/>
      <w:r>
        <w:rPr>
          <w:rFonts w:ascii="Times New Roman" w:eastAsia="Times New Roman" w:hAnsi="Times New Roman" w:cs="Times New Roman"/>
          <w:i/>
        </w:rPr>
        <w:t>Similarly, (c, d) present the same analysis for IITM-DCPS.</w:t>
      </w:r>
      <w:proofErr w:type="gramEnd"/>
      <w:r>
        <w:rPr>
          <w:rFonts w:ascii="Times New Roman" w:eastAsia="Times New Roman" w:hAnsi="Times New Roman" w:cs="Times New Roman"/>
          <w:i/>
        </w:rPr>
        <w:t xml:space="preserve"> What about pi and historical. </w:t>
      </w:r>
      <w:proofErr w:type="spellStart"/>
      <w:r>
        <w:rPr>
          <w:rFonts w:ascii="Times New Roman" w:eastAsia="Times New Roman" w:hAnsi="Times New Roman" w:cs="Times New Roman"/>
          <w:i/>
        </w:rPr>
        <w:t>Color</w:t>
      </w:r>
      <w:proofErr w:type="spellEnd"/>
      <w:r>
        <w:rPr>
          <w:rFonts w:ascii="Times New Roman" w:eastAsia="Times New Roman" w:hAnsi="Times New Roman" w:cs="Times New Roman"/>
          <w:i/>
        </w:rPr>
        <w:t xml:space="preserve"> bar may be reversed </w:t>
      </w:r>
    </w:p>
    <w:p w:rsidR="003B5604" w:rsidRDefault="00AB6BD5">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731200" cy="2374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31200" cy="2374900"/>
                    </a:xfrm>
                    <a:prstGeom prst="rect">
                      <a:avLst/>
                    </a:prstGeom>
                    <a:ln/>
                  </pic:spPr>
                </pic:pic>
              </a:graphicData>
            </a:graphic>
          </wp:inline>
        </w:drawing>
      </w:r>
    </w:p>
    <w:p w:rsidR="003B5604" w:rsidRDefault="00AB6BD5">
      <w:pPr>
        <w:spacing w:line="360" w:lineRule="auto"/>
        <w:rPr>
          <w:rFonts w:ascii="Times New Roman" w:eastAsia="Times New Roman" w:hAnsi="Times New Roman" w:cs="Times New Roman"/>
          <w:i/>
        </w:rPr>
      </w:pPr>
      <w:r>
        <w:rPr>
          <w:rFonts w:ascii="Times New Roman" w:eastAsia="Times New Roman" w:hAnsi="Times New Roman" w:cs="Times New Roman"/>
          <w:i/>
        </w:rPr>
        <w:t>Figure S7: Power spectra of the AMO index from (a) observations and (b) IITM-DCPS, both derived from the raw non-</w:t>
      </w:r>
      <w:proofErr w:type="spellStart"/>
      <w:r>
        <w:rPr>
          <w:rFonts w:ascii="Times New Roman" w:eastAsia="Times New Roman" w:hAnsi="Times New Roman" w:cs="Times New Roman"/>
          <w:i/>
        </w:rPr>
        <w:t>detrended</w:t>
      </w:r>
      <w:proofErr w:type="spellEnd"/>
      <w:r>
        <w:rPr>
          <w:rFonts w:ascii="Times New Roman" w:eastAsia="Times New Roman" w:hAnsi="Times New Roman" w:cs="Times New Roman"/>
          <w:i/>
        </w:rPr>
        <w:t xml:space="preserve"> time series obtained as the domain average sea surface temperature (SST) values over the North Atlantic (NA) domain during boreal summer season, where the maximum SST loading is observed (290°E–360°E, 30°N–65°N).What about pi and historical. What is red and green </w:t>
      </w:r>
      <w:proofErr w:type="gramStart"/>
      <w:r>
        <w:rPr>
          <w:rFonts w:ascii="Times New Roman" w:eastAsia="Times New Roman" w:hAnsi="Times New Roman" w:cs="Times New Roman"/>
          <w:i/>
        </w:rPr>
        <w:t>line.</w:t>
      </w:r>
      <w:proofErr w:type="gramEnd"/>
      <w:r>
        <w:rPr>
          <w:rFonts w:ascii="Times New Roman" w:eastAsia="Times New Roman" w:hAnsi="Times New Roman" w:cs="Times New Roman"/>
          <w:i/>
        </w:rPr>
        <w:t xml:space="preserve"> </w:t>
      </w:r>
    </w:p>
    <w:p w:rsidR="003B5604" w:rsidRDefault="00AB6BD5">
      <w:pPr>
        <w:spacing w:line="360" w:lineRule="auto"/>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extent cx="4834538" cy="3625903"/>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834538" cy="3625903"/>
                    </a:xfrm>
                    <a:prstGeom prst="rect">
                      <a:avLst/>
                    </a:prstGeom>
                    <a:ln/>
                  </pic:spPr>
                </pic:pic>
              </a:graphicData>
            </a:graphic>
          </wp:inline>
        </w:drawing>
      </w:r>
    </w:p>
    <w:p w:rsidR="003B5604" w:rsidRDefault="00AB6BD5">
      <w:pPr>
        <w:spacing w:line="360" w:lineRule="auto"/>
        <w:rPr>
          <w:rFonts w:ascii="Times New Roman" w:eastAsia="Times New Roman" w:hAnsi="Times New Roman" w:cs="Times New Roman"/>
          <w:i/>
        </w:rPr>
      </w:pP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r>
    </w:p>
    <w:p w:rsidR="003B5604" w:rsidRDefault="00AB6BD5">
      <w:pPr>
        <w:spacing w:before="240" w:after="24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Figure S8: The </w:t>
      </w:r>
      <w:proofErr w:type="spellStart"/>
      <w:r>
        <w:rPr>
          <w:rFonts w:ascii="Times New Roman" w:eastAsia="Times New Roman" w:hAnsi="Times New Roman" w:cs="Times New Roman"/>
          <w:i/>
        </w:rPr>
        <w:t>detrended</w:t>
      </w:r>
      <w:proofErr w:type="spellEnd"/>
      <w:r>
        <w:rPr>
          <w:rFonts w:ascii="Times New Roman" w:eastAsia="Times New Roman" w:hAnsi="Times New Roman" w:cs="Times New Roman"/>
          <w:i/>
        </w:rPr>
        <w:t xml:space="preserve"> anomaly time series of the AMO index (blue) from IITM-DCPS for the duration of the last 200 years. The background AMO signal, overlaid on its </w:t>
      </w:r>
      <w:proofErr w:type="spellStart"/>
      <w:r>
        <w:rPr>
          <w:rFonts w:ascii="Times New Roman" w:eastAsia="Times New Roman" w:hAnsi="Times New Roman" w:cs="Times New Roman"/>
          <w:i/>
        </w:rPr>
        <w:t>interannual</w:t>
      </w:r>
      <w:proofErr w:type="spellEnd"/>
      <w:r>
        <w:rPr>
          <w:rFonts w:ascii="Times New Roman" w:eastAsia="Times New Roman" w:hAnsi="Times New Roman" w:cs="Times New Roman"/>
          <w:i/>
        </w:rPr>
        <w:t xml:space="preserve"> variability, is decomposed using empirical mode decomposition, shown as the black line</w:t>
      </w:r>
    </w:p>
    <w:p w:rsidR="003B5604" w:rsidRDefault="00AB6BD5">
      <w:pPr>
        <w:spacing w:after="240" w:line="240" w:lineRule="auto"/>
        <w:jc w:val="center"/>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114300" distB="114300" distL="114300" distR="114300">
            <wp:extent cx="3600450" cy="3803650"/>
            <wp:effectExtent l="0" t="0" r="0" b="635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b="5740"/>
                    <a:stretch>
                      <a:fillRect/>
                    </a:stretch>
                  </pic:blipFill>
                  <pic:spPr>
                    <a:xfrm>
                      <a:off x="0" y="0"/>
                      <a:ext cx="3602957" cy="3806298"/>
                    </a:xfrm>
                    <a:prstGeom prst="rect">
                      <a:avLst/>
                    </a:prstGeom>
                    <a:ln/>
                  </pic:spPr>
                </pic:pic>
              </a:graphicData>
            </a:graphic>
          </wp:inline>
        </w:drawing>
      </w:r>
      <w:r>
        <w:rPr>
          <w:rFonts w:ascii="Times New Roman" w:eastAsia="Times New Roman" w:hAnsi="Times New Roman" w:cs="Times New Roman"/>
          <w:i/>
        </w:rPr>
        <w:t xml:space="preserve"> </w:t>
      </w:r>
      <w:r>
        <w:rPr>
          <w:rFonts w:ascii="Times New Roman" w:eastAsia="Times New Roman" w:hAnsi="Times New Roman" w:cs="Times New Roman"/>
          <w:i/>
        </w:rPr>
        <w:tab/>
      </w:r>
    </w:p>
    <w:p w:rsidR="003B5604" w:rsidRDefault="00AB6BD5">
      <w:pPr>
        <w:spacing w:after="240" w:line="240" w:lineRule="auto"/>
        <w:jc w:val="both"/>
        <w:rPr>
          <w:rFonts w:ascii="Times New Roman" w:eastAsia="Times New Roman" w:hAnsi="Times New Roman" w:cs="Times New Roman"/>
          <w:i/>
        </w:rPr>
      </w:pPr>
      <w:r>
        <w:rPr>
          <w:rFonts w:ascii="Times New Roman" w:eastAsia="Times New Roman" w:hAnsi="Times New Roman" w:cs="Times New Roman"/>
          <w:i/>
        </w:rPr>
        <w:t>Figure S9: (a) June–September rainfall Indian monsoon rainfall anomaly composites of (a) positive AMO phases and (b) observed negative AMO phases for those years as used as in above Figure 6. (C, d), are same as above, but for IITM-DCPS</w:t>
      </w:r>
    </w:p>
    <w:p w:rsidR="003B5604" w:rsidRDefault="00AB6BD5">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C4C22AE" wp14:editId="6FDB44F3">
            <wp:extent cx="3562763" cy="327266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562763" cy="3272665"/>
                    </a:xfrm>
                    <a:prstGeom prst="rect">
                      <a:avLst/>
                    </a:prstGeom>
                    <a:ln/>
                  </pic:spPr>
                </pic:pic>
              </a:graphicData>
            </a:graphic>
          </wp:inline>
        </w:drawing>
      </w:r>
    </w:p>
    <w:p w:rsidR="003B5604" w:rsidRPr="00AB6BD5" w:rsidRDefault="00AB6BD5" w:rsidP="00AB6BD5">
      <w:pPr>
        <w:spacing w:line="240" w:lineRule="auto"/>
        <w:jc w:val="both"/>
        <w:rPr>
          <w:rFonts w:ascii="Times New Roman" w:eastAsia="Times New Roman" w:hAnsi="Times New Roman" w:cs="Times New Roman"/>
        </w:rPr>
      </w:pPr>
      <w:r>
        <w:rPr>
          <w:rFonts w:ascii="Times New Roman" w:eastAsia="Times New Roman" w:hAnsi="Times New Roman" w:cs="Times New Roman"/>
          <w:i/>
        </w:rPr>
        <w:t xml:space="preserve">Figure S10: Pattern correlations from projecting the smoothed IPO index onto the SST of (a) observation and (b) IITM-DCPS, referred to as the decadal component of the IPO. The decadal component of the IPO is defined as the 13-year low-pass filtered anomaly of the second EOF of NP SST, following the method from </w:t>
      </w:r>
      <w:proofErr w:type="spellStart"/>
      <w:r>
        <w:rPr>
          <w:rFonts w:ascii="Times New Roman" w:eastAsia="Times New Roman" w:hAnsi="Times New Roman" w:cs="Times New Roman"/>
          <w:i/>
        </w:rPr>
        <w:t>Meehl</w:t>
      </w:r>
      <w:proofErr w:type="spellEnd"/>
      <w:r>
        <w:rPr>
          <w:rFonts w:ascii="Times New Roman" w:eastAsia="Times New Roman" w:hAnsi="Times New Roman" w:cs="Times New Roman"/>
          <w:i/>
        </w:rPr>
        <w:t xml:space="preserve"> et al., 2016.</w:t>
      </w:r>
    </w:p>
    <w:sectPr w:rsidR="003B5604" w:rsidRPr="00AB6BD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altName w:val="Malgun Gothic"/>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B5604"/>
    <w:rsid w:val="003B5604"/>
    <w:rsid w:val="008A4694"/>
    <w:rsid w:val="00917843"/>
    <w:rsid w:val="00AB6BD5"/>
    <w:rsid w:val="00C549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A46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A46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IITM</dc:creator>
  <cp:lastModifiedBy>IITM</cp:lastModifiedBy>
  <cp:revision>5</cp:revision>
  <dcterms:created xsi:type="dcterms:W3CDTF">2025-07-25T00:43:00Z</dcterms:created>
  <dcterms:modified xsi:type="dcterms:W3CDTF">2025-07-25T15:06:00Z</dcterms:modified>
</cp:coreProperties>
</file>