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0CEBB5" w14:textId="77777777" w:rsidR="00BA68E3" w:rsidRPr="00D864BC" w:rsidRDefault="004D4AA6" w:rsidP="00872744">
      <w:pPr>
        <w:spacing w:line="480" w:lineRule="auto"/>
        <w:jc w:val="center"/>
        <w:rPr>
          <w:rFonts w:ascii="Times New Roman" w:hAnsi="Times New Roman" w:cs="Times New Roman"/>
        </w:rPr>
      </w:pPr>
      <w:r w:rsidRPr="00D864BC">
        <w:rPr>
          <w:rFonts w:ascii="Times New Roman" w:eastAsia="Times New Roman" w:hAnsi="Times New Roman" w:cs="Times New Roman"/>
          <w:b/>
          <w:sz w:val="28"/>
          <w:szCs w:val="28"/>
        </w:rPr>
        <w:t>Antarctic Greening and Its Drivers</w:t>
      </w:r>
    </w:p>
    <w:p w14:paraId="3C0CEBB6" w14:textId="77777777" w:rsidR="00BA68E3" w:rsidRPr="00D864BC" w:rsidRDefault="00BA68E3" w:rsidP="00872744">
      <w:pPr>
        <w:spacing w:line="480" w:lineRule="auto"/>
        <w:jc w:val="both"/>
        <w:rPr>
          <w:rFonts w:ascii="Times New Roman" w:hAnsi="Times New Roman" w:cs="Times New Roman"/>
        </w:rPr>
      </w:pPr>
    </w:p>
    <w:p w14:paraId="3C0CEBB7" w14:textId="6E5EC21F" w:rsidR="00BA68E3" w:rsidRPr="00D864BC" w:rsidRDefault="004D4AA6" w:rsidP="00872744">
      <w:pPr>
        <w:spacing w:line="480" w:lineRule="auto"/>
        <w:jc w:val="both"/>
        <w:rPr>
          <w:rFonts w:ascii="Times New Roman" w:hAnsi="Times New Roman" w:cs="Times New Roman"/>
        </w:rPr>
      </w:pPr>
      <w:r w:rsidRPr="00D864BC">
        <w:rPr>
          <w:rFonts w:ascii="Times New Roman" w:hAnsi="Times New Roman" w:cs="Times New Roman"/>
        </w:rPr>
        <w:t>Hangkai You</w:t>
      </w:r>
      <w:r w:rsidRPr="00D864BC">
        <w:rPr>
          <w:rFonts w:ascii="Times New Roman" w:hAnsi="Times New Roman" w:cs="Times New Roman"/>
          <w:vertAlign w:val="superscript"/>
        </w:rPr>
        <w:t>1</w:t>
      </w:r>
      <w:r w:rsidRPr="00D864BC">
        <w:rPr>
          <w:rFonts w:ascii="Times New Roman" w:hAnsi="Times New Roman" w:cs="Times New Roman"/>
        </w:rPr>
        <w:t>; Taejin Park</w:t>
      </w:r>
      <w:r w:rsidRPr="00D864BC">
        <w:rPr>
          <w:rFonts w:ascii="Times New Roman" w:hAnsi="Times New Roman" w:cs="Times New Roman"/>
          <w:vertAlign w:val="superscript"/>
        </w:rPr>
        <w:t>2,3</w:t>
      </w:r>
      <w:r w:rsidRPr="00D864BC">
        <w:rPr>
          <w:rFonts w:ascii="Times New Roman" w:hAnsi="Times New Roman" w:cs="Times New Roman"/>
        </w:rPr>
        <w:t>; Christian Che-Castaldo</w:t>
      </w:r>
      <w:r w:rsidRPr="00D864BC">
        <w:rPr>
          <w:rFonts w:ascii="Times New Roman" w:hAnsi="Times New Roman" w:cs="Times New Roman"/>
          <w:vertAlign w:val="superscript"/>
        </w:rPr>
        <w:t>4</w:t>
      </w:r>
      <w:r w:rsidRPr="00D864BC">
        <w:rPr>
          <w:rFonts w:ascii="Times New Roman" w:hAnsi="Times New Roman" w:cs="Times New Roman"/>
        </w:rPr>
        <w:t>; Dalei Hao</w:t>
      </w:r>
      <w:r w:rsidRPr="00D864BC">
        <w:rPr>
          <w:rFonts w:ascii="Times New Roman" w:hAnsi="Times New Roman" w:cs="Times New Roman"/>
          <w:vertAlign w:val="superscript"/>
        </w:rPr>
        <w:t>5</w:t>
      </w:r>
      <w:r w:rsidRPr="00D864BC">
        <w:rPr>
          <w:rFonts w:ascii="Times New Roman" w:hAnsi="Times New Roman" w:cs="Times New Roman"/>
        </w:rPr>
        <w:t>; Abhishek Chatterjee</w:t>
      </w:r>
      <w:r w:rsidRPr="00D864BC">
        <w:rPr>
          <w:rFonts w:ascii="Times New Roman" w:hAnsi="Times New Roman" w:cs="Times New Roman"/>
          <w:vertAlign w:val="superscript"/>
        </w:rPr>
        <w:t>6</w:t>
      </w:r>
      <w:r w:rsidRPr="00D864BC">
        <w:rPr>
          <w:rFonts w:ascii="Times New Roman" w:hAnsi="Times New Roman" w:cs="Times New Roman"/>
        </w:rPr>
        <w:t>; Fa Li</w:t>
      </w:r>
      <w:r w:rsidRPr="00D864BC">
        <w:rPr>
          <w:rFonts w:ascii="Times New Roman" w:hAnsi="Times New Roman" w:cs="Times New Roman"/>
          <w:vertAlign w:val="superscript"/>
        </w:rPr>
        <w:t>1,7</w:t>
      </w:r>
      <w:r w:rsidRPr="00D864BC">
        <w:rPr>
          <w:rFonts w:ascii="Times New Roman" w:hAnsi="Times New Roman" w:cs="Times New Roman"/>
        </w:rPr>
        <w:t>; Zhuosen Wang</w:t>
      </w:r>
      <w:r w:rsidRPr="00D864BC">
        <w:rPr>
          <w:rFonts w:ascii="Times New Roman" w:hAnsi="Times New Roman" w:cs="Times New Roman"/>
          <w:vertAlign w:val="superscript"/>
        </w:rPr>
        <w:t>8,9</w:t>
      </w:r>
      <w:r w:rsidRPr="00D864BC">
        <w:rPr>
          <w:rFonts w:ascii="Times New Roman" w:hAnsi="Times New Roman" w:cs="Times New Roman"/>
        </w:rPr>
        <w:t>; Fujiang Ji</w:t>
      </w:r>
      <w:r w:rsidRPr="00D864BC">
        <w:rPr>
          <w:rFonts w:ascii="Times New Roman" w:hAnsi="Times New Roman" w:cs="Times New Roman"/>
          <w:vertAlign w:val="superscript"/>
        </w:rPr>
        <w:t>1</w:t>
      </w:r>
      <w:r w:rsidRPr="00D864BC">
        <w:rPr>
          <w:rFonts w:ascii="Times New Roman" w:hAnsi="Times New Roman" w:cs="Times New Roman"/>
        </w:rPr>
        <w:t>; Bilgecan Sen</w:t>
      </w:r>
      <w:r w:rsidRPr="00D864BC">
        <w:rPr>
          <w:rFonts w:ascii="Times New Roman" w:hAnsi="Times New Roman" w:cs="Times New Roman"/>
          <w:vertAlign w:val="superscript"/>
        </w:rPr>
        <w:t>10,11</w:t>
      </w:r>
      <w:r w:rsidRPr="00D864BC">
        <w:rPr>
          <w:rFonts w:ascii="Times New Roman" w:hAnsi="Times New Roman" w:cs="Times New Roman"/>
        </w:rPr>
        <w:t>; Matthew A. Lazzara</w:t>
      </w:r>
      <w:r w:rsidRPr="00D864BC">
        <w:rPr>
          <w:rFonts w:ascii="Times New Roman" w:hAnsi="Times New Roman" w:cs="Times New Roman"/>
          <w:vertAlign w:val="superscript"/>
        </w:rPr>
        <w:t>12,13</w:t>
      </w:r>
      <w:r w:rsidRPr="00D864BC">
        <w:rPr>
          <w:rFonts w:ascii="Times New Roman" w:hAnsi="Times New Roman" w:cs="Times New Roman"/>
        </w:rPr>
        <w:t>; Yanlan Liu</w:t>
      </w:r>
      <w:r w:rsidRPr="00D864BC">
        <w:rPr>
          <w:rFonts w:ascii="Times New Roman" w:hAnsi="Times New Roman" w:cs="Times New Roman"/>
          <w:vertAlign w:val="superscript"/>
        </w:rPr>
        <w:t>14,15</w:t>
      </w:r>
      <w:r w:rsidRPr="00D864BC">
        <w:rPr>
          <w:rFonts w:ascii="Times New Roman" w:hAnsi="Times New Roman" w:cs="Times New Roman"/>
        </w:rPr>
        <w:t>; Thomas Kurosu</w:t>
      </w:r>
      <w:r w:rsidRPr="00D864BC">
        <w:rPr>
          <w:rFonts w:ascii="Times New Roman" w:hAnsi="Times New Roman" w:cs="Times New Roman"/>
          <w:vertAlign w:val="superscript"/>
        </w:rPr>
        <w:t>6</w:t>
      </w:r>
      <w:r w:rsidRPr="00D864BC">
        <w:rPr>
          <w:rFonts w:ascii="Times New Roman" w:hAnsi="Times New Roman" w:cs="Times New Roman"/>
        </w:rPr>
        <w:t>; Min Chen*</w:t>
      </w:r>
      <w:r w:rsidRPr="00D864BC">
        <w:rPr>
          <w:rFonts w:ascii="Times New Roman" w:hAnsi="Times New Roman" w:cs="Times New Roman"/>
          <w:vertAlign w:val="superscript"/>
        </w:rPr>
        <w:t>1</w:t>
      </w:r>
      <w:r w:rsidRPr="00D864BC">
        <w:rPr>
          <w:rFonts w:ascii="Times New Roman" w:hAnsi="Times New Roman" w:cs="Times New Roman"/>
        </w:rPr>
        <w:t>.</w:t>
      </w:r>
    </w:p>
    <w:p w14:paraId="3C0CEBB8" w14:textId="77777777" w:rsidR="00BA68E3" w:rsidRPr="00D864BC" w:rsidRDefault="00BA68E3" w:rsidP="00872744">
      <w:pPr>
        <w:spacing w:line="480" w:lineRule="auto"/>
        <w:jc w:val="both"/>
        <w:rPr>
          <w:rFonts w:ascii="Times New Roman" w:hAnsi="Times New Roman" w:cs="Times New Roman"/>
        </w:rPr>
      </w:pPr>
    </w:p>
    <w:p w14:paraId="3C0CEBBA"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1 </w:t>
      </w:r>
      <w:r w:rsidRPr="00D864BC">
        <w:rPr>
          <w:rFonts w:ascii="Times New Roman" w:hAnsi="Times New Roman" w:cs="Times New Roman"/>
        </w:rPr>
        <w:t>Department of Forest and Wildlife Ecology, University of Wisconsin–Madison, Madison, Wisconsin, USA.</w:t>
      </w:r>
    </w:p>
    <w:p w14:paraId="3C0CEBBB"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2 </w:t>
      </w:r>
      <w:r w:rsidRPr="00D864BC">
        <w:rPr>
          <w:rFonts w:ascii="Times New Roman" w:hAnsi="Times New Roman" w:cs="Times New Roman"/>
        </w:rPr>
        <w:t>NASA Ames Research Center, Moffett Field, California, USA.</w:t>
      </w:r>
    </w:p>
    <w:p w14:paraId="3C0CEBBC"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3 </w:t>
      </w:r>
      <w:r w:rsidRPr="00D864BC">
        <w:rPr>
          <w:rFonts w:ascii="Times New Roman" w:hAnsi="Times New Roman" w:cs="Times New Roman"/>
        </w:rPr>
        <w:t>Bay Area Environmental Research Institute, Moffett Field, California, USA.</w:t>
      </w:r>
    </w:p>
    <w:p w14:paraId="3C0CEBBD"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4 </w:t>
      </w:r>
      <w:r w:rsidRPr="00D864BC">
        <w:rPr>
          <w:rFonts w:ascii="Times New Roman" w:hAnsi="Times New Roman" w:cs="Times New Roman"/>
        </w:rPr>
        <w:t>U.S. Geological Survey, Wisconsin Cooperative Wildlife Research Unit, Department of Forest and Wildlife Ecology, University of Wisconsin-Madison, Madison, Wisconsin, USA</w:t>
      </w:r>
    </w:p>
    <w:p w14:paraId="3C0CEBBE"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5 </w:t>
      </w:r>
      <w:r w:rsidRPr="00D864BC">
        <w:rPr>
          <w:rFonts w:ascii="Times New Roman" w:hAnsi="Times New Roman" w:cs="Times New Roman"/>
        </w:rPr>
        <w:t>Atmospheric, Climate, &amp; Earth Sciences Division, Pacific Northwest National Laboratory, United States</w:t>
      </w:r>
    </w:p>
    <w:p w14:paraId="3C0CEBBF"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6 </w:t>
      </w:r>
      <w:r w:rsidRPr="00D864BC">
        <w:rPr>
          <w:rFonts w:ascii="Times New Roman" w:hAnsi="Times New Roman" w:cs="Times New Roman"/>
        </w:rPr>
        <w:t>Jet Propulsion Laboratory, California Institute of Technology, Pasadena, CA, USA</w:t>
      </w:r>
    </w:p>
    <w:p w14:paraId="3C0CEBC0"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7 </w:t>
      </w:r>
      <w:r w:rsidRPr="00D864BC">
        <w:rPr>
          <w:rFonts w:ascii="Times New Roman" w:hAnsi="Times New Roman" w:cs="Times New Roman"/>
        </w:rPr>
        <w:t>Department of Earth System Science, Stanford University, Stanford, California, USA</w:t>
      </w:r>
    </w:p>
    <w:p w14:paraId="3C0CEBC1"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8</w:t>
      </w:r>
      <w:r w:rsidRPr="00D864BC">
        <w:rPr>
          <w:rFonts w:ascii="Times New Roman" w:hAnsi="Times New Roman" w:cs="Times New Roman"/>
        </w:rPr>
        <w:t xml:space="preserve"> Earth System Science Interdisciplinary Center, University of Maryland College Park, College Park, MD, USA</w:t>
      </w:r>
    </w:p>
    <w:p w14:paraId="3C0CEBC2"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9</w:t>
      </w:r>
      <w:r w:rsidRPr="00D864BC">
        <w:rPr>
          <w:rFonts w:ascii="Times New Roman" w:hAnsi="Times New Roman" w:cs="Times New Roman"/>
        </w:rPr>
        <w:t xml:space="preserve"> Terrestrial Information Systems Laboratory, NASA Goddard Space Flight Center, Greenbelt, MD, USA</w:t>
      </w:r>
    </w:p>
    <w:p w14:paraId="3C0CEBC3"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10</w:t>
      </w:r>
      <w:r w:rsidRPr="00D864BC">
        <w:rPr>
          <w:rFonts w:ascii="Times New Roman" w:hAnsi="Times New Roman" w:cs="Times New Roman"/>
        </w:rPr>
        <w:t xml:space="preserve"> Biology, Woods Hole Oceanographic Institution, 86 Water St, Woods Hole, MA, USA</w:t>
      </w:r>
    </w:p>
    <w:p w14:paraId="3C0CEBC4"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11 </w:t>
      </w:r>
      <w:r w:rsidRPr="00D864BC">
        <w:rPr>
          <w:rFonts w:ascii="Times New Roman" w:hAnsi="Times New Roman" w:cs="Times New Roman"/>
        </w:rPr>
        <w:t>Institute for Advanced Computational Science, Stony Brook University, Stony Brook, New York, NY, USA</w:t>
      </w:r>
    </w:p>
    <w:p w14:paraId="3C0CEBC5"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12 </w:t>
      </w:r>
      <w:r w:rsidRPr="00D864BC">
        <w:rPr>
          <w:rFonts w:ascii="Times New Roman" w:hAnsi="Times New Roman" w:cs="Times New Roman"/>
        </w:rPr>
        <w:t>Antarctic Meteorological Research and Data Center, Space Science and Engineering Center, University of Wisconsin-Madison, Madison, WI, USA</w:t>
      </w:r>
    </w:p>
    <w:p w14:paraId="3C0CEBC6"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 xml:space="preserve">13 </w:t>
      </w:r>
      <w:r w:rsidRPr="00D864BC">
        <w:rPr>
          <w:rFonts w:ascii="Times New Roman" w:hAnsi="Times New Roman" w:cs="Times New Roman"/>
        </w:rPr>
        <w:t>Department of Physical Sciences, School of Engineering, Science, and Mathematics, Madison Area Technical College, Madison, WI, USA</w:t>
      </w:r>
    </w:p>
    <w:p w14:paraId="3C0CEBC7"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lastRenderedPageBreak/>
        <w:t>14</w:t>
      </w:r>
      <w:r w:rsidRPr="00D864BC">
        <w:rPr>
          <w:rFonts w:ascii="Times New Roman" w:hAnsi="Times New Roman" w:cs="Times New Roman"/>
        </w:rPr>
        <w:t xml:space="preserve"> School of Environment and Natural Resources, The Ohio State University, Columbus, OH, USA</w:t>
      </w:r>
    </w:p>
    <w:p w14:paraId="3C0CEBC8" w14:textId="77777777" w:rsidR="00BA68E3" w:rsidRPr="00D864BC" w:rsidRDefault="004D4AA6" w:rsidP="00872744">
      <w:pPr>
        <w:spacing w:line="480" w:lineRule="auto"/>
        <w:rPr>
          <w:rFonts w:ascii="Times New Roman" w:hAnsi="Times New Roman" w:cs="Times New Roman"/>
        </w:rPr>
      </w:pPr>
      <w:r w:rsidRPr="00D864BC">
        <w:rPr>
          <w:rFonts w:ascii="Times New Roman" w:hAnsi="Times New Roman" w:cs="Times New Roman"/>
          <w:vertAlign w:val="superscript"/>
        </w:rPr>
        <w:t>15</w:t>
      </w:r>
      <w:r w:rsidRPr="00D864BC">
        <w:rPr>
          <w:rFonts w:ascii="Times New Roman" w:hAnsi="Times New Roman" w:cs="Times New Roman"/>
        </w:rPr>
        <w:t xml:space="preserve"> School of Earth Sciences, The Ohio State University, Columbus, OH, USA</w:t>
      </w:r>
    </w:p>
    <w:p w14:paraId="498AD91B" w14:textId="77777777" w:rsidR="00C338DE" w:rsidRDefault="00C338DE" w:rsidP="00C338DE">
      <w:pPr>
        <w:spacing w:line="480" w:lineRule="auto"/>
        <w:jc w:val="both"/>
        <w:rPr>
          <w:rFonts w:ascii="Times New Roman" w:hAnsi="Times New Roman" w:cs="Times New Roman"/>
        </w:rPr>
      </w:pPr>
    </w:p>
    <w:p w14:paraId="59ABFF6D" w14:textId="538AE689" w:rsidR="00CA2B37" w:rsidRDefault="004D4AA6" w:rsidP="00872744">
      <w:pPr>
        <w:spacing w:line="480" w:lineRule="auto"/>
        <w:jc w:val="both"/>
        <w:rPr>
          <w:rFonts w:ascii="Times New Roman" w:hAnsi="Times New Roman" w:cs="Times New Roman"/>
        </w:rPr>
      </w:pPr>
      <w:r w:rsidRPr="00D864BC">
        <w:rPr>
          <w:rFonts w:ascii="Times New Roman" w:hAnsi="Times New Roman" w:cs="Times New Roman"/>
        </w:rPr>
        <w:t>Email address: min.chen@wisc.edu (Min Chen)</w:t>
      </w:r>
    </w:p>
    <w:p w14:paraId="0256BB26" w14:textId="77777777" w:rsidR="00CA2B37" w:rsidRDefault="00CA2B37" w:rsidP="00872744">
      <w:pPr>
        <w:spacing w:line="480" w:lineRule="auto"/>
        <w:jc w:val="both"/>
        <w:rPr>
          <w:rFonts w:ascii="Times New Roman" w:hAnsi="Times New Roman" w:cs="Times New Roman"/>
        </w:rPr>
      </w:pPr>
    </w:p>
    <w:p w14:paraId="06E4670B" w14:textId="77777777" w:rsidR="005A2E24" w:rsidRPr="00264B35" w:rsidRDefault="005A2E24" w:rsidP="005A2E24">
      <w:pPr>
        <w:spacing w:line="480" w:lineRule="auto"/>
        <w:jc w:val="both"/>
        <w:rPr>
          <w:rFonts w:ascii="Times New Roman" w:eastAsia="Times New Roman" w:hAnsi="Times New Roman" w:cs="Times New Roman"/>
          <w:i/>
          <w:iCs/>
        </w:rPr>
      </w:pPr>
      <w:r w:rsidRPr="00264B35">
        <w:rPr>
          <w:rFonts w:ascii="Times New Roman" w:eastAsia="Times New Roman" w:hAnsi="Times New Roman" w:cs="Times New Roman"/>
          <w:i/>
          <w:iCs/>
        </w:rPr>
        <w:t>This draft manuscript is distributed solely for purposes of scientific peer review. Its content is deliberative and predecisional, so it must not be disclosed or released by reviewers. Because the manuscript has not yet been approved for publication by the U.S. Geological Survey (USGS), it does not represent any official USGS finding or policy.</w:t>
      </w:r>
    </w:p>
    <w:p w14:paraId="3C0CEBCA" w14:textId="7DD6D692" w:rsidR="00BA68E3" w:rsidRDefault="004D4AA6" w:rsidP="00872744">
      <w:pPr>
        <w:spacing w:line="480" w:lineRule="auto"/>
        <w:jc w:val="both"/>
        <w:rPr>
          <w:rFonts w:ascii="Times New Roman" w:hAnsi="Times New Roman" w:cs="Times New Roman"/>
        </w:rPr>
      </w:pPr>
      <w:r w:rsidRPr="00D864BC">
        <w:rPr>
          <w:rFonts w:ascii="Times New Roman" w:hAnsi="Times New Roman" w:cs="Times New Roman"/>
        </w:rPr>
        <w:br w:type="page"/>
      </w:r>
    </w:p>
    <w:p w14:paraId="3C0CEBFE" w14:textId="77777777" w:rsidR="00BA68E3" w:rsidRPr="00D864BC" w:rsidRDefault="004D4AA6" w:rsidP="00872744">
      <w:pPr>
        <w:spacing w:line="480" w:lineRule="auto"/>
        <w:jc w:val="center"/>
        <w:rPr>
          <w:rFonts w:ascii="Times New Roman" w:hAnsi="Times New Roman" w:cs="Times New Roman"/>
          <w:color w:val="FF0000"/>
        </w:rPr>
      </w:pPr>
      <w:r w:rsidRPr="00D864BC">
        <w:rPr>
          <w:rFonts w:ascii="Times New Roman" w:hAnsi="Times New Roman" w:cs="Times New Roman"/>
          <w:noProof/>
        </w:rPr>
        <w:lastRenderedPageBreak/>
        <w:drawing>
          <wp:inline distT="0" distB="0" distL="0" distR="0" wp14:anchorId="3C0CEC17" wp14:editId="67A8F93D">
            <wp:extent cx="4199778" cy="6183086"/>
            <wp:effectExtent l="0" t="0" r="0" b="8255"/>
            <wp:docPr id="2125130514" name="image4.png" descr="图片包含 图示&#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图片包含 图示&#10;&#10;AI-generated content may be incorrect."/>
                    <pic:cNvPicPr preferRelativeResize="0"/>
                  </pic:nvPicPr>
                  <pic:blipFill>
                    <a:blip r:embed="rId7"/>
                    <a:srcRect/>
                    <a:stretch>
                      <a:fillRect/>
                    </a:stretch>
                  </pic:blipFill>
                  <pic:spPr>
                    <a:xfrm>
                      <a:off x="0" y="0"/>
                      <a:ext cx="4202083" cy="6186480"/>
                    </a:xfrm>
                    <a:prstGeom prst="rect">
                      <a:avLst/>
                    </a:prstGeom>
                    <a:ln/>
                  </pic:spPr>
                </pic:pic>
              </a:graphicData>
            </a:graphic>
          </wp:inline>
        </w:drawing>
      </w:r>
    </w:p>
    <w:p w14:paraId="3C0CEC00" w14:textId="0C69D97F" w:rsidR="00BA68E3" w:rsidRPr="00D864BC" w:rsidRDefault="004D4AA6" w:rsidP="00872744">
      <w:pPr>
        <w:spacing w:line="480" w:lineRule="auto"/>
        <w:jc w:val="both"/>
        <w:rPr>
          <w:rFonts w:ascii="Times New Roman" w:hAnsi="Times New Roman" w:cs="Times New Roman"/>
        </w:rPr>
      </w:pPr>
      <w:r w:rsidRPr="00872744">
        <w:rPr>
          <w:rFonts w:ascii="Times New Roman" w:hAnsi="Times New Roman" w:cs="Times New Roman"/>
          <w:b/>
          <w:bCs/>
        </w:rPr>
        <w:t xml:space="preserve">Figure </w:t>
      </w:r>
      <w:r w:rsidR="00F31B57">
        <w:rPr>
          <w:rFonts w:ascii="Times New Roman" w:hAnsi="Times New Roman" w:cs="Times New Roman" w:hint="eastAsia"/>
          <w:b/>
          <w:bCs/>
        </w:rPr>
        <w:t>S</w:t>
      </w:r>
      <w:r w:rsidRPr="00872744">
        <w:rPr>
          <w:rFonts w:ascii="Times New Roman" w:hAnsi="Times New Roman" w:cs="Times New Roman"/>
          <w:b/>
          <w:bCs/>
        </w:rPr>
        <w:t>1.</w:t>
      </w:r>
      <w:r w:rsidRPr="00D864BC">
        <w:rPr>
          <w:rFonts w:ascii="Times New Roman" w:hAnsi="Times New Roman" w:cs="Times New Roman"/>
        </w:rPr>
        <w:t xml:space="preserve"> Annual Greenness Duration Across Antarctica (2002–2023). </w:t>
      </w:r>
      <w:r w:rsidR="00311113" w:rsidRPr="00311113">
        <w:rPr>
          <w:rFonts w:ascii="Times New Roman" w:hAnsi="Times New Roman" w:cs="Times New Roman"/>
        </w:rPr>
        <w:t xml:space="preserve">Each panel shows the spatial distribution of greenness duration during the defined growing season for each year from 2002 to 2023. Greenness duration is calculated as the average number of days that NDVI exceeded 0.2 within each hexagon during the corresponding </w:t>
      </w:r>
      <w:r w:rsidR="00496FE1">
        <w:rPr>
          <w:rFonts w:ascii="Times New Roman" w:hAnsi="Times New Roman" w:cs="Times New Roman"/>
        </w:rPr>
        <w:t xml:space="preserve">defined </w:t>
      </w:r>
      <w:r w:rsidR="00311113" w:rsidRPr="00311113">
        <w:rPr>
          <w:rFonts w:ascii="Times New Roman" w:hAnsi="Times New Roman" w:cs="Times New Roman"/>
        </w:rPr>
        <w:t xml:space="preserve">growing season. The color scale represents the magnitude of greenness duration, with darker green indicating longer periods of sustained greenness. The year labels refer to the first year of each defined growing season, which </w:t>
      </w:r>
      <w:r w:rsidR="00AF5397">
        <w:rPr>
          <w:rFonts w:ascii="Times New Roman" w:hAnsi="Times New Roman" w:cs="Times New Roman"/>
        </w:rPr>
        <w:t>would</w:t>
      </w:r>
      <w:r w:rsidR="00AF5397" w:rsidRPr="00311113">
        <w:rPr>
          <w:rFonts w:ascii="Times New Roman" w:hAnsi="Times New Roman" w:cs="Times New Roman"/>
        </w:rPr>
        <w:t xml:space="preserve"> </w:t>
      </w:r>
      <w:r w:rsidR="00311113" w:rsidRPr="00311113">
        <w:rPr>
          <w:rFonts w:ascii="Times New Roman" w:hAnsi="Times New Roman" w:cs="Times New Roman"/>
        </w:rPr>
        <w:t>extend into the following calendar year</w:t>
      </w:r>
      <w:r w:rsidR="007702E3" w:rsidRPr="007702E3">
        <w:rPr>
          <w:rFonts w:ascii="Times New Roman" w:hAnsi="Times New Roman" w:cs="Times New Roman"/>
        </w:rPr>
        <w:t>.</w:t>
      </w:r>
    </w:p>
    <w:p w14:paraId="3C0CEC01" w14:textId="77777777" w:rsidR="00BA68E3" w:rsidRPr="00D864BC" w:rsidRDefault="004D4AA6" w:rsidP="00872744">
      <w:pPr>
        <w:spacing w:line="480" w:lineRule="auto"/>
        <w:jc w:val="center"/>
        <w:rPr>
          <w:rFonts w:ascii="Times New Roman" w:hAnsi="Times New Roman" w:cs="Times New Roman"/>
          <w:color w:val="FF0000"/>
        </w:rPr>
      </w:pPr>
      <w:r w:rsidRPr="00D864BC">
        <w:rPr>
          <w:rFonts w:ascii="Times New Roman" w:hAnsi="Times New Roman" w:cs="Times New Roman"/>
          <w:noProof/>
          <w:color w:val="FF0000"/>
        </w:rPr>
        <w:lastRenderedPageBreak/>
        <w:drawing>
          <wp:inline distT="0" distB="0" distL="0" distR="0" wp14:anchorId="3C0CEC19" wp14:editId="1017BA2C">
            <wp:extent cx="4376057" cy="6442612"/>
            <wp:effectExtent l="0" t="0" r="5715" b="0"/>
            <wp:docPr id="2125130516" name="image3.png" descr="图片包含 图示&#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图片包含 图示&#10;&#10;AI-generated content may be incorrect."/>
                    <pic:cNvPicPr preferRelativeResize="0"/>
                  </pic:nvPicPr>
                  <pic:blipFill>
                    <a:blip r:embed="rId8"/>
                    <a:srcRect/>
                    <a:stretch>
                      <a:fillRect/>
                    </a:stretch>
                  </pic:blipFill>
                  <pic:spPr>
                    <a:xfrm>
                      <a:off x="0" y="0"/>
                      <a:ext cx="4391954" cy="6466017"/>
                    </a:xfrm>
                    <a:prstGeom prst="rect">
                      <a:avLst/>
                    </a:prstGeom>
                    <a:ln/>
                  </pic:spPr>
                </pic:pic>
              </a:graphicData>
            </a:graphic>
          </wp:inline>
        </w:drawing>
      </w:r>
    </w:p>
    <w:p w14:paraId="68E38AE7" w14:textId="61ACFE0C" w:rsidR="00AA5328" w:rsidRDefault="004D4AA6" w:rsidP="00872744">
      <w:pPr>
        <w:spacing w:line="480" w:lineRule="auto"/>
        <w:jc w:val="both"/>
        <w:rPr>
          <w:rFonts w:ascii="Times New Roman" w:hAnsi="Times New Roman" w:cs="Times New Roman"/>
        </w:rPr>
      </w:pPr>
      <w:r w:rsidRPr="00872744">
        <w:rPr>
          <w:rFonts w:ascii="Times New Roman" w:hAnsi="Times New Roman" w:cs="Times New Roman"/>
          <w:b/>
          <w:bCs/>
        </w:rPr>
        <w:t xml:space="preserve">Figure </w:t>
      </w:r>
      <w:r w:rsidR="00F31B57">
        <w:rPr>
          <w:rFonts w:ascii="Times New Roman" w:hAnsi="Times New Roman" w:cs="Times New Roman" w:hint="eastAsia"/>
          <w:b/>
          <w:bCs/>
        </w:rPr>
        <w:t>S</w:t>
      </w:r>
      <w:r w:rsidRPr="00872744">
        <w:rPr>
          <w:rFonts w:ascii="Times New Roman" w:hAnsi="Times New Roman" w:cs="Times New Roman"/>
          <w:b/>
          <w:bCs/>
        </w:rPr>
        <w:t>2.</w:t>
      </w:r>
      <w:r w:rsidRPr="00D864BC">
        <w:rPr>
          <w:rFonts w:ascii="Times New Roman" w:hAnsi="Times New Roman" w:cs="Times New Roman"/>
        </w:rPr>
        <w:t xml:space="preserve"> Annual Greenness Distribution Across Antarctica (2002–2023). </w:t>
      </w:r>
      <w:r w:rsidR="003966FB" w:rsidRPr="003966FB">
        <w:rPr>
          <w:rFonts w:ascii="Times New Roman" w:hAnsi="Times New Roman" w:cs="Times New Roman"/>
        </w:rPr>
        <w:t xml:space="preserve">Each panel shows the spatial distribution of greenness during the defined growing season, labeled by its starting year. Each hexagon represents the total area (km²) where the maximum NDVI exceeded 0.2. Darker green indicates greater green area per hexagon. </w:t>
      </w:r>
      <w:r w:rsidR="003966FB" w:rsidRPr="00311113">
        <w:rPr>
          <w:rFonts w:ascii="Times New Roman" w:hAnsi="Times New Roman" w:cs="Times New Roman"/>
        </w:rPr>
        <w:t xml:space="preserve">The year labels refer to the first year of each defined growing season, which </w:t>
      </w:r>
      <w:r w:rsidR="00AF5397">
        <w:rPr>
          <w:rFonts w:ascii="Times New Roman" w:hAnsi="Times New Roman" w:cs="Times New Roman"/>
        </w:rPr>
        <w:t>would</w:t>
      </w:r>
      <w:r w:rsidR="003966FB" w:rsidRPr="00311113">
        <w:rPr>
          <w:rFonts w:ascii="Times New Roman" w:hAnsi="Times New Roman" w:cs="Times New Roman"/>
        </w:rPr>
        <w:t xml:space="preserve"> extend into the following calendar year</w:t>
      </w:r>
      <w:r w:rsidR="003966FB">
        <w:rPr>
          <w:rFonts w:ascii="Times New Roman" w:hAnsi="Times New Roman" w:cs="Times New Roman"/>
        </w:rPr>
        <w:t>.</w:t>
      </w:r>
    </w:p>
    <w:p w14:paraId="26922E89" w14:textId="17F7CF5C" w:rsidR="0061313A" w:rsidRPr="00872744" w:rsidRDefault="0061313A" w:rsidP="00872744">
      <w:pPr>
        <w:spacing w:line="480" w:lineRule="auto"/>
        <w:jc w:val="both"/>
        <w:rPr>
          <w:rFonts w:ascii="Times New Roman" w:hAnsi="Times New Roman" w:cs="Times New Roman"/>
          <w:lang w:val="en-US"/>
        </w:rPr>
      </w:pPr>
      <w:r w:rsidRPr="0061313A">
        <w:rPr>
          <w:rFonts w:ascii="Times New Roman" w:hAnsi="Times New Roman" w:cs="Times New Roman"/>
          <w:noProof/>
          <w:lang w:val="en-US"/>
        </w:rPr>
        <w:lastRenderedPageBreak/>
        <w:drawing>
          <wp:inline distT="0" distB="0" distL="0" distR="0" wp14:anchorId="4A18C0A3" wp14:editId="40396D67">
            <wp:extent cx="5943600" cy="5213265"/>
            <wp:effectExtent l="0" t="0" r="0" b="6985"/>
            <wp:docPr id="476525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2555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5213265"/>
                    </a:xfrm>
                    <a:prstGeom prst="rect">
                      <a:avLst/>
                    </a:prstGeom>
                    <a:noFill/>
                    <a:ln>
                      <a:noFill/>
                    </a:ln>
                  </pic:spPr>
                </pic:pic>
              </a:graphicData>
            </a:graphic>
          </wp:inline>
        </w:drawing>
      </w:r>
    </w:p>
    <w:p w14:paraId="0CE07C5E" w14:textId="255A1EC9" w:rsidR="00AA5328" w:rsidRPr="00D864BC" w:rsidRDefault="00AA5328" w:rsidP="00872744">
      <w:pPr>
        <w:spacing w:line="480" w:lineRule="auto"/>
        <w:jc w:val="both"/>
        <w:rPr>
          <w:rFonts w:ascii="Times New Roman" w:hAnsi="Times New Roman" w:cs="Times New Roman"/>
        </w:rPr>
      </w:pPr>
      <w:r w:rsidRPr="00872744">
        <w:rPr>
          <w:rFonts w:ascii="Times New Roman" w:hAnsi="Times New Roman" w:cs="Times New Roman"/>
          <w:b/>
          <w:bCs/>
        </w:rPr>
        <w:t xml:space="preserve">Figure </w:t>
      </w:r>
      <w:r w:rsidR="00F31B57">
        <w:rPr>
          <w:rFonts w:ascii="Times New Roman" w:hAnsi="Times New Roman" w:cs="Times New Roman" w:hint="eastAsia"/>
          <w:b/>
          <w:bCs/>
        </w:rPr>
        <w:t>S</w:t>
      </w:r>
      <w:r w:rsidRPr="00872744">
        <w:rPr>
          <w:rFonts w:ascii="Times New Roman" w:hAnsi="Times New Roman" w:cs="Times New Roman"/>
          <w:b/>
          <w:bCs/>
        </w:rPr>
        <w:t>3.</w:t>
      </w:r>
      <w:r w:rsidRPr="00D864BC">
        <w:rPr>
          <w:rFonts w:ascii="Times New Roman" w:hAnsi="Times New Roman" w:cs="Times New Roman"/>
        </w:rPr>
        <w:t xml:space="preserve"> </w:t>
      </w:r>
      <w:r w:rsidR="00563B1A" w:rsidRPr="00563B1A">
        <w:rPr>
          <w:rFonts w:ascii="Times New Roman" w:hAnsi="Times New Roman" w:cs="Times New Roman"/>
        </w:rPr>
        <w:t xml:space="preserve">Random Forest </w:t>
      </w:r>
      <w:r w:rsidR="0096300E">
        <w:rPr>
          <w:rFonts w:ascii="Times New Roman" w:hAnsi="Times New Roman" w:cs="Times New Roman"/>
        </w:rPr>
        <w:t>M</w:t>
      </w:r>
      <w:r w:rsidR="00563B1A" w:rsidRPr="00563B1A">
        <w:rPr>
          <w:rFonts w:ascii="Times New Roman" w:hAnsi="Times New Roman" w:cs="Times New Roman"/>
        </w:rPr>
        <w:t xml:space="preserve">odel </w:t>
      </w:r>
      <w:r w:rsidR="0096300E">
        <w:rPr>
          <w:rFonts w:ascii="Times New Roman" w:hAnsi="Times New Roman" w:cs="Times New Roman"/>
        </w:rPr>
        <w:t>P</w:t>
      </w:r>
      <w:r w:rsidR="00563B1A" w:rsidRPr="00563B1A">
        <w:rPr>
          <w:rFonts w:ascii="Times New Roman" w:hAnsi="Times New Roman" w:cs="Times New Roman"/>
        </w:rPr>
        <w:t xml:space="preserve">erformance for </w:t>
      </w:r>
      <w:r w:rsidR="0096300E">
        <w:rPr>
          <w:rFonts w:ascii="Times New Roman" w:hAnsi="Times New Roman" w:cs="Times New Roman"/>
        </w:rPr>
        <w:t>P</w:t>
      </w:r>
      <w:r w:rsidR="00563B1A" w:rsidRPr="00563B1A">
        <w:rPr>
          <w:rFonts w:ascii="Times New Roman" w:hAnsi="Times New Roman" w:cs="Times New Roman"/>
        </w:rPr>
        <w:t xml:space="preserve">redicting Antarctic </w:t>
      </w:r>
      <w:r w:rsidR="0096300E">
        <w:rPr>
          <w:rFonts w:ascii="Times New Roman" w:hAnsi="Times New Roman" w:cs="Times New Roman"/>
        </w:rPr>
        <w:t>G</w:t>
      </w:r>
      <w:r w:rsidR="00563B1A" w:rsidRPr="00563B1A">
        <w:rPr>
          <w:rFonts w:ascii="Times New Roman" w:hAnsi="Times New Roman" w:cs="Times New Roman"/>
        </w:rPr>
        <w:t xml:space="preserve">reenness </w:t>
      </w:r>
      <w:r w:rsidR="0096300E">
        <w:rPr>
          <w:rFonts w:ascii="Times New Roman" w:hAnsi="Times New Roman" w:cs="Times New Roman"/>
        </w:rPr>
        <w:t>Area Ratio</w:t>
      </w:r>
      <w:r w:rsidR="00496D18">
        <w:rPr>
          <w:rFonts w:ascii="Times New Roman" w:hAnsi="Times New Roman" w:cs="Times New Roman"/>
        </w:rPr>
        <w:t>.</w:t>
      </w:r>
      <w:r w:rsidR="00473946">
        <w:rPr>
          <w:rFonts w:ascii="Times New Roman" w:hAnsi="Times New Roman" w:cs="Times New Roman"/>
        </w:rPr>
        <w:t xml:space="preserve"> The figure</w:t>
      </w:r>
      <w:r w:rsidR="00F40DCC">
        <w:rPr>
          <w:rFonts w:ascii="Times New Roman" w:hAnsi="Times New Roman" w:cs="Times New Roman"/>
        </w:rPr>
        <w:t xml:space="preserve"> represents the p</w:t>
      </w:r>
      <w:r w:rsidR="00360B6C" w:rsidRPr="00360B6C">
        <w:rPr>
          <w:rFonts w:ascii="Times New Roman" w:hAnsi="Times New Roman" w:cs="Times New Roman"/>
        </w:rPr>
        <w:t xml:space="preserve">redicted versus </w:t>
      </w:r>
      <w:r w:rsidR="00E84096">
        <w:rPr>
          <w:rFonts w:ascii="Times New Roman" w:hAnsi="Times New Roman" w:cs="Times New Roman"/>
        </w:rPr>
        <w:t>actual</w:t>
      </w:r>
      <w:r w:rsidR="00360B6C" w:rsidRPr="00360B6C">
        <w:rPr>
          <w:rFonts w:ascii="Times New Roman" w:hAnsi="Times New Roman" w:cs="Times New Roman"/>
        </w:rPr>
        <w:t xml:space="preserve"> </w:t>
      </w:r>
      <w:r w:rsidR="005D2AF3">
        <w:rPr>
          <w:rFonts w:ascii="Times New Roman" w:hAnsi="Times New Roman" w:cs="Times New Roman"/>
        </w:rPr>
        <w:t>green area fraction</w:t>
      </w:r>
      <w:r w:rsidR="00360B6C" w:rsidRPr="00360B6C">
        <w:rPr>
          <w:rFonts w:ascii="Times New Roman" w:hAnsi="Times New Roman" w:cs="Times New Roman"/>
        </w:rPr>
        <w:t xml:space="preserve">, defined as the proportion of </w:t>
      </w:r>
      <w:r w:rsidR="00E84096">
        <w:rPr>
          <w:rFonts w:ascii="Times New Roman" w:hAnsi="Times New Roman" w:cs="Times New Roman"/>
        </w:rPr>
        <w:t>green</w:t>
      </w:r>
      <w:r w:rsidR="00360B6C" w:rsidRPr="00360B6C">
        <w:rPr>
          <w:rFonts w:ascii="Times New Roman" w:hAnsi="Times New Roman" w:cs="Times New Roman"/>
        </w:rPr>
        <w:t xml:space="preserve"> area within each 0.1° grid cell, based on aggregated 500 m observations (see “Machine Learning</w:t>
      </w:r>
      <w:r w:rsidR="00F31B57">
        <w:rPr>
          <w:rFonts w:ascii="Times New Roman" w:hAnsi="Times New Roman" w:cs="Times New Roman" w:hint="eastAsia"/>
        </w:rPr>
        <w:t xml:space="preserve"> Modeling and</w:t>
      </w:r>
      <w:r w:rsidR="00360B6C" w:rsidRPr="00360B6C">
        <w:rPr>
          <w:rFonts w:ascii="Times New Roman" w:hAnsi="Times New Roman" w:cs="Times New Roman"/>
        </w:rPr>
        <w:t xml:space="preserve"> Analysis” section).</w:t>
      </w:r>
      <w:r w:rsidR="00360B6C">
        <w:rPr>
          <w:rFonts w:ascii="Times New Roman" w:hAnsi="Times New Roman" w:cs="Times New Roman"/>
        </w:rPr>
        <w:t xml:space="preserve"> </w:t>
      </w:r>
      <w:r w:rsidR="00E2570D" w:rsidRPr="00A711BF">
        <w:rPr>
          <w:rFonts w:ascii="Times New Roman" w:hAnsi="Times New Roman" w:cs="Times New Roman"/>
        </w:rPr>
        <w:t>Each hexagon represents the logarithmically scaled point density</w:t>
      </w:r>
      <w:r w:rsidR="004D69AD" w:rsidRPr="004D69AD">
        <w:rPr>
          <w:rFonts w:ascii="Times New Roman" w:hAnsi="Times New Roman" w:cs="Times New Roman"/>
        </w:rPr>
        <w:t xml:space="preserve">, and the red dashed line denotes the 1:1 reference line. </w:t>
      </w:r>
      <w:r w:rsidR="00E713C8" w:rsidRPr="00E713C8">
        <w:rPr>
          <w:rFonts w:ascii="Times New Roman" w:hAnsi="Times New Roman" w:cs="Times New Roman"/>
        </w:rPr>
        <w:t>Model performance was evaluated using 5-fold spatiotemporal cross-validation, and the plot includes predictions from all test folds. The reported coefficient of determination (R²) and root mean squared error (RMSE) represent the mean values across the five folds. All data points represent annual observations from 2002 to 2023 across the Antarctic continent.</w:t>
      </w:r>
    </w:p>
    <w:p w14:paraId="2EED86F5" w14:textId="77777777" w:rsidR="00711B0E" w:rsidRDefault="00711B0E" w:rsidP="00C338DE">
      <w:pPr>
        <w:rPr>
          <w:rFonts w:ascii="Times New Roman" w:hAnsi="Times New Roman" w:cs="Times New Roman"/>
        </w:rPr>
      </w:pPr>
      <w:r>
        <w:rPr>
          <w:rFonts w:ascii="Times New Roman" w:hAnsi="Times New Roman" w:cs="Times New Roman"/>
        </w:rPr>
        <w:br w:type="page"/>
      </w:r>
    </w:p>
    <w:p w14:paraId="5B97644E" w14:textId="3780519F" w:rsidR="0061313A" w:rsidRPr="00707CBE" w:rsidRDefault="008B469C" w:rsidP="00872744">
      <w:pPr>
        <w:spacing w:line="480" w:lineRule="auto"/>
        <w:jc w:val="both"/>
        <w:rPr>
          <w:rFonts w:ascii="Times New Roman" w:hAnsi="Times New Roman" w:cs="Times New Roman"/>
          <w:lang w:val="en-US"/>
        </w:rPr>
      </w:pPr>
      <w:r>
        <w:rPr>
          <w:rFonts w:ascii="Times New Roman" w:hAnsi="Times New Roman" w:cs="Times New Roman"/>
          <w:noProof/>
          <w:lang w:val="en-US"/>
        </w:rPr>
        <w:lastRenderedPageBreak/>
        <w:t>`</w:t>
      </w:r>
      <w:r w:rsidR="0061313A" w:rsidRPr="0061313A">
        <w:rPr>
          <w:rFonts w:ascii="Times New Roman" w:hAnsi="Times New Roman" w:cs="Times New Roman"/>
          <w:noProof/>
          <w:lang w:val="en-US"/>
        </w:rPr>
        <w:drawing>
          <wp:inline distT="0" distB="0" distL="0" distR="0" wp14:anchorId="16243125" wp14:editId="0298EFF0">
            <wp:extent cx="5937358" cy="1909445"/>
            <wp:effectExtent l="0" t="0" r="6350" b="0"/>
            <wp:docPr id="1559544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4357"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7358" cy="1909445"/>
                    </a:xfrm>
                    <a:prstGeom prst="rect">
                      <a:avLst/>
                    </a:prstGeom>
                    <a:noFill/>
                    <a:ln>
                      <a:noFill/>
                    </a:ln>
                  </pic:spPr>
                </pic:pic>
              </a:graphicData>
            </a:graphic>
          </wp:inline>
        </w:drawing>
      </w:r>
    </w:p>
    <w:p w14:paraId="20A5F0F5" w14:textId="17D8CC67" w:rsidR="00AA5328" w:rsidRPr="00D864BC" w:rsidRDefault="00711B0E" w:rsidP="00872744">
      <w:pPr>
        <w:spacing w:line="480" w:lineRule="auto"/>
        <w:jc w:val="both"/>
        <w:rPr>
          <w:rFonts w:ascii="Times New Roman" w:hAnsi="Times New Roman" w:cs="Times New Roman"/>
        </w:rPr>
      </w:pPr>
      <w:r w:rsidRPr="00872744">
        <w:rPr>
          <w:rFonts w:ascii="Times New Roman" w:hAnsi="Times New Roman" w:cs="Times New Roman"/>
          <w:b/>
          <w:bCs/>
        </w:rPr>
        <w:t xml:space="preserve">Figure </w:t>
      </w:r>
      <w:r w:rsidR="00F31B57" w:rsidRPr="00872744">
        <w:rPr>
          <w:rFonts w:ascii="Times New Roman" w:hAnsi="Times New Roman" w:cs="Times New Roman"/>
          <w:b/>
          <w:bCs/>
        </w:rPr>
        <w:t>S</w:t>
      </w:r>
      <w:r w:rsidR="00EB21D0" w:rsidRPr="00872744">
        <w:rPr>
          <w:rFonts w:ascii="Times New Roman" w:hAnsi="Times New Roman" w:cs="Times New Roman"/>
          <w:b/>
          <w:bCs/>
        </w:rPr>
        <w:t>4</w:t>
      </w:r>
      <w:r w:rsidRPr="00872744">
        <w:rPr>
          <w:rFonts w:ascii="Times New Roman" w:hAnsi="Times New Roman" w:cs="Times New Roman"/>
          <w:b/>
          <w:bCs/>
        </w:rPr>
        <w:t>.</w:t>
      </w:r>
      <w:r w:rsidRPr="00D864BC">
        <w:rPr>
          <w:rFonts w:ascii="Times New Roman" w:hAnsi="Times New Roman" w:cs="Times New Roman"/>
        </w:rPr>
        <w:t xml:space="preserve"> </w:t>
      </w:r>
      <w:r w:rsidR="000E774B" w:rsidRPr="00563B1A">
        <w:rPr>
          <w:rFonts w:ascii="Times New Roman" w:hAnsi="Times New Roman" w:cs="Times New Roman"/>
        </w:rPr>
        <w:t xml:space="preserve">Random Forest </w:t>
      </w:r>
      <w:r w:rsidR="000E774B">
        <w:rPr>
          <w:rFonts w:ascii="Times New Roman" w:hAnsi="Times New Roman" w:cs="Times New Roman"/>
        </w:rPr>
        <w:t>M</w:t>
      </w:r>
      <w:r w:rsidR="000E774B" w:rsidRPr="00563B1A">
        <w:rPr>
          <w:rFonts w:ascii="Times New Roman" w:hAnsi="Times New Roman" w:cs="Times New Roman"/>
        </w:rPr>
        <w:t xml:space="preserve">odel </w:t>
      </w:r>
      <w:r w:rsidR="000E774B">
        <w:rPr>
          <w:rFonts w:ascii="Times New Roman" w:hAnsi="Times New Roman" w:cs="Times New Roman"/>
        </w:rPr>
        <w:t>P</w:t>
      </w:r>
      <w:r w:rsidR="000E774B" w:rsidRPr="00563B1A">
        <w:rPr>
          <w:rFonts w:ascii="Times New Roman" w:hAnsi="Times New Roman" w:cs="Times New Roman"/>
        </w:rPr>
        <w:t xml:space="preserve">erformance for </w:t>
      </w:r>
      <w:r w:rsidR="000E774B">
        <w:rPr>
          <w:rFonts w:ascii="Times New Roman" w:hAnsi="Times New Roman" w:cs="Times New Roman"/>
        </w:rPr>
        <w:t>P</w:t>
      </w:r>
      <w:r w:rsidR="000E774B" w:rsidRPr="00563B1A">
        <w:rPr>
          <w:rFonts w:ascii="Times New Roman" w:hAnsi="Times New Roman" w:cs="Times New Roman"/>
        </w:rPr>
        <w:t xml:space="preserve">redicting Antarctic </w:t>
      </w:r>
      <w:r w:rsidR="000E774B">
        <w:rPr>
          <w:rFonts w:ascii="Times New Roman" w:hAnsi="Times New Roman" w:cs="Times New Roman"/>
        </w:rPr>
        <w:t>G</w:t>
      </w:r>
      <w:r w:rsidR="000E774B" w:rsidRPr="00563B1A">
        <w:rPr>
          <w:rFonts w:ascii="Times New Roman" w:hAnsi="Times New Roman" w:cs="Times New Roman"/>
        </w:rPr>
        <w:t xml:space="preserve">reenness </w:t>
      </w:r>
      <w:r w:rsidR="000E774B">
        <w:rPr>
          <w:rFonts w:ascii="Times New Roman" w:hAnsi="Times New Roman" w:cs="Times New Roman"/>
        </w:rPr>
        <w:t>Area Ratio</w:t>
      </w:r>
      <w:r w:rsidR="00DD6809">
        <w:rPr>
          <w:rFonts w:ascii="Times New Roman" w:hAnsi="Times New Roman" w:cs="Times New Roman"/>
        </w:rPr>
        <w:t xml:space="preserve"> </w:t>
      </w:r>
      <w:r w:rsidR="000E774B">
        <w:rPr>
          <w:rFonts w:ascii="Times New Roman" w:hAnsi="Times New Roman" w:cs="Times New Roman"/>
        </w:rPr>
        <w:t xml:space="preserve">Across </w:t>
      </w:r>
      <w:r w:rsidR="007E78C1" w:rsidRPr="007E78C1">
        <w:rPr>
          <w:rFonts w:ascii="Times New Roman" w:hAnsi="Times New Roman" w:cs="Times New Roman"/>
        </w:rPr>
        <w:t xml:space="preserve">Antarctic </w:t>
      </w:r>
      <w:r w:rsidR="000E774B">
        <w:rPr>
          <w:rFonts w:ascii="Times New Roman" w:hAnsi="Times New Roman" w:cs="Times New Roman"/>
        </w:rPr>
        <w:t>Regions</w:t>
      </w:r>
      <w:r w:rsidR="000E774B" w:rsidRPr="00563B1A">
        <w:rPr>
          <w:rFonts w:ascii="Times New Roman" w:hAnsi="Times New Roman" w:cs="Times New Roman"/>
        </w:rPr>
        <w:t>.</w:t>
      </w:r>
      <w:r w:rsidR="000E774B">
        <w:rPr>
          <w:rFonts w:ascii="Times New Roman" w:hAnsi="Times New Roman" w:cs="Times New Roman"/>
        </w:rPr>
        <w:t xml:space="preserve"> </w:t>
      </w:r>
      <w:r w:rsidR="000538E5" w:rsidRPr="000538E5">
        <w:rPr>
          <w:rFonts w:ascii="Times New Roman" w:hAnsi="Times New Roman" w:cs="Times New Roman"/>
        </w:rPr>
        <w:t xml:space="preserve">Panels A, </w:t>
      </w:r>
      <w:r w:rsidR="00DD6809">
        <w:rPr>
          <w:rFonts w:ascii="Times New Roman" w:hAnsi="Times New Roman" w:cs="Times New Roman"/>
        </w:rPr>
        <w:t>B</w:t>
      </w:r>
      <w:r w:rsidR="000538E5" w:rsidRPr="000538E5">
        <w:rPr>
          <w:rFonts w:ascii="Times New Roman" w:hAnsi="Times New Roman" w:cs="Times New Roman"/>
        </w:rPr>
        <w:t xml:space="preserve">, and </w:t>
      </w:r>
      <w:r w:rsidR="00DD6809">
        <w:rPr>
          <w:rFonts w:ascii="Times New Roman" w:hAnsi="Times New Roman" w:cs="Times New Roman"/>
        </w:rPr>
        <w:t>C</w:t>
      </w:r>
      <w:r w:rsidR="000538E5" w:rsidRPr="000538E5">
        <w:rPr>
          <w:rFonts w:ascii="Times New Roman" w:hAnsi="Times New Roman" w:cs="Times New Roman"/>
        </w:rPr>
        <w:t xml:space="preserve"> </w:t>
      </w:r>
      <w:r w:rsidR="00E84096">
        <w:rPr>
          <w:rFonts w:ascii="Times New Roman" w:hAnsi="Times New Roman" w:cs="Times New Roman"/>
        </w:rPr>
        <w:t>represent the p</w:t>
      </w:r>
      <w:r w:rsidR="0015322B" w:rsidRPr="00360B6C">
        <w:rPr>
          <w:rFonts w:ascii="Times New Roman" w:hAnsi="Times New Roman" w:cs="Times New Roman"/>
        </w:rPr>
        <w:t xml:space="preserve">redicted versus </w:t>
      </w:r>
      <w:r w:rsidR="00E84096">
        <w:rPr>
          <w:rFonts w:ascii="Times New Roman" w:hAnsi="Times New Roman" w:cs="Times New Roman"/>
        </w:rPr>
        <w:t>actual</w:t>
      </w:r>
      <w:r w:rsidR="0015322B" w:rsidRPr="00360B6C">
        <w:rPr>
          <w:rFonts w:ascii="Times New Roman" w:hAnsi="Times New Roman" w:cs="Times New Roman"/>
        </w:rPr>
        <w:t xml:space="preserve"> greenness area ratio</w:t>
      </w:r>
      <w:r w:rsidR="001F47D7">
        <w:rPr>
          <w:rFonts w:ascii="Times New Roman" w:hAnsi="Times New Roman" w:cs="Times New Roman"/>
        </w:rPr>
        <w:t xml:space="preserve"> by random forest trained on three regions</w:t>
      </w:r>
      <w:r w:rsidR="00E84096">
        <w:rPr>
          <w:rFonts w:ascii="Times New Roman" w:hAnsi="Times New Roman" w:cs="Times New Roman"/>
        </w:rPr>
        <w:t xml:space="preserve">, </w:t>
      </w:r>
      <w:r w:rsidR="002C4DBE">
        <w:rPr>
          <w:rFonts w:ascii="Times New Roman" w:hAnsi="Times New Roman" w:cs="Times New Roman"/>
        </w:rPr>
        <w:t>which</w:t>
      </w:r>
      <w:r w:rsidR="00E84096">
        <w:rPr>
          <w:rFonts w:ascii="Times New Roman" w:hAnsi="Times New Roman" w:cs="Times New Roman"/>
        </w:rPr>
        <w:t xml:space="preserve"> is</w:t>
      </w:r>
      <w:r w:rsidR="0015322B" w:rsidRPr="00360B6C">
        <w:rPr>
          <w:rFonts w:ascii="Times New Roman" w:hAnsi="Times New Roman" w:cs="Times New Roman"/>
        </w:rPr>
        <w:t xml:space="preserve"> defined as the proportion of vegetated area within each 0.1° grid cell, based on aggregated 500 m </w:t>
      </w:r>
      <w:r w:rsidR="003A4D16">
        <w:rPr>
          <w:rFonts w:ascii="Times New Roman" w:hAnsi="Times New Roman" w:cs="Times New Roman"/>
        </w:rPr>
        <w:t xml:space="preserve">satellite </w:t>
      </w:r>
      <w:r w:rsidR="0015322B" w:rsidRPr="00360B6C">
        <w:rPr>
          <w:rFonts w:ascii="Times New Roman" w:hAnsi="Times New Roman" w:cs="Times New Roman"/>
        </w:rPr>
        <w:t>observations (see “Explainable Machine Learning Analysis” section).</w:t>
      </w:r>
      <w:r w:rsidR="0015322B" w:rsidRPr="000B72DF">
        <w:rPr>
          <w:rFonts w:ascii="Times New Roman" w:hAnsi="Times New Roman" w:cs="Times New Roman"/>
        </w:rPr>
        <w:t xml:space="preserve"> </w:t>
      </w:r>
      <w:r w:rsidR="00A711BF" w:rsidRPr="00A711BF">
        <w:rPr>
          <w:rFonts w:ascii="Times New Roman" w:hAnsi="Times New Roman" w:cs="Times New Roman"/>
        </w:rPr>
        <w:t xml:space="preserve">Each hexagon represents the logarithmically scaled point density. All three panels share the same </w:t>
      </w:r>
      <w:r w:rsidR="006379FC">
        <w:rPr>
          <w:rFonts w:ascii="Times New Roman" w:hAnsi="Times New Roman" w:cs="Times New Roman"/>
        </w:rPr>
        <w:t>color bar</w:t>
      </w:r>
      <w:r w:rsidR="00A711BF" w:rsidRPr="00A711BF">
        <w:rPr>
          <w:rFonts w:ascii="Times New Roman" w:hAnsi="Times New Roman" w:cs="Times New Roman"/>
        </w:rPr>
        <w:t>, and the red dashed line indicates the 1:1 reference line.</w:t>
      </w:r>
      <w:r w:rsidR="000E774B" w:rsidRPr="004D69AD">
        <w:rPr>
          <w:rFonts w:ascii="Times New Roman" w:hAnsi="Times New Roman" w:cs="Times New Roman"/>
        </w:rPr>
        <w:t xml:space="preserve"> </w:t>
      </w:r>
      <w:r w:rsidR="00B5350C" w:rsidRPr="00B5350C">
        <w:rPr>
          <w:rFonts w:ascii="Times New Roman" w:hAnsi="Times New Roman" w:cs="Times New Roman"/>
        </w:rPr>
        <w:t>Model performance was evaluated using 5-fold spatiotemporal cross-validation, and the plots include predictions from all test folds. Reported coefficients of determination (R²) and root mean squared errors (RMSE) are the average values across the five test folds, reflecting model performance in each Antarctic region.</w:t>
      </w:r>
      <w:r w:rsidR="00B5350C">
        <w:rPr>
          <w:rFonts w:ascii="Times New Roman" w:hAnsi="Times New Roman" w:cs="Times New Roman"/>
        </w:rPr>
        <w:t xml:space="preserve"> </w:t>
      </w:r>
      <w:r w:rsidR="000E774B" w:rsidRPr="004D69AD">
        <w:rPr>
          <w:rFonts w:ascii="Times New Roman" w:hAnsi="Times New Roman" w:cs="Times New Roman"/>
        </w:rPr>
        <w:t>All data points represent annual observations from 2002 to 2023 across the Antarctic region.</w:t>
      </w:r>
    </w:p>
    <w:p w14:paraId="3C0CEC03" w14:textId="1B0FE9EF" w:rsidR="00BA68E3" w:rsidRPr="00D864BC" w:rsidRDefault="00BA68E3" w:rsidP="00872744">
      <w:pPr>
        <w:spacing w:line="480" w:lineRule="auto"/>
        <w:jc w:val="both"/>
        <w:rPr>
          <w:rFonts w:ascii="Times New Roman" w:hAnsi="Times New Roman" w:cs="Times New Roman"/>
        </w:rPr>
      </w:pPr>
    </w:p>
    <w:p w14:paraId="0B58EAE9" w14:textId="1519587F" w:rsidR="00D1219B" w:rsidRPr="00D1219B" w:rsidRDefault="00D1219B" w:rsidP="00D1219B">
      <w:pPr>
        <w:spacing w:line="480" w:lineRule="auto"/>
        <w:jc w:val="both"/>
        <w:rPr>
          <w:rFonts w:ascii="Times New Roman" w:hAnsi="Times New Roman" w:cs="Times New Roman"/>
          <w:color w:val="FF0000"/>
          <w:lang w:val="en-US"/>
        </w:rPr>
      </w:pPr>
      <w:r w:rsidRPr="00D1219B">
        <w:rPr>
          <w:rFonts w:ascii="Times New Roman" w:hAnsi="Times New Roman" w:cs="Times New Roman"/>
          <w:noProof/>
          <w:color w:val="FF0000"/>
          <w:lang w:val="en-US"/>
        </w:rPr>
        <w:lastRenderedPageBreak/>
        <w:drawing>
          <wp:inline distT="0" distB="0" distL="0" distR="0" wp14:anchorId="2661A739" wp14:editId="38D06705">
            <wp:extent cx="5943600" cy="7448550"/>
            <wp:effectExtent l="0" t="0" r="0" b="0"/>
            <wp:docPr id="1920975182"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5182" name="Picture 2" descr="A graph of different colore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14:paraId="08A12F47" w14:textId="1B156CAE" w:rsidR="00AA5328" w:rsidRDefault="004D4AA6" w:rsidP="00872744">
      <w:pPr>
        <w:spacing w:line="480" w:lineRule="auto"/>
        <w:jc w:val="both"/>
        <w:rPr>
          <w:rFonts w:ascii="Times New Roman" w:hAnsi="Times New Roman" w:cs="Times New Roman"/>
          <w:color w:val="FF0000"/>
        </w:rPr>
      </w:pPr>
      <w:r w:rsidRPr="00872744">
        <w:rPr>
          <w:rFonts w:ascii="Times New Roman" w:hAnsi="Times New Roman" w:cs="Times New Roman"/>
          <w:b/>
          <w:bCs/>
        </w:rPr>
        <w:t xml:space="preserve">Figure </w:t>
      </w:r>
      <w:r w:rsidR="00F31B57" w:rsidRPr="00872744">
        <w:rPr>
          <w:rFonts w:ascii="Times New Roman" w:hAnsi="Times New Roman" w:cs="Times New Roman"/>
          <w:b/>
          <w:bCs/>
        </w:rPr>
        <w:t>S</w:t>
      </w:r>
      <w:r w:rsidR="00EB21D0" w:rsidRPr="00872744">
        <w:rPr>
          <w:rFonts w:ascii="Times New Roman" w:hAnsi="Times New Roman" w:cs="Times New Roman"/>
          <w:b/>
          <w:bCs/>
        </w:rPr>
        <w:t>5</w:t>
      </w:r>
      <w:r w:rsidRPr="00D864BC">
        <w:rPr>
          <w:rFonts w:ascii="Times New Roman" w:hAnsi="Times New Roman" w:cs="Times New Roman"/>
        </w:rPr>
        <w:t xml:space="preserve">. Sensitivity Analysis of Greenness Area Using Different NDVI Thresholds. </w:t>
      </w:r>
      <w:r w:rsidR="00E75478" w:rsidRPr="00E75478">
        <w:rPr>
          <w:rFonts w:ascii="Times New Roman" w:hAnsi="Times New Roman" w:cs="Times New Roman"/>
        </w:rPr>
        <w:t xml:space="preserve">This figure shows the total green area from 2002 to 2023, calculated using NDVI thresholds ranging from 0.10 to 0.30 in </w:t>
      </w:r>
      <w:r w:rsidR="00E75478" w:rsidRPr="00E75478">
        <w:rPr>
          <w:rFonts w:ascii="Times New Roman" w:hAnsi="Times New Roman" w:cs="Times New Roman"/>
        </w:rPr>
        <w:lastRenderedPageBreak/>
        <w:t xml:space="preserve">increments of 0.05. </w:t>
      </w:r>
      <w:r w:rsidR="0034018B" w:rsidRPr="0034018B">
        <w:rPr>
          <w:rFonts w:ascii="Times New Roman" w:hAnsi="Times New Roman" w:cs="Times New Roman"/>
        </w:rPr>
        <w:t xml:space="preserve">Each data point represents the green area (km²) identified for a given threshold, using the first year of each defined growing season as the time label. Colored lines indicate fitted linear trends from ordinary least squares </w:t>
      </w:r>
      <w:r w:rsidR="00007A5E" w:rsidRPr="0034018B">
        <w:rPr>
          <w:rFonts w:ascii="Times New Roman" w:hAnsi="Times New Roman" w:cs="Times New Roman"/>
        </w:rPr>
        <w:t>regression</w:t>
      </w:r>
      <w:r w:rsidR="00007A5E">
        <w:rPr>
          <w:rFonts w:ascii="Times New Roman" w:hAnsi="Times New Roman" w:cs="Times New Roman"/>
        </w:rPr>
        <w:t>;</w:t>
      </w:r>
      <w:r w:rsidR="00941446">
        <w:rPr>
          <w:rFonts w:ascii="Times New Roman" w:hAnsi="Times New Roman" w:cs="Times New Roman"/>
        </w:rPr>
        <w:t xml:space="preserve"> </w:t>
      </w:r>
      <w:r w:rsidR="00941446" w:rsidRPr="2EE6FDAA">
        <w:rPr>
          <w:rFonts w:ascii="Times New Roman" w:eastAsia="Times New Roman" w:hAnsi="Times New Roman" w:cs="Times New Roman"/>
          <w:sz w:val="24"/>
          <w:szCs w:val="24"/>
          <w:lang w:val="en-US"/>
        </w:rPr>
        <w:t>shaded bands indicate 95% confidence intervals for linear fits</w:t>
      </w:r>
      <w:r w:rsidR="0034018B" w:rsidRPr="0034018B">
        <w:rPr>
          <w:rFonts w:ascii="Times New Roman" w:hAnsi="Times New Roman" w:cs="Times New Roman"/>
        </w:rPr>
        <w:t xml:space="preserve">. The legend displays the slope from the linear regression and the p-value from the Mann-Kendall test, assessing the significance of the </w:t>
      </w:r>
      <w:r w:rsidR="0034018B">
        <w:rPr>
          <w:rFonts w:ascii="Times New Roman" w:hAnsi="Times New Roman" w:cs="Times New Roman"/>
        </w:rPr>
        <w:t xml:space="preserve">green area </w:t>
      </w:r>
      <w:r w:rsidR="0034018B" w:rsidRPr="0034018B">
        <w:rPr>
          <w:rFonts w:ascii="Times New Roman" w:hAnsi="Times New Roman" w:cs="Times New Roman"/>
        </w:rPr>
        <w:t>trend for each threshold.</w:t>
      </w:r>
      <w:r w:rsidR="00AA5328">
        <w:rPr>
          <w:rFonts w:ascii="Times New Roman" w:hAnsi="Times New Roman" w:cs="Times New Roman"/>
          <w:color w:val="FF0000"/>
        </w:rPr>
        <w:br w:type="page"/>
      </w:r>
    </w:p>
    <w:p w14:paraId="3C0CEC07" w14:textId="5CBE3918" w:rsidR="00BA68E3" w:rsidRPr="00D864BC" w:rsidRDefault="004D4AA6" w:rsidP="00872744">
      <w:pPr>
        <w:spacing w:line="480" w:lineRule="auto"/>
        <w:jc w:val="center"/>
        <w:rPr>
          <w:rFonts w:ascii="Times New Roman" w:hAnsi="Times New Roman" w:cs="Times New Roman"/>
          <w:color w:val="FF0000"/>
        </w:rPr>
      </w:pPr>
      <w:r w:rsidRPr="00D864BC">
        <w:rPr>
          <w:rFonts w:ascii="Times New Roman" w:hAnsi="Times New Roman" w:cs="Times New Roman"/>
          <w:noProof/>
          <w:color w:val="FF0000"/>
        </w:rPr>
        <w:lastRenderedPageBreak/>
        <w:drawing>
          <wp:inline distT="0" distB="0" distL="0" distR="0" wp14:anchorId="3C0CEC1D" wp14:editId="02F02977">
            <wp:extent cx="5932714" cy="2940791"/>
            <wp:effectExtent l="0" t="0" r="0" b="0"/>
            <wp:docPr id="2125130518" name="image7.png" descr="图表&#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图表&#10;&#10;AI-generated content may be incorrect."/>
                    <pic:cNvPicPr preferRelativeResize="0"/>
                  </pic:nvPicPr>
                  <pic:blipFill>
                    <a:blip r:embed="rId12"/>
                    <a:srcRect/>
                    <a:stretch>
                      <a:fillRect/>
                    </a:stretch>
                  </pic:blipFill>
                  <pic:spPr>
                    <a:xfrm>
                      <a:off x="0" y="0"/>
                      <a:ext cx="5941392" cy="2945093"/>
                    </a:xfrm>
                    <a:prstGeom prst="rect">
                      <a:avLst/>
                    </a:prstGeom>
                    <a:ln/>
                  </pic:spPr>
                </pic:pic>
              </a:graphicData>
            </a:graphic>
          </wp:inline>
        </w:drawing>
      </w:r>
    </w:p>
    <w:p w14:paraId="4C369879" w14:textId="68D6FDCF" w:rsidR="00B62F0E" w:rsidRDefault="004D4AA6" w:rsidP="00872744">
      <w:pPr>
        <w:spacing w:line="480" w:lineRule="auto"/>
        <w:rPr>
          <w:rFonts w:ascii="Times New Roman" w:hAnsi="Times New Roman" w:cs="Times New Roman"/>
        </w:rPr>
      </w:pPr>
      <w:r w:rsidRPr="00872744">
        <w:rPr>
          <w:rFonts w:ascii="Times New Roman" w:hAnsi="Times New Roman" w:cs="Times New Roman"/>
          <w:b/>
          <w:bCs/>
        </w:rPr>
        <w:t xml:space="preserve">Figure </w:t>
      </w:r>
      <w:r w:rsidR="00F31B57" w:rsidRPr="00872744">
        <w:rPr>
          <w:rFonts w:ascii="Times New Roman" w:hAnsi="Times New Roman" w:cs="Times New Roman"/>
          <w:b/>
          <w:bCs/>
        </w:rPr>
        <w:t>S</w:t>
      </w:r>
      <w:r w:rsidR="00EB21D0" w:rsidRPr="00872744">
        <w:rPr>
          <w:rFonts w:ascii="Times New Roman" w:hAnsi="Times New Roman" w:cs="Times New Roman"/>
          <w:b/>
          <w:bCs/>
        </w:rPr>
        <w:t>6</w:t>
      </w:r>
      <w:r w:rsidRPr="00872744">
        <w:rPr>
          <w:rFonts w:ascii="Times New Roman" w:hAnsi="Times New Roman" w:cs="Times New Roman"/>
          <w:b/>
          <w:bCs/>
        </w:rPr>
        <w:t>.</w:t>
      </w:r>
      <w:r w:rsidRPr="00D864BC">
        <w:rPr>
          <w:rFonts w:ascii="Times New Roman" w:hAnsi="Times New Roman" w:cs="Times New Roman"/>
        </w:rPr>
        <w:t xml:space="preserve"> The sensitive test of the trend of mean greenness duration using different NDVI thresholds. </w:t>
      </w:r>
      <w:r w:rsidR="00C73E96" w:rsidRPr="00C73E96">
        <w:rPr>
          <w:rFonts w:ascii="Times New Roman" w:hAnsi="Times New Roman" w:cs="Times New Roman"/>
        </w:rPr>
        <w:t xml:space="preserve">This figure shows the continent-scale mean greenness duration from 2002 to 2023, calculated using NDVI thresholds of 0.1, 0.2, and 0.3 (shown in red, green, and blue, respectively). Each data point represents the area-weighted mean greenness duration for a given threshold, using the first year of each defined growing season as the time label. </w:t>
      </w:r>
      <w:r w:rsidR="00C73E96">
        <w:rPr>
          <w:rFonts w:ascii="Times New Roman" w:hAnsi="Times New Roman" w:cs="Times New Roman"/>
        </w:rPr>
        <w:t>Colored</w:t>
      </w:r>
      <w:r w:rsidR="00C73E96" w:rsidRPr="00C73E96">
        <w:rPr>
          <w:rFonts w:ascii="Times New Roman" w:hAnsi="Times New Roman" w:cs="Times New Roman"/>
        </w:rPr>
        <w:t xml:space="preserve"> lines indicate fitted linear trends from ordinary least squares regression</w:t>
      </w:r>
      <w:r w:rsidR="00007A5E">
        <w:rPr>
          <w:rFonts w:ascii="Times New Roman" w:hAnsi="Times New Roman" w:cs="Times New Roman"/>
        </w:rPr>
        <w:t xml:space="preserve">; </w:t>
      </w:r>
      <w:r w:rsidR="00007A5E" w:rsidRPr="2EE6FDAA">
        <w:rPr>
          <w:rFonts w:ascii="Times New Roman" w:eastAsia="Times New Roman" w:hAnsi="Times New Roman" w:cs="Times New Roman"/>
          <w:sz w:val="24"/>
          <w:szCs w:val="24"/>
          <w:lang w:val="en-US"/>
        </w:rPr>
        <w:t>shaded bands indicate 95% confidence intervals for linear fits</w:t>
      </w:r>
      <w:r w:rsidR="00C73E96" w:rsidRPr="00C73E96">
        <w:rPr>
          <w:rFonts w:ascii="Times New Roman" w:hAnsi="Times New Roman" w:cs="Times New Roman"/>
        </w:rPr>
        <w:t>. The legend reports the slope from the linear regression and the p-value from the Mann-Kendall test for each threshold.</w:t>
      </w:r>
    </w:p>
    <w:p w14:paraId="3F46EF4E" w14:textId="77777777" w:rsidR="000F2E83" w:rsidRDefault="000F2E83">
      <w:pPr>
        <w:spacing w:line="480" w:lineRule="auto"/>
        <w:jc w:val="both"/>
        <w:rPr>
          <w:rFonts w:ascii="Times New Roman" w:hAnsi="Times New Roman" w:cs="Times New Roman"/>
        </w:rPr>
      </w:pPr>
    </w:p>
    <w:p w14:paraId="1BE5CDB9" w14:textId="522A6962" w:rsidR="00B62F0E" w:rsidRPr="0053255E" w:rsidRDefault="004D4AA6" w:rsidP="00872744">
      <w:pPr>
        <w:spacing w:line="480" w:lineRule="auto"/>
        <w:jc w:val="both"/>
        <w:rPr>
          <w:rFonts w:ascii="Times New Roman" w:hAnsi="Times New Roman" w:cs="Times New Roman"/>
        </w:rPr>
      </w:pPr>
      <w:r w:rsidRPr="00872744">
        <w:rPr>
          <w:rFonts w:ascii="Times New Roman" w:hAnsi="Times New Roman" w:cs="Times New Roman"/>
          <w:b/>
          <w:bCs/>
        </w:rPr>
        <w:t xml:space="preserve">Table </w:t>
      </w:r>
      <w:r w:rsidR="0001041C" w:rsidRPr="00872744">
        <w:rPr>
          <w:rFonts w:ascii="Times New Roman" w:hAnsi="Times New Roman" w:cs="Times New Roman"/>
          <w:b/>
          <w:bCs/>
        </w:rPr>
        <w:t>S</w:t>
      </w:r>
      <w:r w:rsidRPr="00872744">
        <w:rPr>
          <w:rFonts w:ascii="Times New Roman" w:hAnsi="Times New Roman" w:cs="Times New Roman"/>
          <w:b/>
          <w:bCs/>
        </w:rPr>
        <w:t>1.</w:t>
      </w:r>
      <w:r w:rsidRPr="00D864BC">
        <w:rPr>
          <w:rFonts w:ascii="Times New Roman" w:hAnsi="Times New Roman" w:cs="Times New Roman"/>
        </w:rPr>
        <w:t xml:space="preserve"> Permutation Importance Values for Random Forest Models Across Regions. See attached file.</w:t>
      </w:r>
    </w:p>
    <w:sectPr w:rsidR="00B62F0E" w:rsidRPr="0053255E" w:rsidSect="00872744">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44276" w14:textId="77777777" w:rsidR="00CD7759" w:rsidRDefault="00CD7759">
      <w:pPr>
        <w:spacing w:line="240" w:lineRule="auto"/>
      </w:pPr>
      <w:r>
        <w:separator/>
      </w:r>
    </w:p>
  </w:endnote>
  <w:endnote w:type="continuationSeparator" w:id="0">
    <w:p w14:paraId="3364B330" w14:textId="77777777" w:rsidR="00CD7759" w:rsidRDefault="00CD77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396E4D-EBAA-4E5C-8BD4-0F6712763703}"/>
    <w:embedItalic r:id="rId2" w:fontKey="{7167D2E9-025D-40AB-95C9-DE1B03929C90}"/>
  </w:font>
  <w:font w:name="Cambria">
    <w:panose1 w:val="02040503050406030204"/>
    <w:charset w:val="00"/>
    <w:family w:val="roman"/>
    <w:pitch w:val="variable"/>
    <w:sig w:usb0="E00006FF" w:usb1="420024FF" w:usb2="02000000" w:usb3="00000000" w:csb0="0000019F" w:csb1="00000000"/>
    <w:embedRegular r:id="rId3" w:fontKey="{F2C91D09-0D9A-4605-B915-EF766F74BC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5A754" w14:textId="77777777" w:rsidR="00CD7759" w:rsidRDefault="00CD7759">
      <w:pPr>
        <w:spacing w:line="240" w:lineRule="auto"/>
      </w:pPr>
      <w:r>
        <w:separator/>
      </w:r>
    </w:p>
  </w:footnote>
  <w:footnote w:type="continuationSeparator" w:id="0">
    <w:p w14:paraId="4EE97FDA" w14:textId="77777777" w:rsidR="00CD7759" w:rsidRDefault="00CD77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8E3"/>
    <w:rsid w:val="00003661"/>
    <w:rsid w:val="0000457E"/>
    <w:rsid w:val="00007A5E"/>
    <w:rsid w:val="0001041C"/>
    <w:rsid w:val="000253A2"/>
    <w:rsid w:val="00026577"/>
    <w:rsid w:val="00035EA4"/>
    <w:rsid w:val="000426EE"/>
    <w:rsid w:val="0004387B"/>
    <w:rsid w:val="0005344D"/>
    <w:rsid w:val="000538E5"/>
    <w:rsid w:val="000720D1"/>
    <w:rsid w:val="000775EE"/>
    <w:rsid w:val="00082E2B"/>
    <w:rsid w:val="00082F89"/>
    <w:rsid w:val="00094A74"/>
    <w:rsid w:val="00095437"/>
    <w:rsid w:val="00096600"/>
    <w:rsid w:val="000A2094"/>
    <w:rsid w:val="000B72DF"/>
    <w:rsid w:val="000B7A8E"/>
    <w:rsid w:val="000C3676"/>
    <w:rsid w:val="000C72B5"/>
    <w:rsid w:val="000E774B"/>
    <w:rsid w:val="000E7C82"/>
    <w:rsid w:val="000F0721"/>
    <w:rsid w:val="000F2E83"/>
    <w:rsid w:val="000F401E"/>
    <w:rsid w:val="00125F9F"/>
    <w:rsid w:val="001376AA"/>
    <w:rsid w:val="0014320F"/>
    <w:rsid w:val="00152B18"/>
    <w:rsid w:val="0015322B"/>
    <w:rsid w:val="00161E05"/>
    <w:rsid w:val="00171655"/>
    <w:rsid w:val="00177CB5"/>
    <w:rsid w:val="001A6476"/>
    <w:rsid w:val="001A7499"/>
    <w:rsid w:val="001B0BF8"/>
    <w:rsid w:val="001B4DDD"/>
    <w:rsid w:val="001D0605"/>
    <w:rsid w:val="001D1612"/>
    <w:rsid w:val="001D4096"/>
    <w:rsid w:val="001D46C1"/>
    <w:rsid w:val="001E2A23"/>
    <w:rsid w:val="001E624C"/>
    <w:rsid w:val="001F0B74"/>
    <w:rsid w:val="001F0D99"/>
    <w:rsid w:val="001F23FA"/>
    <w:rsid w:val="001F47D7"/>
    <w:rsid w:val="00223CD6"/>
    <w:rsid w:val="00226055"/>
    <w:rsid w:val="002306E1"/>
    <w:rsid w:val="00264B35"/>
    <w:rsid w:val="00266AD2"/>
    <w:rsid w:val="002741A3"/>
    <w:rsid w:val="002B436E"/>
    <w:rsid w:val="002B4D3E"/>
    <w:rsid w:val="002C4DBE"/>
    <w:rsid w:val="002D1DAA"/>
    <w:rsid w:val="002D514F"/>
    <w:rsid w:val="002E12A6"/>
    <w:rsid w:val="002F2028"/>
    <w:rsid w:val="003002B3"/>
    <w:rsid w:val="00303B70"/>
    <w:rsid w:val="00311113"/>
    <w:rsid w:val="00312338"/>
    <w:rsid w:val="00325684"/>
    <w:rsid w:val="0033154A"/>
    <w:rsid w:val="0034018B"/>
    <w:rsid w:val="00341203"/>
    <w:rsid w:val="00351F7A"/>
    <w:rsid w:val="00357861"/>
    <w:rsid w:val="00360B6C"/>
    <w:rsid w:val="003671F3"/>
    <w:rsid w:val="003748B0"/>
    <w:rsid w:val="00390767"/>
    <w:rsid w:val="00395E7D"/>
    <w:rsid w:val="003966FB"/>
    <w:rsid w:val="003A4D16"/>
    <w:rsid w:val="003A5BE4"/>
    <w:rsid w:val="003B4279"/>
    <w:rsid w:val="003B7C26"/>
    <w:rsid w:val="003D6036"/>
    <w:rsid w:val="003E5C6A"/>
    <w:rsid w:val="003E773E"/>
    <w:rsid w:val="003F62D2"/>
    <w:rsid w:val="0040120E"/>
    <w:rsid w:val="00405152"/>
    <w:rsid w:val="004213FE"/>
    <w:rsid w:val="004247F1"/>
    <w:rsid w:val="004352BA"/>
    <w:rsid w:val="00435941"/>
    <w:rsid w:val="00442019"/>
    <w:rsid w:val="00464374"/>
    <w:rsid w:val="00473946"/>
    <w:rsid w:val="00474BD1"/>
    <w:rsid w:val="00477BDE"/>
    <w:rsid w:val="00483084"/>
    <w:rsid w:val="004848D3"/>
    <w:rsid w:val="00496604"/>
    <w:rsid w:val="00496D18"/>
    <w:rsid w:val="00496FE1"/>
    <w:rsid w:val="00497964"/>
    <w:rsid w:val="004B2D2B"/>
    <w:rsid w:val="004B6881"/>
    <w:rsid w:val="004C2E48"/>
    <w:rsid w:val="004C60DF"/>
    <w:rsid w:val="004C714A"/>
    <w:rsid w:val="004D4AA6"/>
    <w:rsid w:val="004D69AD"/>
    <w:rsid w:val="004D6B97"/>
    <w:rsid w:val="004D7612"/>
    <w:rsid w:val="004F4624"/>
    <w:rsid w:val="005017E4"/>
    <w:rsid w:val="00501DD4"/>
    <w:rsid w:val="005023C3"/>
    <w:rsid w:val="00505E2D"/>
    <w:rsid w:val="00506688"/>
    <w:rsid w:val="00516078"/>
    <w:rsid w:val="00521DD7"/>
    <w:rsid w:val="0053255E"/>
    <w:rsid w:val="00541212"/>
    <w:rsid w:val="00543AF6"/>
    <w:rsid w:val="00551275"/>
    <w:rsid w:val="00563B1A"/>
    <w:rsid w:val="00570DFD"/>
    <w:rsid w:val="00582C53"/>
    <w:rsid w:val="00583BB2"/>
    <w:rsid w:val="005915A0"/>
    <w:rsid w:val="005952C1"/>
    <w:rsid w:val="005A0EAA"/>
    <w:rsid w:val="005A2E24"/>
    <w:rsid w:val="005B5BE2"/>
    <w:rsid w:val="005D2AF3"/>
    <w:rsid w:val="00601DF5"/>
    <w:rsid w:val="00602F3F"/>
    <w:rsid w:val="0061313A"/>
    <w:rsid w:val="00626DBB"/>
    <w:rsid w:val="0063071A"/>
    <w:rsid w:val="00632876"/>
    <w:rsid w:val="00635930"/>
    <w:rsid w:val="006379FC"/>
    <w:rsid w:val="0064027B"/>
    <w:rsid w:val="00642625"/>
    <w:rsid w:val="006437FB"/>
    <w:rsid w:val="00646D6B"/>
    <w:rsid w:val="00653A79"/>
    <w:rsid w:val="00655333"/>
    <w:rsid w:val="00656E68"/>
    <w:rsid w:val="006611EA"/>
    <w:rsid w:val="006720D0"/>
    <w:rsid w:val="00672C60"/>
    <w:rsid w:val="00693A79"/>
    <w:rsid w:val="00694A96"/>
    <w:rsid w:val="006954BB"/>
    <w:rsid w:val="00697969"/>
    <w:rsid w:val="006A00EA"/>
    <w:rsid w:val="006B253A"/>
    <w:rsid w:val="006B36CF"/>
    <w:rsid w:val="006B62FA"/>
    <w:rsid w:val="006C0DC4"/>
    <w:rsid w:val="006C4E7F"/>
    <w:rsid w:val="006C60F3"/>
    <w:rsid w:val="006C6562"/>
    <w:rsid w:val="006D131A"/>
    <w:rsid w:val="006D3349"/>
    <w:rsid w:val="006D509F"/>
    <w:rsid w:val="006F4374"/>
    <w:rsid w:val="006F7CBC"/>
    <w:rsid w:val="00707CBE"/>
    <w:rsid w:val="00711B0E"/>
    <w:rsid w:val="00726952"/>
    <w:rsid w:val="00730A26"/>
    <w:rsid w:val="00731267"/>
    <w:rsid w:val="00747198"/>
    <w:rsid w:val="00747925"/>
    <w:rsid w:val="00750175"/>
    <w:rsid w:val="00750FA0"/>
    <w:rsid w:val="00753E81"/>
    <w:rsid w:val="00762F64"/>
    <w:rsid w:val="00767E88"/>
    <w:rsid w:val="007702E3"/>
    <w:rsid w:val="00774072"/>
    <w:rsid w:val="00791B6A"/>
    <w:rsid w:val="0079419E"/>
    <w:rsid w:val="00795924"/>
    <w:rsid w:val="007A451D"/>
    <w:rsid w:val="007B0F27"/>
    <w:rsid w:val="007B3B7A"/>
    <w:rsid w:val="007C31B4"/>
    <w:rsid w:val="007C3F95"/>
    <w:rsid w:val="007E641D"/>
    <w:rsid w:val="007E78C1"/>
    <w:rsid w:val="0080285D"/>
    <w:rsid w:val="008068FC"/>
    <w:rsid w:val="0082445B"/>
    <w:rsid w:val="00827049"/>
    <w:rsid w:val="00835BEE"/>
    <w:rsid w:val="00844396"/>
    <w:rsid w:val="008476CC"/>
    <w:rsid w:val="008557DA"/>
    <w:rsid w:val="00863ED0"/>
    <w:rsid w:val="00872744"/>
    <w:rsid w:val="008952D7"/>
    <w:rsid w:val="008A1171"/>
    <w:rsid w:val="008A27DA"/>
    <w:rsid w:val="008B469C"/>
    <w:rsid w:val="008F6EBD"/>
    <w:rsid w:val="0090295A"/>
    <w:rsid w:val="00904B68"/>
    <w:rsid w:val="009130B7"/>
    <w:rsid w:val="009211EE"/>
    <w:rsid w:val="00921321"/>
    <w:rsid w:val="0093097A"/>
    <w:rsid w:val="0093280E"/>
    <w:rsid w:val="00941446"/>
    <w:rsid w:val="00942E3D"/>
    <w:rsid w:val="00945EC1"/>
    <w:rsid w:val="00951037"/>
    <w:rsid w:val="0096233C"/>
    <w:rsid w:val="0096300E"/>
    <w:rsid w:val="00966D73"/>
    <w:rsid w:val="009928C2"/>
    <w:rsid w:val="009B0077"/>
    <w:rsid w:val="009B6491"/>
    <w:rsid w:val="009B6D35"/>
    <w:rsid w:val="009C009D"/>
    <w:rsid w:val="009C2681"/>
    <w:rsid w:val="009D6D4D"/>
    <w:rsid w:val="009E5E69"/>
    <w:rsid w:val="009F4826"/>
    <w:rsid w:val="00A02C33"/>
    <w:rsid w:val="00A253B1"/>
    <w:rsid w:val="00A33542"/>
    <w:rsid w:val="00A33F30"/>
    <w:rsid w:val="00A450A8"/>
    <w:rsid w:val="00A5559A"/>
    <w:rsid w:val="00A55A75"/>
    <w:rsid w:val="00A711BF"/>
    <w:rsid w:val="00A774D8"/>
    <w:rsid w:val="00A85FF5"/>
    <w:rsid w:val="00AA1173"/>
    <w:rsid w:val="00AA5328"/>
    <w:rsid w:val="00AC02E0"/>
    <w:rsid w:val="00AC5189"/>
    <w:rsid w:val="00AC555C"/>
    <w:rsid w:val="00AF5397"/>
    <w:rsid w:val="00AF7471"/>
    <w:rsid w:val="00B12609"/>
    <w:rsid w:val="00B34958"/>
    <w:rsid w:val="00B36C04"/>
    <w:rsid w:val="00B40DB1"/>
    <w:rsid w:val="00B436FD"/>
    <w:rsid w:val="00B47C2C"/>
    <w:rsid w:val="00B527F9"/>
    <w:rsid w:val="00B5350C"/>
    <w:rsid w:val="00B56004"/>
    <w:rsid w:val="00B563E3"/>
    <w:rsid w:val="00B569CA"/>
    <w:rsid w:val="00B610E7"/>
    <w:rsid w:val="00B62F0E"/>
    <w:rsid w:val="00B810E8"/>
    <w:rsid w:val="00B82737"/>
    <w:rsid w:val="00B85050"/>
    <w:rsid w:val="00B92E20"/>
    <w:rsid w:val="00B94A20"/>
    <w:rsid w:val="00BA0E13"/>
    <w:rsid w:val="00BA1610"/>
    <w:rsid w:val="00BA1AF9"/>
    <w:rsid w:val="00BA3424"/>
    <w:rsid w:val="00BA4510"/>
    <w:rsid w:val="00BA68E3"/>
    <w:rsid w:val="00BB2239"/>
    <w:rsid w:val="00BB79AB"/>
    <w:rsid w:val="00BC37DD"/>
    <w:rsid w:val="00BC4A45"/>
    <w:rsid w:val="00BC5819"/>
    <w:rsid w:val="00BD0A8E"/>
    <w:rsid w:val="00C002AE"/>
    <w:rsid w:val="00C0431E"/>
    <w:rsid w:val="00C04C71"/>
    <w:rsid w:val="00C04ECA"/>
    <w:rsid w:val="00C06480"/>
    <w:rsid w:val="00C07D36"/>
    <w:rsid w:val="00C10BBF"/>
    <w:rsid w:val="00C132D6"/>
    <w:rsid w:val="00C1540F"/>
    <w:rsid w:val="00C222F6"/>
    <w:rsid w:val="00C2371F"/>
    <w:rsid w:val="00C3110E"/>
    <w:rsid w:val="00C338DE"/>
    <w:rsid w:val="00C462A8"/>
    <w:rsid w:val="00C47B1F"/>
    <w:rsid w:val="00C50441"/>
    <w:rsid w:val="00C54EDA"/>
    <w:rsid w:val="00C73B1E"/>
    <w:rsid w:val="00C73E96"/>
    <w:rsid w:val="00CA2B37"/>
    <w:rsid w:val="00CA396B"/>
    <w:rsid w:val="00CA746F"/>
    <w:rsid w:val="00CA799F"/>
    <w:rsid w:val="00CC2EF6"/>
    <w:rsid w:val="00CC743E"/>
    <w:rsid w:val="00CD2E22"/>
    <w:rsid w:val="00CD7759"/>
    <w:rsid w:val="00CE03A1"/>
    <w:rsid w:val="00CE0B18"/>
    <w:rsid w:val="00CE21CD"/>
    <w:rsid w:val="00CF66E0"/>
    <w:rsid w:val="00D03D18"/>
    <w:rsid w:val="00D0512D"/>
    <w:rsid w:val="00D1219B"/>
    <w:rsid w:val="00D33397"/>
    <w:rsid w:val="00D37729"/>
    <w:rsid w:val="00D40C04"/>
    <w:rsid w:val="00D45BDD"/>
    <w:rsid w:val="00D57D43"/>
    <w:rsid w:val="00D61A0B"/>
    <w:rsid w:val="00D76DD5"/>
    <w:rsid w:val="00D864BC"/>
    <w:rsid w:val="00DB7275"/>
    <w:rsid w:val="00DB7F4D"/>
    <w:rsid w:val="00DC6896"/>
    <w:rsid w:val="00DD44D2"/>
    <w:rsid w:val="00DD631F"/>
    <w:rsid w:val="00DD6809"/>
    <w:rsid w:val="00DD7E83"/>
    <w:rsid w:val="00DF2F66"/>
    <w:rsid w:val="00E044D2"/>
    <w:rsid w:val="00E0461C"/>
    <w:rsid w:val="00E16C2A"/>
    <w:rsid w:val="00E2419B"/>
    <w:rsid w:val="00E2570D"/>
    <w:rsid w:val="00E415D5"/>
    <w:rsid w:val="00E47928"/>
    <w:rsid w:val="00E50399"/>
    <w:rsid w:val="00E60330"/>
    <w:rsid w:val="00E60839"/>
    <w:rsid w:val="00E713C8"/>
    <w:rsid w:val="00E75478"/>
    <w:rsid w:val="00E84096"/>
    <w:rsid w:val="00E85F4C"/>
    <w:rsid w:val="00E91E36"/>
    <w:rsid w:val="00E957DA"/>
    <w:rsid w:val="00EB21D0"/>
    <w:rsid w:val="00EC05CE"/>
    <w:rsid w:val="00EC4E47"/>
    <w:rsid w:val="00EF6C5E"/>
    <w:rsid w:val="00F01E31"/>
    <w:rsid w:val="00F07585"/>
    <w:rsid w:val="00F2024E"/>
    <w:rsid w:val="00F21993"/>
    <w:rsid w:val="00F22155"/>
    <w:rsid w:val="00F31B57"/>
    <w:rsid w:val="00F40DCC"/>
    <w:rsid w:val="00F421F2"/>
    <w:rsid w:val="00F439BA"/>
    <w:rsid w:val="00F54BF2"/>
    <w:rsid w:val="00F579B6"/>
    <w:rsid w:val="00F634F8"/>
    <w:rsid w:val="00F85CFC"/>
    <w:rsid w:val="00F945EE"/>
    <w:rsid w:val="00FA38CF"/>
    <w:rsid w:val="00FC5263"/>
    <w:rsid w:val="00FC53A8"/>
    <w:rsid w:val="00FE71FA"/>
    <w:rsid w:val="00FF4734"/>
    <w:rsid w:val="00FF614B"/>
    <w:rsid w:val="00FF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CEBB5"/>
  <w15:docId w15:val="{984D2491-7A3C-4BAC-BFBB-51E6258A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32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1"/>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21"/>
      <w:szCs w:val="21"/>
    </w:rPr>
  </w:style>
  <w:style w:type="character" w:styleId="LineNumber">
    <w:name w:val="line number"/>
    <w:basedOn w:val="DefaultParagraphFont"/>
    <w:uiPriority w:val="99"/>
    <w:semiHidden/>
    <w:unhideWhenUsed/>
    <w:rsid w:val="00835FF1"/>
  </w:style>
  <w:style w:type="paragraph" w:styleId="Revision">
    <w:name w:val="Revision"/>
    <w:hidden/>
    <w:uiPriority w:val="99"/>
    <w:semiHidden/>
    <w:rsid w:val="00835FF1"/>
    <w:pPr>
      <w:spacing w:line="240" w:lineRule="auto"/>
    </w:pPr>
  </w:style>
  <w:style w:type="paragraph" w:styleId="CommentSubject">
    <w:name w:val="annotation subject"/>
    <w:basedOn w:val="CommentText"/>
    <w:next w:val="CommentText"/>
    <w:link w:val="CommentSubjectChar"/>
    <w:uiPriority w:val="99"/>
    <w:semiHidden/>
    <w:unhideWhenUsed/>
    <w:rsid w:val="005D2D5A"/>
    <w:rPr>
      <w:b/>
      <w:bCs/>
    </w:rPr>
  </w:style>
  <w:style w:type="character" w:customStyle="1" w:styleId="CommentSubjectChar">
    <w:name w:val="Comment Subject Char"/>
    <w:basedOn w:val="CommentTextChar"/>
    <w:link w:val="CommentSubject"/>
    <w:uiPriority w:val="99"/>
    <w:semiHidden/>
    <w:rsid w:val="005D2D5A"/>
    <w:rPr>
      <w:b/>
      <w:bCs/>
    </w:rPr>
  </w:style>
  <w:style w:type="paragraph" w:styleId="NormalWeb">
    <w:name w:val="Normal (Web)"/>
    <w:basedOn w:val="Normal"/>
    <w:uiPriority w:val="99"/>
    <w:semiHidden/>
    <w:unhideWhenUsed/>
    <w:rsid w:val="0069289C"/>
    <w:rPr>
      <w:rFonts w:ascii="Times New Roman" w:hAnsi="Times New Roman" w:cs="Times New Roman"/>
      <w:sz w:val="24"/>
      <w:szCs w:val="24"/>
    </w:rPr>
  </w:style>
  <w:style w:type="paragraph" w:styleId="Bibliography">
    <w:name w:val="Bibliography"/>
    <w:basedOn w:val="Normal"/>
    <w:next w:val="Normal"/>
    <w:uiPriority w:val="37"/>
    <w:unhideWhenUsed/>
    <w:rsid w:val="00275D16"/>
    <w:pPr>
      <w:tabs>
        <w:tab w:val="left" w:pos="384"/>
      </w:tabs>
      <w:spacing w:line="480" w:lineRule="auto"/>
      <w:ind w:left="384" w:hanging="384"/>
    </w:pPr>
  </w:style>
  <w:style w:type="character" w:styleId="Hyperlink">
    <w:name w:val="Hyperlink"/>
    <w:basedOn w:val="DefaultParagraphFont"/>
    <w:uiPriority w:val="99"/>
    <w:unhideWhenUsed/>
    <w:rsid w:val="004B7830"/>
    <w:rPr>
      <w:color w:val="0000FF" w:themeColor="hyperlink"/>
      <w:u w:val="single"/>
    </w:rPr>
  </w:style>
  <w:style w:type="character" w:styleId="UnresolvedMention">
    <w:name w:val="Unresolved Mention"/>
    <w:basedOn w:val="DefaultParagraphFont"/>
    <w:uiPriority w:val="99"/>
    <w:semiHidden/>
    <w:unhideWhenUsed/>
    <w:rsid w:val="004B7830"/>
    <w:rPr>
      <w:color w:val="605E5C"/>
      <w:shd w:val="clear" w:color="auto" w:fill="E1DFDD"/>
    </w:rPr>
  </w:style>
  <w:style w:type="paragraph" w:styleId="Header">
    <w:name w:val="header"/>
    <w:basedOn w:val="Normal"/>
    <w:link w:val="HeaderChar"/>
    <w:uiPriority w:val="99"/>
    <w:unhideWhenUsed/>
    <w:rsid w:val="00750FA0"/>
    <w:pPr>
      <w:tabs>
        <w:tab w:val="center" w:pos="4680"/>
        <w:tab w:val="right" w:pos="9360"/>
      </w:tabs>
      <w:spacing w:line="240" w:lineRule="auto"/>
    </w:pPr>
  </w:style>
  <w:style w:type="character" w:customStyle="1" w:styleId="HeaderChar">
    <w:name w:val="Header Char"/>
    <w:basedOn w:val="DefaultParagraphFont"/>
    <w:link w:val="Header"/>
    <w:uiPriority w:val="99"/>
    <w:rsid w:val="00750FA0"/>
  </w:style>
  <w:style w:type="paragraph" w:styleId="Footer">
    <w:name w:val="footer"/>
    <w:basedOn w:val="Normal"/>
    <w:link w:val="FooterChar"/>
    <w:uiPriority w:val="99"/>
    <w:unhideWhenUsed/>
    <w:rsid w:val="00750FA0"/>
    <w:pPr>
      <w:tabs>
        <w:tab w:val="center" w:pos="4680"/>
        <w:tab w:val="right" w:pos="9360"/>
      </w:tabs>
      <w:spacing w:line="240" w:lineRule="auto"/>
    </w:pPr>
  </w:style>
  <w:style w:type="character" w:customStyle="1" w:styleId="FooterChar">
    <w:name w:val="Footer Char"/>
    <w:basedOn w:val="DefaultParagraphFont"/>
    <w:link w:val="Footer"/>
    <w:uiPriority w:val="99"/>
    <w:rsid w:val="00750FA0"/>
  </w:style>
  <w:style w:type="table" w:styleId="PlainTable5">
    <w:name w:val="Plain Table 5"/>
    <w:basedOn w:val="TableNormal"/>
    <w:uiPriority w:val="45"/>
    <w:rsid w:val="00B62F0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B62F0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B62F0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9121">
      <w:bodyDiv w:val="1"/>
      <w:marLeft w:val="0"/>
      <w:marRight w:val="0"/>
      <w:marTop w:val="0"/>
      <w:marBottom w:val="0"/>
      <w:divBdr>
        <w:top w:val="none" w:sz="0" w:space="0" w:color="auto"/>
        <w:left w:val="none" w:sz="0" w:space="0" w:color="auto"/>
        <w:bottom w:val="none" w:sz="0" w:space="0" w:color="auto"/>
        <w:right w:val="none" w:sz="0" w:space="0" w:color="auto"/>
      </w:divBdr>
      <w:divsChild>
        <w:div w:id="251934841">
          <w:marLeft w:val="0"/>
          <w:marRight w:val="0"/>
          <w:marTop w:val="0"/>
          <w:marBottom w:val="0"/>
          <w:divBdr>
            <w:top w:val="none" w:sz="0" w:space="0" w:color="auto"/>
            <w:left w:val="none" w:sz="0" w:space="0" w:color="auto"/>
            <w:bottom w:val="none" w:sz="0" w:space="0" w:color="auto"/>
            <w:right w:val="none" w:sz="0" w:space="0" w:color="auto"/>
          </w:divBdr>
          <w:divsChild>
            <w:div w:id="1241602805">
              <w:marLeft w:val="0"/>
              <w:marRight w:val="0"/>
              <w:marTop w:val="0"/>
              <w:marBottom w:val="0"/>
              <w:divBdr>
                <w:top w:val="none" w:sz="0" w:space="0" w:color="auto"/>
                <w:left w:val="none" w:sz="0" w:space="0" w:color="auto"/>
                <w:bottom w:val="none" w:sz="0" w:space="0" w:color="auto"/>
                <w:right w:val="none" w:sz="0" w:space="0" w:color="auto"/>
              </w:divBdr>
              <w:divsChild>
                <w:div w:id="1308701872">
                  <w:marLeft w:val="0"/>
                  <w:marRight w:val="0"/>
                  <w:marTop w:val="0"/>
                  <w:marBottom w:val="0"/>
                  <w:divBdr>
                    <w:top w:val="none" w:sz="0" w:space="0" w:color="auto"/>
                    <w:left w:val="none" w:sz="0" w:space="0" w:color="auto"/>
                    <w:bottom w:val="none" w:sz="0" w:space="0" w:color="auto"/>
                    <w:right w:val="none" w:sz="0" w:space="0" w:color="auto"/>
                  </w:divBdr>
                  <w:divsChild>
                    <w:div w:id="996492882">
                      <w:marLeft w:val="0"/>
                      <w:marRight w:val="0"/>
                      <w:marTop w:val="0"/>
                      <w:marBottom w:val="0"/>
                      <w:divBdr>
                        <w:top w:val="none" w:sz="0" w:space="0" w:color="auto"/>
                        <w:left w:val="none" w:sz="0" w:space="0" w:color="auto"/>
                        <w:bottom w:val="none" w:sz="0" w:space="0" w:color="auto"/>
                        <w:right w:val="none" w:sz="0" w:space="0" w:color="auto"/>
                      </w:divBdr>
                      <w:divsChild>
                        <w:div w:id="587736218">
                          <w:marLeft w:val="0"/>
                          <w:marRight w:val="0"/>
                          <w:marTop w:val="0"/>
                          <w:marBottom w:val="0"/>
                          <w:divBdr>
                            <w:top w:val="none" w:sz="0" w:space="0" w:color="auto"/>
                            <w:left w:val="none" w:sz="0" w:space="0" w:color="auto"/>
                            <w:bottom w:val="none" w:sz="0" w:space="0" w:color="auto"/>
                            <w:right w:val="none" w:sz="0" w:space="0" w:color="auto"/>
                          </w:divBdr>
                          <w:divsChild>
                            <w:div w:id="579100880">
                              <w:marLeft w:val="0"/>
                              <w:marRight w:val="0"/>
                              <w:marTop w:val="0"/>
                              <w:marBottom w:val="0"/>
                              <w:divBdr>
                                <w:top w:val="none" w:sz="0" w:space="0" w:color="auto"/>
                                <w:left w:val="none" w:sz="0" w:space="0" w:color="auto"/>
                                <w:bottom w:val="none" w:sz="0" w:space="0" w:color="auto"/>
                                <w:right w:val="none" w:sz="0" w:space="0" w:color="auto"/>
                              </w:divBdr>
                              <w:divsChild>
                                <w:div w:id="1472282933">
                                  <w:marLeft w:val="0"/>
                                  <w:marRight w:val="0"/>
                                  <w:marTop w:val="0"/>
                                  <w:marBottom w:val="0"/>
                                  <w:divBdr>
                                    <w:top w:val="none" w:sz="0" w:space="0" w:color="auto"/>
                                    <w:left w:val="none" w:sz="0" w:space="0" w:color="auto"/>
                                    <w:bottom w:val="none" w:sz="0" w:space="0" w:color="auto"/>
                                    <w:right w:val="none" w:sz="0" w:space="0" w:color="auto"/>
                                  </w:divBdr>
                                  <w:divsChild>
                                    <w:div w:id="3328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76168">
      <w:bodyDiv w:val="1"/>
      <w:marLeft w:val="0"/>
      <w:marRight w:val="0"/>
      <w:marTop w:val="0"/>
      <w:marBottom w:val="0"/>
      <w:divBdr>
        <w:top w:val="none" w:sz="0" w:space="0" w:color="auto"/>
        <w:left w:val="none" w:sz="0" w:space="0" w:color="auto"/>
        <w:bottom w:val="none" w:sz="0" w:space="0" w:color="auto"/>
        <w:right w:val="none" w:sz="0" w:space="0" w:color="auto"/>
      </w:divBdr>
    </w:div>
    <w:div w:id="219245387">
      <w:bodyDiv w:val="1"/>
      <w:marLeft w:val="0"/>
      <w:marRight w:val="0"/>
      <w:marTop w:val="0"/>
      <w:marBottom w:val="0"/>
      <w:divBdr>
        <w:top w:val="none" w:sz="0" w:space="0" w:color="auto"/>
        <w:left w:val="none" w:sz="0" w:space="0" w:color="auto"/>
        <w:bottom w:val="none" w:sz="0" w:space="0" w:color="auto"/>
        <w:right w:val="none" w:sz="0" w:space="0" w:color="auto"/>
      </w:divBdr>
    </w:div>
    <w:div w:id="228535704">
      <w:bodyDiv w:val="1"/>
      <w:marLeft w:val="0"/>
      <w:marRight w:val="0"/>
      <w:marTop w:val="0"/>
      <w:marBottom w:val="0"/>
      <w:divBdr>
        <w:top w:val="none" w:sz="0" w:space="0" w:color="auto"/>
        <w:left w:val="none" w:sz="0" w:space="0" w:color="auto"/>
        <w:bottom w:val="none" w:sz="0" w:space="0" w:color="auto"/>
        <w:right w:val="none" w:sz="0" w:space="0" w:color="auto"/>
      </w:divBdr>
    </w:div>
    <w:div w:id="390881978">
      <w:bodyDiv w:val="1"/>
      <w:marLeft w:val="0"/>
      <w:marRight w:val="0"/>
      <w:marTop w:val="0"/>
      <w:marBottom w:val="0"/>
      <w:divBdr>
        <w:top w:val="none" w:sz="0" w:space="0" w:color="auto"/>
        <w:left w:val="none" w:sz="0" w:space="0" w:color="auto"/>
        <w:bottom w:val="none" w:sz="0" w:space="0" w:color="auto"/>
        <w:right w:val="none" w:sz="0" w:space="0" w:color="auto"/>
      </w:divBdr>
    </w:div>
    <w:div w:id="421994985">
      <w:bodyDiv w:val="1"/>
      <w:marLeft w:val="0"/>
      <w:marRight w:val="0"/>
      <w:marTop w:val="0"/>
      <w:marBottom w:val="0"/>
      <w:divBdr>
        <w:top w:val="none" w:sz="0" w:space="0" w:color="auto"/>
        <w:left w:val="none" w:sz="0" w:space="0" w:color="auto"/>
        <w:bottom w:val="none" w:sz="0" w:space="0" w:color="auto"/>
        <w:right w:val="none" w:sz="0" w:space="0" w:color="auto"/>
      </w:divBdr>
    </w:div>
    <w:div w:id="440226213">
      <w:bodyDiv w:val="1"/>
      <w:marLeft w:val="0"/>
      <w:marRight w:val="0"/>
      <w:marTop w:val="0"/>
      <w:marBottom w:val="0"/>
      <w:divBdr>
        <w:top w:val="none" w:sz="0" w:space="0" w:color="auto"/>
        <w:left w:val="none" w:sz="0" w:space="0" w:color="auto"/>
        <w:bottom w:val="none" w:sz="0" w:space="0" w:color="auto"/>
        <w:right w:val="none" w:sz="0" w:space="0" w:color="auto"/>
      </w:divBdr>
    </w:div>
    <w:div w:id="463430833">
      <w:bodyDiv w:val="1"/>
      <w:marLeft w:val="0"/>
      <w:marRight w:val="0"/>
      <w:marTop w:val="0"/>
      <w:marBottom w:val="0"/>
      <w:divBdr>
        <w:top w:val="none" w:sz="0" w:space="0" w:color="auto"/>
        <w:left w:val="none" w:sz="0" w:space="0" w:color="auto"/>
        <w:bottom w:val="none" w:sz="0" w:space="0" w:color="auto"/>
        <w:right w:val="none" w:sz="0" w:space="0" w:color="auto"/>
      </w:divBdr>
      <w:divsChild>
        <w:div w:id="542790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136827">
      <w:bodyDiv w:val="1"/>
      <w:marLeft w:val="0"/>
      <w:marRight w:val="0"/>
      <w:marTop w:val="0"/>
      <w:marBottom w:val="0"/>
      <w:divBdr>
        <w:top w:val="none" w:sz="0" w:space="0" w:color="auto"/>
        <w:left w:val="none" w:sz="0" w:space="0" w:color="auto"/>
        <w:bottom w:val="none" w:sz="0" w:space="0" w:color="auto"/>
        <w:right w:val="none" w:sz="0" w:space="0" w:color="auto"/>
      </w:divBdr>
    </w:div>
    <w:div w:id="480973308">
      <w:bodyDiv w:val="1"/>
      <w:marLeft w:val="0"/>
      <w:marRight w:val="0"/>
      <w:marTop w:val="0"/>
      <w:marBottom w:val="0"/>
      <w:divBdr>
        <w:top w:val="none" w:sz="0" w:space="0" w:color="auto"/>
        <w:left w:val="none" w:sz="0" w:space="0" w:color="auto"/>
        <w:bottom w:val="none" w:sz="0" w:space="0" w:color="auto"/>
        <w:right w:val="none" w:sz="0" w:space="0" w:color="auto"/>
      </w:divBdr>
    </w:div>
    <w:div w:id="496775402">
      <w:bodyDiv w:val="1"/>
      <w:marLeft w:val="0"/>
      <w:marRight w:val="0"/>
      <w:marTop w:val="0"/>
      <w:marBottom w:val="0"/>
      <w:divBdr>
        <w:top w:val="none" w:sz="0" w:space="0" w:color="auto"/>
        <w:left w:val="none" w:sz="0" w:space="0" w:color="auto"/>
        <w:bottom w:val="none" w:sz="0" w:space="0" w:color="auto"/>
        <w:right w:val="none" w:sz="0" w:space="0" w:color="auto"/>
      </w:divBdr>
    </w:div>
    <w:div w:id="555362634">
      <w:bodyDiv w:val="1"/>
      <w:marLeft w:val="0"/>
      <w:marRight w:val="0"/>
      <w:marTop w:val="0"/>
      <w:marBottom w:val="0"/>
      <w:divBdr>
        <w:top w:val="none" w:sz="0" w:space="0" w:color="auto"/>
        <w:left w:val="none" w:sz="0" w:space="0" w:color="auto"/>
        <w:bottom w:val="none" w:sz="0" w:space="0" w:color="auto"/>
        <w:right w:val="none" w:sz="0" w:space="0" w:color="auto"/>
      </w:divBdr>
    </w:div>
    <w:div w:id="566261662">
      <w:bodyDiv w:val="1"/>
      <w:marLeft w:val="0"/>
      <w:marRight w:val="0"/>
      <w:marTop w:val="0"/>
      <w:marBottom w:val="0"/>
      <w:divBdr>
        <w:top w:val="none" w:sz="0" w:space="0" w:color="auto"/>
        <w:left w:val="none" w:sz="0" w:space="0" w:color="auto"/>
        <w:bottom w:val="none" w:sz="0" w:space="0" w:color="auto"/>
        <w:right w:val="none" w:sz="0" w:space="0" w:color="auto"/>
      </w:divBdr>
    </w:div>
    <w:div w:id="604847859">
      <w:bodyDiv w:val="1"/>
      <w:marLeft w:val="0"/>
      <w:marRight w:val="0"/>
      <w:marTop w:val="0"/>
      <w:marBottom w:val="0"/>
      <w:divBdr>
        <w:top w:val="none" w:sz="0" w:space="0" w:color="auto"/>
        <w:left w:val="none" w:sz="0" w:space="0" w:color="auto"/>
        <w:bottom w:val="none" w:sz="0" w:space="0" w:color="auto"/>
        <w:right w:val="none" w:sz="0" w:space="0" w:color="auto"/>
      </w:divBdr>
    </w:div>
    <w:div w:id="625087375">
      <w:bodyDiv w:val="1"/>
      <w:marLeft w:val="0"/>
      <w:marRight w:val="0"/>
      <w:marTop w:val="0"/>
      <w:marBottom w:val="0"/>
      <w:divBdr>
        <w:top w:val="none" w:sz="0" w:space="0" w:color="auto"/>
        <w:left w:val="none" w:sz="0" w:space="0" w:color="auto"/>
        <w:bottom w:val="none" w:sz="0" w:space="0" w:color="auto"/>
        <w:right w:val="none" w:sz="0" w:space="0" w:color="auto"/>
      </w:divBdr>
    </w:div>
    <w:div w:id="634063661">
      <w:bodyDiv w:val="1"/>
      <w:marLeft w:val="0"/>
      <w:marRight w:val="0"/>
      <w:marTop w:val="0"/>
      <w:marBottom w:val="0"/>
      <w:divBdr>
        <w:top w:val="none" w:sz="0" w:space="0" w:color="auto"/>
        <w:left w:val="none" w:sz="0" w:space="0" w:color="auto"/>
        <w:bottom w:val="none" w:sz="0" w:space="0" w:color="auto"/>
        <w:right w:val="none" w:sz="0" w:space="0" w:color="auto"/>
      </w:divBdr>
    </w:div>
    <w:div w:id="670371469">
      <w:bodyDiv w:val="1"/>
      <w:marLeft w:val="0"/>
      <w:marRight w:val="0"/>
      <w:marTop w:val="0"/>
      <w:marBottom w:val="0"/>
      <w:divBdr>
        <w:top w:val="none" w:sz="0" w:space="0" w:color="auto"/>
        <w:left w:val="none" w:sz="0" w:space="0" w:color="auto"/>
        <w:bottom w:val="none" w:sz="0" w:space="0" w:color="auto"/>
        <w:right w:val="none" w:sz="0" w:space="0" w:color="auto"/>
      </w:divBdr>
    </w:div>
    <w:div w:id="716317346">
      <w:bodyDiv w:val="1"/>
      <w:marLeft w:val="0"/>
      <w:marRight w:val="0"/>
      <w:marTop w:val="0"/>
      <w:marBottom w:val="0"/>
      <w:divBdr>
        <w:top w:val="none" w:sz="0" w:space="0" w:color="auto"/>
        <w:left w:val="none" w:sz="0" w:space="0" w:color="auto"/>
        <w:bottom w:val="none" w:sz="0" w:space="0" w:color="auto"/>
        <w:right w:val="none" w:sz="0" w:space="0" w:color="auto"/>
      </w:divBdr>
    </w:div>
    <w:div w:id="719136985">
      <w:bodyDiv w:val="1"/>
      <w:marLeft w:val="0"/>
      <w:marRight w:val="0"/>
      <w:marTop w:val="0"/>
      <w:marBottom w:val="0"/>
      <w:divBdr>
        <w:top w:val="none" w:sz="0" w:space="0" w:color="auto"/>
        <w:left w:val="none" w:sz="0" w:space="0" w:color="auto"/>
        <w:bottom w:val="none" w:sz="0" w:space="0" w:color="auto"/>
        <w:right w:val="none" w:sz="0" w:space="0" w:color="auto"/>
      </w:divBdr>
    </w:div>
    <w:div w:id="891648405">
      <w:bodyDiv w:val="1"/>
      <w:marLeft w:val="0"/>
      <w:marRight w:val="0"/>
      <w:marTop w:val="0"/>
      <w:marBottom w:val="0"/>
      <w:divBdr>
        <w:top w:val="none" w:sz="0" w:space="0" w:color="auto"/>
        <w:left w:val="none" w:sz="0" w:space="0" w:color="auto"/>
        <w:bottom w:val="none" w:sz="0" w:space="0" w:color="auto"/>
        <w:right w:val="none" w:sz="0" w:space="0" w:color="auto"/>
      </w:divBdr>
    </w:div>
    <w:div w:id="1032001791">
      <w:bodyDiv w:val="1"/>
      <w:marLeft w:val="0"/>
      <w:marRight w:val="0"/>
      <w:marTop w:val="0"/>
      <w:marBottom w:val="0"/>
      <w:divBdr>
        <w:top w:val="none" w:sz="0" w:space="0" w:color="auto"/>
        <w:left w:val="none" w:sz="0" w:space="0" w:color="auto"/>
        <w:bottom w:val="none" w:sz="0" w:space="0" w:color="auto"/>
        <w:right w:val="none" w:sz="0" w:space="0" w:color="auto"/>
      </w:divBdr>
    </w:div>
    <w:div w:id="1044989077">
      <w:bodyDiv w:val="1"/>
      <w:marLeft w:val="0"/>
      <w:marRight w:val="0"/>
      <w:marTop w:val="0"/>
      <w:marBottom w:val="0"/>
      <w:divBdr>
        <w:top w:val="none" w:sz="0" w:space="0" w:color="auto"/>
        <w:left w:val="none" w:sz="0" w:space="0" w:color="auto"/>
        <w:bottom w:val="none" w:sz="0" w:space="0" w:color="auto"/>
        <w:right w:val="none" w:sz="0" w:space="0" w:color="auto"/>
      </w:divBdr>
    </w:div>
    <w:div w:id="1045106408">
      <w:bodyDiv w:val="1"/>
      <w:marLeft w:val="0"/>
      <w:marRight w:val="0"/>
      <w:marTop w:val="0"/>
      <w:marBottom w:val="0"/>
      <w:divBdr>
        <w:top w:val="none" w:sz="0" w:space="0" w:color="auto"/>
        <w:left w:val="none" w:sz="0" w:space="0" w:color="auto"/>
        <w:bottom w:val="none" w:sz="0" w:space="0" w:color="auto"/>
        <w:right w:val="none" w:sz="0" w:space="0" w:color="auto"/>
      </w:divBdr>
    </w:div>
    <w:div w:id="1068765221">
      <w:bodyDiv w:val="1"/>
      <w:marLeft w:val="0"/>
      <w:marRight w:val="0"/>
      <w:marTop w:val="0"/>
      <w:marBottom w:val="0"/>
      <w:divBdr>
        <w:top w:val="none" w:sz="0" w:space="0" w:color="auto"/>
        <w:left w:val="none" w:sz="0" w:space="0" w:color="auto"/>
        <w:bottom w:val="none" w:sz="0" w:space="0" w:color="auto"/>
        <w:right w:val="none" w:sz="0" w:space="0" w:color="auto"/>
      </w:divBdr>
    </w:div>
    <w:div w:id="1086682237">
      <w:bodyDiv w:val="1"/>
      <w:marLeft w:val="0"/>
      <w:marRight w:val="0"/>
      <w:marTop w:val="0"/>
      <w:marBottom w:val="0"/>
      <w:divBdr>
        <w:top w:val="none" w:sz="0" w:space="0" w:color="auto"/>
        <w:left w:val="none" w:sz="0" w:space="0" w:color="auto"/>
        <w:bottom w:val="none" w:sz="0" w:space="0" w:color="auto"/>
        <w:right w:val="none" w:sz="0" w:space="0" w:color="auto"/>
      </w:divBdr>
    </w:div>
    <w:div w:id="1126580603">
      <w:bodyDiv w:val="1"/>
      <w:marLeft w:val="0"/>
      <w:marRight w:val="0"/>
      <w:marTop w:val="0"/>
      <w:marBottom w:val="0"/>
      <w:divBdr>
        <w:top w:val="none" w:sz="0" w:space="0" w:color="auto"/>
        <w:left w:val="none" w:sz="0" w:space="0" w:color="auto"/>
        <w:bottom w:val="none" w:sz="0" w:space="0" w:color="auto"/>
        <w:right w:val="none" w:sz="0" w:space="0" w:color="auto"/>
      </w:divBdr>
    </w:div>
    <w:div w:id="1170411152">
      <w:bodyDiv w:val="1"/>
      <w:marLeft w:val="0"/>
      <w:marRight w:val="0"/>
      <w:marTop w:val="0"/>
      <w:marBottom w:val="0"/>
      <w:divBdr>
        <w:top w:val="none" w:sz="0" w:space="0" w:color="auto"/>
        <w:left w:val="none" w:sz="0" w:space="0" w:color="auto"/>
        <w:bottom w:val="none" w:sz="0" w:space="0" w:color="auto"/>
        <w:right w:val="none" w:sz="0" w:space="0" w:color="auto"/>
      </w:divBdr>
    </w:div>
    <w:div w:id="1232234824">
      <w:bodyDiv w:val="1"/>
      <w:marLeft w:val="0"/>
      <w:marRight w:val="0"/>
      <w:marTop w:val="0"/>
      <w:marBottom w:val="0"/>
      <w:divBdr>
        <w:top w:val="none" w:sz="0" w:space="0" w:color="auto"/>
        <w:left w:val="none" w:sz="0" w:space="0" w:color="auto"/>
        <w:bottom w:val="none" w:sz="0" w:space="0" w:color="auto"/>
        <w:right w:val="none" w:sz="0" w:space="0" w:color="auto"/>
      </w:divBdr>
    </w:div>
    <w:div w:id="1309942380">
      <w:bodyDiv w:val="1"/>
      <w:marLeft w:val="0"/>
      <w:marRight w:val="0"/>
      <w:marTop w:val="0"/>
      <w:marBottom w:val="0"/>
      <w:divBdr>
        <w:top w:val="none" w:sz="0" w:space="0" w:color="auto"/>
        <w:left w:val="none" w:sz="0" w:space="0" w:color="auto"/>
        <w:bottom w:val="none" w:sz="0" w:space="0" w:color="auto"/>
        <w:right w:val="none" w:sz="0" w:space="0" w:color="auto"/>
      </w:divBdr>
    </w:div>
    <w:div w:id="1326713449">
      <w:bodyDiv w:val="1"/>
      <w:marLeft w:val="0"/>
      <w:marRight w:val="0"/>
      <w:marTop w:val="0"/>
      <w:marBottom w:val="0"/>
      <w:divBdr>
        <w:top w:val="none" w:sz="0" w:space="0" w:color="auto"/>
        <w:left w:val="none" w:sz="0" w:space="0" w:color="auto"/>
        <w:bottom w:val="none" w:sz="0" w:space="0" w:color="auto"/>
        <w:right w:val="none" w:sz="0" w:space="0" w:color="auto"/>
      </w:divBdr>
    </w:div>
    <w:div w:id="1337463173">
      <w:bodyDiv w:val="1"/>
      <w:marLeft w:val="0"/>
      <w:marRight w:val="0"/>
      <w:marTop w:val="0"/>
      <w:marBottom w:val="0"/>
      <w:divBdr>
        <w:top w:val="none" w:sz="0" w:space="0" w:color="auto"/>
        <w:left w:val="none" w:sz="0" w:space="0" w:color="auto"/>
        <w:bottom w:val="none" w:sz="0" w:space="0" w:color="auto"/>
        <w:right w:val="none" w:sz="0" w:space="0" w:color="auto"/>
      </w:divBdr>
    </w:div>
    <w:div w:id="1363165218">
      <w:bodyDiv w:val="1"/>
      <w:marLeft w:val="0"/>
      <w:marRight w:val="0"/>
      <w:marTop w:val="0"/>
      <w:marBottom w:val="0"/>
      <w:divBdr>
        <w:top w:val="none" w:sz="0" w:space="0" w:color="auto"/>
        <w:left w:val="none" w:sz="0" w:space="0" w:color="auto"/>
        <w:bottom w:val="none" w:sz="0" w:space="0" w:color="auto"/>
        <w:right w:val="none" w:sz="0" w:space="0" w:color="auto"/>
      </w:divBdr>
      <w:divsChild>
        <w:div w:id="1445081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404147">
      <w:bodyDiv w:val="1"/>
      <w:marLeft w:val="0"/>
      <w:marRight w:val="0"/>
      <w:marTop w:val="0"/>
      <w:marBottom w:val="0"/>
      <w:divBdr>
        <w:top w:val="none" w:sz="0" w:space="0" w:color="auto"/>
        <w:left w:val="none" w:sz="0" w:space="0" w:color="auto"/>
        <w:bottom w:val="none" w:sz="0" w:space="0" w:color="auto"/>
        <w:right w:val="none" w:sz="0" w:space="0" w:color="auto"/>
      </w:divBdr>
      <w:divsChild>
        <w:div w:id="1675840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299048">
      <w:bodyDiv w:val="1"/>
      <w:marLeft w:val="0"/>
      <w:marRight w:val="0"/>
      <w:marTop w:val="0"/>
      <w:marBottom w:val="0"/>
      <w:divBdr>
        <w:top w:val="none" w:sz="0" w:space="0" w:color="auto"/>
        <w:left w:val="none" w:sz="0" w:space="0" w:color="auto"/>
        <w:bottom w:val="none" w:sz="0" w:space="0" w:color="auto"/>
        <w:right w:val="none" w:sz="0" w:space="0" w:color="auto"/>
      </w:divBdr>
      <w:divsChild>
        <w:div w:id="121388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395190">
      <w:bodyDiv w:val="1"/>
      <w:marLeft w:val="0"/>
      <w:marRight w:val="0"/>
      <w:marTop w:val="0"/>
      <w:marBottom w:val="0"/>
      <w:divBdr>
        <w:top w:val="none" w:sz="0" w:space="0" w:color="auto"/>
        <w:left w:val="none" w:sz="0" w:space="0" w:color="auto"/>
        <w:bottom w:val="none" w:sz="0" w:space="0" w:color="auto"/>
        <w:right w:val="none" w:sz="0" w:space="0" w:color="auto"/>
      </w:divBdr>
    </w:div>
    <w:div w:id="1473057154">
      <w:bodyDiv w:val="1"/>
      <w:marLeft w:val="0"/>
      <w:marRight w:val="0"/>
      <w:marTop w:val="0"/>
      <w:marBottom w:val="0"/>
      <w:divBdr>
        <w:top w:val="none" w:sz="0" w:space="0" w:color="auto"/>
        <w:left w:val="none" w:sz="0" w:space="0" w:color="auto"/>
        <w:bottom w:val="none" w:sz="0" w:space="0" w:color="auto"/>
        <w:right w:val="none" w:sz="0" w:space="0" w:color="auto"/>
      </w:divBdr>
    </w:div>
    <w:div w:id="1500850021">
      <w:bodyDiv w:val="1"/>
      <w:marLeft w:val="0"/>
      <w:marRight w:val="0"/>
      <w:marTop w:val="0"/>
      <w:marBottom w:val="0"/>
      <w:divBdr>
        <w:top w:val="none" w:sz="0" w:space="0" w:color="auto"/>
        <w:left w:val="none" w:sz="0" w:space="0" w:color="auto"/>
        <w:bottom w:val="none" w:sz="0" w:space="0" w:color="auto"/>
        <w:right w:val="none" w:sz="0" w:space="0" w:color="auto"/>
      </w:divBdr>
    </w:div>
    <w:div w:id="1520970247">
      <w:bodyDiv w:val="1"/>
      <w:marLeft w:val="0"/>
      <w:marRight w:val="0"/>
      <w:marTop w:val="0"/>
      <w:marBottom w:val="0"/>
      <w:divBdr>
        <w:top w:val="none" w:sz="0" w:space="0" w:color="auto"/>
        <w:left w:val="none" w:sz="0" w:space="0" w:color="auto"/>
        <w:bottom w:val="none" w:sz="0" w:space="0" w:color="auto"/>
        <w:right w:val="none" w:sz="0" w:space="0" w:color="auto"/>
      </w:divBdr>
    </w:div>
    <w:div w:id="1540699373">
      <w:bodyDiv w:val="1"/>
      <w:marLeft w:val="0"/>
      <w:marRight w:val="0"/>
      <w:marTop w:val="0"/>
      <w:marBottom w:val="0"/>
      <w:divBdr>
        <w:top w:val="none" w:sz="0" w:space="0" w:color="auto"/>
        <w:left w:val="none" w:sz="0" w:space="0" w:color="auto"/>
        <w:bottom w:val="none" w:sz="0" w:space="0" w:color="auto"/>
        <w:right w:val="none" w:sz="0" w:space="0" w:color="auto"/>
      </w:divBdr>
      <w:divsChild>
        <w:div w:id="1236356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7626">
      <w:bodyDiv w:val="1"/>
      <w:marLeft w:val="0"/>
      <w:marRight w:val="0"/>
      <w:marTop w:val="0"/>
      <w:marBottom w:val="0"/>
      <w:divBdr>
        <w:top w:val="none" w:sz="0" w:space="0" w:color="auto"/>
        <w:left w:val="none" w:sz="0" w:space="0" w:color="auto"/>
        <w:bottom w:val="none" w:sz="0" w:space="0" w:color="auto"/>
        <w:right w:val="none" w:sz="0" w:space="0" w:color="auto"/>
      </w:divBdr>
    </w:div>
    <w:div w:id="1546865743">
      <w:bodyDiv w:val="1"/>
      <w:marLeft w:val="0"/>
      <w:marRight w:val="0"/>
      <w:marTop w:val="0"/>
      <w:marBottom w:val="0"/>
      <w:divBdr>
        <w:top w:val="none" w:sz="0" w:space="0" w:color="auto"/>
        <w:left w:val="none" w:sz="0" w:space="0" w:color="auto"/>
        <w:bottom w:val="none" w:sz="0" w:space="0" w:color="auto"/>
        <w:right w:val="none" w:sz="0" w:space="0" w:color="auto"/>
      </w:divBdr>
    </w:div>
    <w:div w:id="1589073242">
      <w:bodyDiv w:val="1"/>
      <w:marLeft w:val="0"/>
      <w:marRight w:val="0"/>
      <w:marTop w:val="0"/>
      <w:marBottom w:val="0"/>
      <w:divBdr>
        <w:top w:val="none" w:sz="0" w:space="0" w:color="auto"/>
        <w:left w:val="none" w:sz="0" w:space="0" w:color="auto"/>
        <w:bottom w:val="none" w:sz="0" w:space="0" w:color="auto"/>
        <w:right w:val="none" w:sz="0" w:space="0" w:color="auto"/>
      </w:divBdr>
      <w:divsChild>
        <w:div w:id="1339580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7225279">
      <w:bodyDiv w:val="1"/>
      <w:marLeft w:val="0"/>
      <w:marRight w:val="0"/>
      <w:marTop w:val="0"/>
      <w:marBottom w:val="0"/>
      <w:divBdr>
        <w:top w:val="none" w:sz="0" w:space="0" w:color="auto"/>
        <w:left w:val="none" w:sz="0" w:space="0" w:color="auto"/>
        <w:bottom w:val="none" w:sz="0" w:space="0" w:color="auto"/>
        <w:right w:val="none" w:sz="0" w:space="0" w:color="auto"/>
      </w:divBdr>
    </w:div>
    <w:div w:id="1635867217">
      <w:bodyDiv w:val="1"/>
      <w:marLeft w:val="0"/>
      <w:marRight w:val="0"/>
      <w:marTop w:val="0"/>
      <w:marBottom w:val="0"/>
      <w:divBdr>
        <w:top w:val="none" w:sz="0" w:space="0" w:color="auto"/>
        <w:left w:val="none" w:sz="0" w:space="0" w:color="auto"/>
        <w:bottom w:val="none" w:sz="0" w:space="0" w:color="auto"/>
        <w:right w:val="none" w:sz="0" w:space="0" w:color="auto"/>
      </w:divBdr>
    </w:div>
    <w:div w:id="1663049360">
      <w:bodyDiv w:val="1"/>
      <w:marLeft w:val="0"/>
      <w:marRight w:val="0"/>
      <w:marTop w:val="0"/>
      <w:marBottom w:val="0"/>
      <w:divBdr>
        <w:top w:val="none" w:sz="0" w:space="0" w:color="auto"/>
        <w:left w:val="none" w:sz="0" w:space="0" w:color="auto"/>
        <w:bottom w:val="none" w:sz="0" w:space="0" w:color="auto"/>
        <w:right w:val="none" w:sz="0" w:space="0" w:color="auto"/>
      </w:divBdr>
    </w:div>
    <w:div w:id="1713798145">
      <w:bodyDiv w:val="1"/>
      <w:marLeft w:val="0"/>
      <w:marRight w:val="0"/>
      <w:marTop w:val="0"/>
      <w:marBottom w:val="0"/>
      <w:divBdr>
        <w:top w:val="none" w:sz="0" w:space="0" w:color="auto"/>
        <w:left w:val="none" w:sz="0" w:space="0" w:color="auto"/>
        <w:bottom w:val="none" w:sz="0" w:space="0" w:color="auto"/>
        <w:right w:val="none" w:sz="0" w:space="0" w:color="auto"/>
      </w:divBdr>
    </w:div>
    <w:div w:id="1778673582">
      <w:bodyDiv w:val="1"/>
      <w:marLeft w:val="0"/>
      <w:marRight w:val="0"/>
      <w:marTop w:val="0"/>
      <w:marBottom w:val="0"/>
      <w:divBdr>
        <w:top w:val="none" w:sz="0" w:space="0" w:color="auto"/>
        <w:left w:val="none" w:sz="0" w:space="0" w:color="auto"/>
        <w:bottom w:val="none" w:sz="0" w:space="0" w:color="auto"/>
        <w:right w:val="none" w:sz="0" w:space="0" w:color="auto"/>
      </w:divBdr>
      <w:divsChild>
        <w:div w:id="895511445">
          <w:marLeft w:val="0"/>
          <w:marRight w:val="0"/>
          <w:marTop w:val="0"/>
          <w:marBottom w:val="0"/>
          <w:divBdr>
            <w:top w:val="none" w:sz="0" w:space="0" w:color="auto"/>
            <w:left w:val="none" w:sz="0" w:space="0" w:color="auto"/>
            <w:bottom w:val="none" w:sz="0" w:space="0" w:color="auto"/>
            <w:right w:val="none" w:sz="0" w:space="0" w:color="auto"/>
          </w:divBdr>
          <w:divsChild>
            <w:div w:id="932593957">
              <w:marLeft w:val="0"/>
              <w:marRight w:val="0"/>
              <w:marTop w:val="0"/>
              <w:marBottom w:val="0"/>
              <w:divBdr>
                <w:top w:val="none" w:sz="0" w:space="0" w:color="auto"/>
                <w:left w:val="none" w:sz="0" w:space="0" w:color="auto"/>
                <w:bottom w:val="none" w:sz="0" w:space="0" w:color="auto"/>
                <w:right w:val="none" w:sz="0" w:space="0" w:color="auto"/>
              </w:divBdr>
              <w:divsChild>
                <w:div w:id="1388912313">
                  <w:marLeft w:val="0"/>
                  <w:marRight w:val="0"/>
                  <w:marTop w:val="0"/>
                  <w:marBottom w:val="0"/>
                  <w:divBdr>
                    <w:top w:val="none" w:sz="0" w:space="0" w:color="auto"/>
                    <w:left w:val="none" w:sz="0" w:space="0" w:color="auto"/>
                    <w:bottom w:val="none" w:sz="0" w:space="0" w:color="auto"/>
                    <w:right w:val="none" w:sz="0" w:space="0" w:color="auto"/>
                  </w:divBdr>
                  <w:divsChild>
                    <w:div w:id="1003901006">
                      <w:marLeft w:val="0"/>
                      <w:marRight w:val="0"/>
                      <w:marTop w:val="0"/>
                      <w:marBottom w:val="0"/>
                      <w:divBdr>
                        <w:top w:val="none" w:sz="0" w:space="0" w:color="auto"/>
                        <w:left w:val="none" w:sz="0" w:space="0" w:color="auto"/>
                        <w:bottom w:val="none" w:sz="0" w:space="0" w:color="auto"/>
                        <w:right w:val="none" w:sz="0" w:space="0" w:color="auto"/>
                      </w:divBdr>
                      <w:divsChild>
                        <w:div w:id="1659308725">
                          <w:marLeft w:val="0"/>
                          <w:marRight w:val="0"/>
                          <w:marTop w:val="0"/>
                          <w:marBottom w:val="0"/>
                          <w:divBdr>
                            <w:top w:val="none" w:sz="0" w:space="0" w:color="auto"/>
                            <w:left w:val="none" w:sz="0" w:space="0" w:color="auto"/>
                            <w:bottom w:val="none" w:sz="0" w:space="0" w:color="auto"/>
                            <w:right w:val="none" w:sz="0" w:space="0" w:color="auto"/>
                          </w:divBdr>
                          <w:divsChild>
                            <w:div w:id="143619349">
                              <w:marLeft w:val="0"/>
                              <w:marRight w:val="0"/>
                              <w:marTop w:val="0"/>
                              <w:marBottom w:val="0"/>
                              <w:divBdr>
                                <w:top w:val="none" w:sz="0" w:space="0" w:color="auto"/>
                                <w:left w:val="none" w:sz="0" w:space="0" w:color="auto"/>
                                <w:bottom w:val="none" w:sz="0" w:space="0" w:color="auto"/>
                                <w:right w:val="none" w:sz="0" w:space="0" w:color="auto"/>
                              </w:divBdr>
                              <w:divsChild>
                                <w:div w:id="283081637">
                                  <w:marLeft w:val="0"/>
                                  <w:marRight w:val="0"/>
                                  <w:marTop w:val="0"/>
                                  <w:marBottom w:val="0"/>
                                  <w:divBdr>
                                    <w:top w:val="none" w:sz="0" w:space="0" w:color="auto"/>
                                    <w:left w:val="none" w:sz="0" w:space="0" w:color="auto"/>
                                    <w:bottom w:val="none" w:sz="0" w:space="0" w:color="auto"/>
                                    <w:right w:val="none" w:sz="0" w:space="0" w:color="auto"/>
                                  </w:divBdr>
                                  <w:divsChild>
                                    <w:div w:id="13530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470493">
      <w:bodyDiv w:val="1"/>
      <w:marLeft w:val="0"/>
      <w:marRight w:val="0"/>
      <w:marTop w:val="0"/>
      <w:marBottom w:val="0"/>
      <w:divBdr>
        <w:top w:val="none" w:sz="0" w:space="0" w:color="auto"/>
        <w:left w:val="none" w:sz="0" w:space="0" w:color="auto"/>
        <w:bottom w:val="none" w:sz="0" w:space="0" w:color="auto"/>
        <w:right w:val="none" w:sz="0" w:space="0" w:color="auto"/>
      </w:divBdr>
    </w:div>
    <w:div w:id="1849371997">
      <w:bodyDiv w:val="1"/>
      <w:marLeft w:val="0"/>
      <w:marRight w:val="0"/>
      <w:marTop w:val="0"/>
      <w:marBottom w:val="0"/>
      <w:divBdr>
        <w:top w:val="none" w:sz="0" w:space="0" w:color="auto"/>
        <w:left w:val="none" w:sz="0" w:space="0" w:color="auto"/>
        <w:bottom w:val="none" w:sz="0" w:space="0" w:color="auto"/>
        <w:right w:val="none" w:sz="0" w:space="0" w:color="auto"/>
      </w:divBdr>
    </w:div>
    <w:div w:id="1883247467">
      <w:bodyDiv w:val="1"/>
      <w:marLeft w:val="0"/>
      <w:marRight w:val="0"/>
      <w:marTop w:val="0"/>
      <w:marBottom w:val="0"/>
      <w:divBdr>
        <w:top w:val="none" w:sz="0" w:space="0" w:color="auto"/>
        <w:left w:val="none" w:sz="0" w:space="0" w:color="auto"/>
        <w:bottom w:val="none" w:sz="0" w:space="0" w:color="auto"/>
        <w:right w:val="none" w:sz="0" w:space="0" w:color="auto"/>
      </w:divBdr>
      <w:divsChild>
        <w:div w:id="1126043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858759">
      <w:bodyDiv w:val="1"/>
      <w:marLeft w:val="0"/>
      <w:marRight w:val="0"/>
      <w:marTop w:val="0"/>
      <w:marBottom w:val="0"/>
      <w:divBdr>
        <w:top w:val="none" w:sz="0" w:space="0" w:color="auto"/>
        <w:left w:val="none" w:sz="0" w:space="0" w:color="auto"/>
        <w:bottom w:val="none" w:sz="0" w:space="0" w:color="auto"/>
        <w:right w:val="none" w:sz="0" w:space="0" w:color="auto"/>
      </w:divBdr>
    </w:div>
    <w:div w:id="1966766230">
      <w:bodyDiv w:val="1"/>
      <w:marLeft w:val="0"/>
      <w:marRight w:val="0"/>
      <w:marTop w:val="0"/>
      <w:marBottom w:val="0"/>
      <w:divBdr>
        <w:top w:val="none" w:sz="0" w:space="0" w:color="auto"/>
        <w:left w:val="none" w:sz="0" w:space="0" w:color="auto"/>
        <w:bottom w:val="none" w:sz="0" w:space="0" w:color="auto"/>
        <w:right w:val="none" w:sz="0" w:space="0" w:color="auto"/>
      </w:divBdr>
    </w:div>
    <w:div w:id="1997420212">
      <w:bodyDiv w:val="1"/>
      <w:marLeft w:val="0"/>
      <w:marRight w:val="0"/>
      <w:marTop w:val="0"/>
      <w:marBottom w:val="0"/>
      <w:divBdr>
        <w:top w:val="none" w:sz="0" w:space="0" w:color="auto"/>
        <w:left w:val="none" w:sz="0" w:space="0" w:color="auto"/>
        <w:bottom w:val="none" w:sz="0" w:space="0" w:color="auto"/>
        <w:right w:val="none" w:sz="0" w:space="0" w:color="auto"/>
      </w:divBdr>
    </w:div>
    <w:div w:id="2035575493">
      <w:bodyDiv w:val="1"/>
      <w:marLeft w:val="0"/>
      <w:marRight w:val="0"/>
      <w:marTop w:val="0"/>
      <w:marBottom w:val="0"/>
      <w:divBdr>
        <w:top w:val="none" w:sz="0" w:space="0" w:color="auto"/>
        <w:left w:val="none" w:sz="0" w:space="0" w:color="auto"/>
        <w:bottom w:val="none" w:sz="0" w:space="0" w:color="auto"/>
        <w:right w:val="none" w:sz="0" w:space="0" w:color="auto"/>
      </w:divBdr>
      <w:divsChild>
        <w:div w:id="1808622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819751">
      <w:bodyDiv w:val="1"/>
      <w:marLeft w:val="0"/>
      <w:marRight w:val="0"/>
      <w:marTop w:val="0"/>
      <w:marBottom w:val="0"/>
      <w:divBdr>
        <w:top w:val="none" w:sz="0" w:space="0" w:color="auto"/>
        <w:left w:val="none" w:sz="0" w:space="0" w:color="auto"/>
        <w:bottom w:val="none" w:sz="0" w:space="0" w:color="auto"/>
        <w:right w:val="none" w:sz="0" w:space="0" w:color="auto"/>
      </w:divBdr>
    </w:div>
    <w:div w:id="2129472394">
      <w:bodyDiv w:val="1"/>
      <w:marLeft w:val="0"/>
      <w:marRight w:val="0"/>
      <w:marTop w:val="0"/>
      <w:marBottom w:val="0"/>
      <w:divBdr>
        <w:top w:val="none" w:sz="0" w:space="0" w:color="auto"/>
        <w:left w:val="none" w:sz="0" w:space="0" w:color="auto"/>
        <w:bottom w:val="none" w:sz="0" w:space="0" w:color="auto"/>
        <w:right w:val="none" w:sz="0" w:space="0" w:color="auto"/>
      </w:divBdr>
    </w:div>
    <w:div w:id="2134784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ygWX7YNrH3aM+MYrx0wtUbBYw==">CgMxLjAaJAoBMBIfCh0IB0IZCgVBcmltbxIQQXJpYWwgVW5pY29kZSBNUzgAaiQKFHN1Z2dlc3QudjVjMjR3N2g5NzYwEgxCaWxnZWNhbiBTZW5qJAoUc3VnZ2VzdC5qOHBlcHJlbzh6cmcSDEJpbGdlY2FuIFNlbnIhMXNFQVZXc2lDdTlSMHhyd0lUd3ZpY21Wc0hWSnRxczdY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9</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HANGKAI YOU</cp:lastModifiedBy>
  <cp:revision>47</cp:revision>
  <dcterms:created xsi:type="dcterms:W3CDTF">2025-06-12T01:39:00Z</dcterms:created>
  <dcterms:modified xsi:type="dcterms:W3CDTF">2025-07-07T23:30:00Z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id="6rJ114n7"/&gt;&lt;style id="http://www.zotero.org/styles/nature" hasBibliography="1" bibliographyStyleHasBeenSet="1"/&gt;&lt;prefs&gt;&lt;pref name="fieldType" value="Field"/&gt;&lt;/prefs&gt;&lt;/data&gt;</vt:lpwstr>
  </property>
</Properties>
</file>