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E3356" w14:textId="77777777" w:rsidR="00F13755" w:rsidRDefault="00F13755" w:rsidP="00F13755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</w:t>
      </w:r>
      <w:r w:rsidRPr="00F137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pplemental Material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</w:t>
      </w:r>
      <w:r w:rsidRPr="00F137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</w:t>
      </w:r>
    </w:p>
    <w:p w14:paraId="4384FE6A" w14:textId="3675E56E" w:rsidR="00F13755" w:rsidRPr="00F13755" w:rsidRDefault="00F13755" w:rsidP="00F13755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201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Chemical Treatment-Induced Indirect-to-Direct Bandgap Transition in MoS₂: </w:t>
      </w:r>
      <w:r w:rsidR="0033306E" w:rsidRPr="00A0201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Impact on </w:t>
      </w:r>
      <w:r w:rsidR="0033306E">
        <w:rPr>
          <w:rFonts w:ascii="Times New Roman" w:hAnsi="Times New Roman"/>
          <w:b/>
          <w:bCs/>
          <w:color w:val="000000" w:themeColor="text1"/>
          <w:sz w:val="28"/>
          <w:szCs w:val="28"/>
        </w:rPr>
        <w:t>Excitonic Emission</w:t>
      </w:r>
    </w:p>
    <w:p w14:paraId="6021008C" w14:textId="77777777" w:rsidR="00F13755" w:rsidRPr="00A02019" w:rsidRDefault="00F13755" w:rsidP="00F13755">
      <w:pPr>
        <w:rPr>
          <w:sz w:val="28"/>
          <w:szCs w:val="28"/>
        </w:rPr>
      </w:pPr>
    </w:p>
    <w:p w14:paraId="6D1EE51B" w14:textId="77777777" w:rsidR="00F13755" w:rsidRPr="00A02019" w:rsidRDefault="00F13755" w:rsidP="00F13755">
      <w:pPr>
        <w:spacing w:line="360" w:lineRule="auto"/>
        <w:rPr>
          <w:lang w:eastAsia="en-US"/>
        </w:rPr>
      </w:pPr>
    </w:p>
    <w:p w14:paraId="55482C60" w14:textId="77777777" w:rsidR="00F13755" w:rsidRPr="00A02019" w:rsidRDefault="00F13755" w:rsidP="00F13755">
      <w:pPr>
        <w:pStyle w:val="Heading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2019">
        <w:rPr>
          <w:rFonts w:ascii="Times New Roman" w:hAnsi="Times New Roman" w:cs="Times New Roman"/>
          <w:color w:val="auto"/>
          <w:sz w:val="24"/>
          <w:szCs w:val="24"/>
        </w:rPr>
        <w:t>Yusuf Kerem Bostan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, Elanur Hut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, Cem Sanga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, Nadire Nayir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2,3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, Ayse Erol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, Yue Wang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4</w:t>
      </w:r>
      <w:r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*, and Fahrettin Sarcan</w:t>
      </w: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1,4</w:t>
      </w:r>
      <w:r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*</w:t>
      </w:r>
    </w:p>
    <w:p w14:paraId="4CDB4A8C" w14:textId="77777777" w:rsidR="00F13755" w:rsidRPr="00A02019" w:rsidRDefault="00F13755" w:rsidP="00F13755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3C7B760" w14:textId="77777777" w:rsidR="00F13755" w:rsidRPr="00A02019" w:rsidRDefault="00F13755" w:rsidP="00F13755">
      <w:pPr>
        <w:pStyle w:val="Heading2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 xml:space="preserve">Department of Physics, Faculty of Science, Istanbul University, </w:t>
      </w:r>
      <w:proofErr w:type="spellStart"/>
      <w:r w:rsidRPr="00A02019">
        <w:rPr>
          <w:rFonts w:ascii="Times New Roman" w:hAnsi="Times New Roman" w:cs="Times New Roman"/>
          <w:color w:val="auto"/>
          <w:sz w:val="24"/>
          <w:szCs w:val="24"/>
        </w:rPr>
        <w:t>Vezneciler</w:t>
      </w:r>
      <w:proofErr w:type="spellEnd"/>
      <w:r w:rsidRPr="00A02019">
        <w:rPr>
          <w:rFonts w:ascii="Times New Roman" w:hAnsi="Times New Roman" w:cs="Times New Roman"/>
          <w:color w:val="auto"/>
          <w:sz w:val="24"/>
          <w:szCs w:val="24"/>
        </w:rPr>
        <w:t>, Istanbul, 34134, Turkey</w:t>
      </w:r>
    </w:p>
    <w:p w14:paraId="6FD2A188" w14:textId="77777777" w:rsidR="00F13755" w:rsidRPr="00A02019" w:rsidRDefault="00F13755" w:rsidP="00F13755">
      <w:pPr>
        <w:pStyle w:val="Heading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Department of Physics Engineering, Istanbul Technical University, Maslak, Istanbul, 34467, Turkey</w:t>
      </w:r>
    </w:p>
    <w:p w14:paraId="7E8BDF6E" w14:textId="77777777" w:rsidR="00F13755" w:rsidRPr="00A02019" w:rsidRDefault="00F13755" w:rsidP="00F13755">
      <w:pPr>
        <w:pStyle w:val="Heading2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3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 xml:space="preserve">Paul-Drude-Institute for Solid State Electronics, Leibniz Institute within </w:t>
      </w:r>
      <w:proofErr w:type="spellStart"/>
      <w:r w:rsidRPr="00A02019">
        <w:rPr>
          <w:rFonts w:ascii="Times New Roman" w:hAnsi="Times New Roman" w:cs="Times New Roman"/>
          <w:color w:val="auto"/>
          <w:sz w:val="24"/>
          <w:szCs w:val="24"/>
        </w:rPr>
        <w:t>Forschungsverbund</w:t>
      </w:r>
      <w:proofErr w:type="spellEnd"/>
      <w:r w:rsidRPr="00A02019">
        <w:rPr>
          <w:rFonts w:ascii="Times New Roman" w:hAnsi="Times New Roman" w:cs="Times New Roman"/>
          <w:color w:val="auto"/>
          <w:sz w:val="24"/>
          <w:szCs w:val="24"/>
        </w:rPr>
        <w:t xml:space="preserve"> Berlin eV., </w:t>
      </w:r>
      <w:proofErr w:type="spellStart"/>
      <w:r w:rsidRPr="00A02019">
        <w:rPr>
          <w:rFonts w:ascii="Times New Roman" w:hAnsi="Times New Roman" w:cs="Times New Roman"/>
          <w:color w:val="auto"/>
          <w:sz w:val="24"/>
          <w:szCs w:val="24"/>
        </w:rPr>
        <w:t>Hausvogteiplatz</w:t>
      </w:r>
      <w:proofErr w:type="spellEnd"/>
      <w:r w:rsidRPr="00A02019">
        <w:rPr>
          <w:rFonts w:ascii="Times New Roman" w:hAnsi="Times New Roman" w:cs="Times New Roman"/>
          <w:color w:val="auto"/>
          <w:sz w:val="24"/>
          <w:szCs w:val="24"/>
        </w:rPr>
        <w:t xml:space="preserve"> 5-7, 10117 Berlin, Germany</w:t>
      </w:r>
    </w:p>
    <w:p w14:paraId="57077712" w14:textId="77777777" w:rsidR="00F13755" w:rsidRPr="00A02019" w:rsidRDefault="00F13755" w:rsidP="00F13755">
      <w:pPr>
        <w:pStyle w:val="Heading2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201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4</w:t>
      </w:r>
      <w:r w:rsidRPr="00A02019">
        <w:rPr>
          <w:rFonts w:ascii="Times New Roman" w:hAnsi="Times New Roman" w:cs="Times New Roman"/>
          <w:color w:val="auto"/>
          <w:sz w:val="24"/>
          <w:szCs w:val="24"/>
        </w:rPr>
        <w:t>School of Physics, Engineering and Technology, University of York, York, YO10 5DD, United Kingdom</w:t>
      </w:r>
    </w:p>
    <w:p w14:paraId="6DADE708" w14:textId="77777777" w:rsidR="00F13755" w:rsidRDefault="00F13755" w:rsidP="008A57FA">
      <w:pPr>
        <w:keepNext/>
        <w:spacing w:line="360" w:lineRule="auto"/>
        <w:jc w:val="center"/>
      </w:pPr>
    </w:p>
    <w:p w14:paraId="45DCC1C7" w14:textId="4A0645BB" w:rsidR="008A57FA" w:rsidRPr="00E24480" w:rsidRDefault="008A57FA" w:rsidP="008A57FA">
      <w:pPr>
        <w:keepNext/>
        <w:spacing w:line="360" w:lineRule="auto"/>
        <w:jc w:val="center"/>
      </w:pPr>
      <w:r w:rsidRPr="00E24480">
        <w:rPr>
          <w:noProof/>
        </w:rPr>
        <w:drawing>
          <wp:inline distT="0" distB="0" distL="0" distR="0" wp14:anchorId="235DE9DA" wp14:editId="7FDD49CF">
            <wp:extent cx="3502524" cy="2627357"/>
            <wp:effectExtent l="0" t="0" r="0" b="0"/>
            <wp:docPr id="1" name="Picture 30" descr="A diagram of different lay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0" descr="A diagram of different lay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24" cy="26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CC21" w14:textId="39302DAE" w:rsidR="008A57FA" w:rsidRDefault="008A57FA" w:rsidP="008A57FA">
      <w:pPr>
        <w:pStyle w:val="Caption"/>
        <w:spacing w:line="360" w:lineRule="auto"/>
        <w:jc w:val="both"/>
        <w:rPr>
          <w:i w:val="0"/>
          <w:iCs w:val="0"/>
          <w:color w:val="auto"/>
          <w:sz w:val="24"/>
          <w:szCs w:val="24"/>
        </w:rPr>
      </w:pPr>
      <w:r w:rsidRPr="00E24480">
        <w:rPr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B1407D">
        <w:rPr>
          <w:b/>
          <w:bCs/>
          <w:i w:val="0"/>
          <w:iCs w:val="0"/>
          <w:color w:val="auto"/>
          <w:sz w:val="24"/>
          <w:szCs w:val="24"/>
        </w:rPr>
        <w:t>S</w:t>
      </w:r>
      <w:r w:rsidRPr="00E2448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4480">
        <w:rPr>
          <w:b/>
          <w:bCs/>
          <w:i w:val="0"/>
          <w:iCs w:val="0"/>
          <w:color w:val="auto"/>
          <w:sz w:val="24"/>
          <w:szCs w:val="24"/>
        </w:rPr>
        <w:instrText>SEQ Figure \* ARABIC</w:instrText>
      </w:r>
      <w:r w:rsidRPr="00E2448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E24480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E2448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24480">
        <w:rPr>
          <w:i w:val="0"/>
          <w:iCs w:val="0"/>
          <w:color w:val="auto"/>
          <w:sz w:val="24"/>
          <w:szCs w:val="24"/>
        </w:rPr>
        <w:t>. PL spectr</w:t>
      </w:r>
      <w:r>
        <w:rPr>
          <w:i w:val="0"/>
          <w:iCs w:val="0"/>
          <w:color w:val="auto"/>
          <w:sz w:val="24"/>
          <w:szCs w:val="24"/>
        </w:rPr>
        <w:t>a</w:t>
      </w:r>
      <w:r w:rsidRPr="00E24480">
        <w:rPr>
          <w:i w:val="0"/>
          <w:iCs w:val="0"/>
          <w:color w:val="auto"/>
          <w:sz w:val="24"/>
          <w:szCs w:val="24"/>
        </w:rPr>
        <w:t xml:space="preserve"> of MoS</w:t>
      </w:r>
      <w:r w:rsidRPr="00E24480">
        <w:rPr>
          <w:i w:val="0"/>
          <w:iCs w:val="0"/>
          <w:color w:val="auto"/>
          <w:sz w:val="24"/>
          <w:szCs w:val="24"/>
          <w:vertAlign w:val="subscript"/>
        </w:rPr>
        <w:t>2</w:t>
      </w:r>
      <w:r w:rsidRPr="00E24480">
        <w:rPr>
          <w:i w:val="0"/>
          <w:iCs w:val="0"/>
          <w:color w:val="auto"/>
          <w:sz w:val="24"/>
          <w:szCs w:val="24"/>
        </w:rPr>
        <w:t xml:space="preserve"> flakes with different</w:t>
      </w:r>
      <w:r>
        <w:rPr>
          <w:i w:val="0"/>
          <w:iCs w:val="0"/>
          <w:color w:val="auto"/>
          <w:sz w:val="24"/>
          <w:szCs w:val="24"/>
        </w:rPr>
        <w:t xml:space="preserve"> numbers of</w:t>
      </w:r>
      <w:r w:rsidRPr="00E24480">
        <w:rPr>
          <w:i w:val="0"/>
          <w:iCs w:val="0"/>
          <w:color w:val="auto"/>
          <w:sz w:val="24"/>
          <w:szCs w:val="24"/>
        </w:rPr>
        <w:t xml:space="preserve"> layer</w:t>
      </w:r>
      <w:r>
        <w:rPr>
          <w:i w:val="0"/>
          <w:iCs w:val="0"/>
          <w:color w:val="auto"/>
          <w:sz w:val="24"/>
          <w:szCs w:val="24"/>
        </w:rPr>
        <w:t>s,</w:t>
      </w:r>
      <w:r w:rsidRPr="00E24480">
        <w:rPr>
          <w:i w:val="0"/>
          <w:iCs w:val="0"/>
          <w:color w:val="auto"/>
          <w:sz w:val="24"/>
          <w:szCs w:val="24"/>
        </w:rPr>
        <w:t xml:space="preserve"> from </w:t>
      </w:r>
      <w:r>
        <w:rPr>
          <w:i w:val="0"/>
          <w:iCs w:val="0"/>
          <w:color w:val="auto"/>
          <w:sz w:val="24"/>
          <w:szCs w:val="24"/>
        </w:rPr>
        <w:t>monolayer</w:t>
      </w:r>
      <w:r w:rsidRPr="00E24480">
        <w:rPr>
          <w:i w:val="0"/>
          <w:iCs w:val="0"/>
          <w:color w:val="auto"/>
          <w:sz w:val="24"/>
          <w:szCs w:val="24"/>
        </w:rPr>
        <w:t xml:space="preserve"> to bulk</w:t>
      </w:r>
      <w:r>
        <w:rPr>
          <w:i w:val="0"/>
          <w:iCs w:val="0"/>
          <w:color w:val="auto"/>
          <w:sz w:val="24"/>
          <w:szCs w:val="24"/>
        </w:rPr>
        <w:t>.</w:t>
      </w:r>
      <w:r w:rsidRPr="00E24480">
        <w:rPr>
          <w:i w:val="0"/>
          <w:iCs w:val="0"/>
          <w:color w:val="auto"/>
          <w:sz w:val="24"/>
          <w:szCs w:val="24"/>
        </w:rPr>
        <w:t xml:space="preserve"> </w:t>
      </w:r>
      <w:r>
        <w:rPr>
          <w:i w:val="0"/>
          <w:iCs w:val="0"/>
          <w:color w:val="auto"/>
          <w:sz w:val="24"/>
          <w:szCs w:val="24"/>
        </w:rPr>
        <w:t>T</w:t>
      </w:r>
      <w:r w:rsidRPr="00E24480">
        <w:rPr>
          <w:i w:val="0"/>
          <w:iCs w:val="0"/>
          <w:color w:val="auto"/>
          <w:sz w:val="24"/>
          <w:szCs w:val="24"/>
        </w:rPr>
        <w:t>he inset shows the bandgap energy of each layer extracted from PL peaks.</w:t>
      </w:r>
    </w:p>
    <w:p w14:paraId="3A7D7306" w14:textId="77777777" w:rsidR="00553786" w:rsidRDefault="00553786" w:rsidP="00553786"/>
    <w:p w14:paraId="320106BF" w14:textId="7F74BF6D" w:rsidR="00553786" w:rsidRDefault="00727146" w:rsidP="005537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727146">
        <w:rPr>
          <w:color w:val="000000"/>
        </w:rPr>
        <w:t xml:space="preserve">The output characteristics </w:t>
      </w:r>
      <w:r w:rsidR="00537FFC" w:rsidRPr="00727146">
        <w:rPr>
          <w:color w:val="000000"/>
        </w:rPr>
        <w:t>show</w:t>
      </w:r>
      <w:r w:rsidRPr="00727146">
        <w:rPr>
          <w:color w:val="000000"/>
        </w:rPr>
        <w:t xml:space="preserve"> </w:t>
      </w:r>
      <w:r w:rsidR="00CF2346">
        <w:rPr>
          <w:color w:val="000000"/>
        </w:rPr>
        <w:t xml:space="preserve">that </w:t>
      </w:r>
      <w:r w:rsidRPr="00727146">
        <w:rPr>
          <w:color w:val="000000"/>
        </w:rPr>
        <w:t xml:space="preserve">the drain current increased up to 1.5 µA under a 1 V </w:t>
      </w:r>
      <w:r w:rsidR="004C030B">
        <w:rPr>
          <w:color w:val="000000"/>
        </w:rPr>
        <w:t xml:space="preserve">negative </w:t>
      </w:r>
      <w:r w:rsidRPr="00727146">
        <w:rPr>
          <w:color w:val="000000"/>
        </w:rPr>
        <w:t>drain bias</w:t>
      </w:r>
      <w:r w:rsidR="00DF3F4F">
        <w:rPr>
          <w:color w:val="000000"/>
        </w:rPr>
        <w:t xml:space="preserve"> across </w:t>
      </w:r>
      <w:r w:rsidR="00CF2346">
        <w:rPr>
          <w:color w:val="000000"/>
        </w:rPr>
        <w:t xml:space="preserve">a </w:t>
      </w:r>
      <w:r w:rsidR="00DF3F4F">
        <w:rPr>
          <w:color w:val="000000"/>
        </w:rPr>
        <w:t>3 µm channel length</w:t>
      </w:r>
      <w:r w:rsidRPr="00727146">
        <w:rPr>
          <w:color w:val="000000"/>
        </w:rPr>
        <w:t xml:space="preserve"> </w:t>
      </w:r>
      <w:r w:rsidR="0009333A">
        <w:rPr>
          <w:color w:val="000000"/>
        </w:rPr>
        <w:t xml:space="preserve">at </w:t>
      </w:r>
      <w:r w:rsidRPr="00727146">
        <w:rPr>
          <w:color w:val="000000"/>
        </w:rPr>
        <w:t xml:space="preserve">0 V gate voltage </w:t>
      </w:r>
      <w:r>
        <w:rPr>
          <w:color w:val="000000"/>
        </w:rPr>
        <w:t>(Figure S2b)</w:t>
      </w:r>
      <w:r w:rsidRPr="00727146">
        <w:rPr>
          <w:color w:val="000000"/>
        </w:rPr>
        <w:t>.</w:t>
      </w:r>
      <w:r>
        <w:rPr>
          <w:color w:val="000000"/>
        </w:rPr>
        <w:t xml:space="preserve"> </w:t>
      </w:r>
      <w:r w:rsidR="009D5CF0" w:rsidRPr="009D5CF0">
        <w:rPr>
          <w:color w:val="000000"/>
        </w:rPr>
        <w:t xml:space="preserve">According to the transfer characteristics of the </w:t>
      </w:r>
      <w:r w:rsidR="009C2696">
        <w:rPr>
          <w:color w:val="000000"/>
        </w:rPr>
        <w:t>3</w:t>
      </w:r>
      <w:r w:rsidR="009D5CF0" w:rsidRPr="009D5CF0">
        <w:rPr>
          <w:color w:val="000000"/>
        </w:rPr>
        <w:t> µm channel device,</w:t>
      </w:r>
      <w:r w:rsidR="009D5CF0">
        <w:rPr>
          <w:color w:val="000000"/>
        </w:rPr>
        <w:t xml:space="preserve"> </w:t>
      </w:r>
      <w:r>
        <w:rPr>
          <w:color w:val="000000"/>
        </w:rPr>
        <w:t>I</w:t>
      </w:r>
      <w:r w:rsidRPr="00727146">
        <w:rPr>
          <w:color w:val="000000"/>
          <w:vertAlign w:val="subscript"/>
        </w:rPr>
        <w:t>on</w:t>
      </w:r>
      <w:r>
        <w:rPr>
          <w:color w:val="000000"/>
        </w:rPr>
        <w:t>/</w:t>
      </w:r>
      <w:proofErr w:type="spellStart"/>
      <w:r>
        <w:rPr>
          <w:color w:val="000000"/>
        </w:rPr>
        <w:t>I</w:t>
      </w:r>
      <w:r w:rsidRPr="00727146">
        <w:rPr>
          <w:color w:val="000000"/>
          <w:vertAlign w:val="subscript"/>
        </w:rPr>
        <w:t>off</w:t>
      </w:r>
      <w:proofErr w:type="spellEnd"/>
      <w:r>
        <w:rPr>
          <w:color w:val="000000"/>
        </w:rPr>
        <w:t xml:space="preserve"> ratio </w:t>
      </w:r>
      <w:r w:rsidR="0009333A">
        <w:rPr>
          <w:color w:val="000000"/>
        </w:rPr>
        <w:t xml:space="preserve">of the pristine FET is 2 orders of magnitude and </w:t>
      </w:r>
      <w:r>
        <w:rPr>
          <w:color w:val="000000"/>
        </w:rPr>
        <w:t xml:space="preserve">is improved </w:t>
      </w:r>
      <w:r w:rsidR="0009333A">
        <w:rPr>
          <w:color w:val="000000"/>
        </w:rPr>
        <w:t>to 6</w:t>
      </w:r>
      <w:r w:rsidRPr="00727146">
        <w:rPr>
          <w:color w:val="000000"/>
        </w:rPr>
        <w:t xml:space="preserve"> orders of magnitude after 12 hours of treatment</w:t>
      </w:r>
      <w:r>
        <w:rPr>
          <w:color w:val="000000"/>
        </w:rPr>
        <w:t xml:space="preserve"> (Figure S2c)</w:t>
      </w:r>
      <w:r w:rsidRPr="00727146">
        <w:rPr>
          <w:color w:val="000000"/>
        </w:rPr>
        <w:t>.</w:t>
      </w:r>
      <w:r>
        <w:rPr>
          <w:color w:val="000000"/>
        </w:rPr>
        <w:t xml:space="preserve"> </w:t>
      </w:r>
      <w:r w:rsidR="00310183" w:rsidRPr="00310183">
        <w:rPr>
          <w:color w:val="000000"/>
        </w:rPr>
        <w:t>The pristine sample</w:t>
      </w:r>
      <w:r w:rsidR="00537FFC">
        <w:rPr>
          <w:color w:val="000000"/>
        </w:rPr>
        <w:t xml:space="preserve"> </w:t>
      </w:r>
      <w:r w:rsidR="00310183" w:rsidRPr="00310183">
        <w:rPr>
          <w:color w:val="000000"/>
        </w:rPr>
        <w:t>exhibit</w:t>
      </w:r>
      <w:r w:rsidR="009E1A8F">
        <w:rPr>
          <w:color w:val="000000"/>
        </w:rPr>
        <w:t>s</w:t>
      </w:r>
      <w:r w:rsidR="00310183" w:rsidRPr="00310183">
        <w:rPr>
          <w:color w:val="000000"/>
        </w:rPr>
        <w:t xml:space="preserve"> n-type characteristics, which </w:t>
      </w:r>
      <w:r w:rsidR="00CF2346">
        <w:rPr>
          <w:color w:val="000000"/>
        </w:rPr>
        <w:t>are</w:t>
      </w:r>
      <w:r w:rsidR="00310183" w:rsidRPr="00310183">
        <w:rPr>
          <w:color w:val="000000"/>
        </w:rPr>
        <w:t xml:space="preserve"> enhanced </w:t>
      </w:r>
      <w:r w:rsidR="00310183">
        <w:rPr>
          <w:color w:val="000000"/>
        </w:rPr>
        <w:t>after</w:t>
      </w:r>
      <w:r w:rsidR="00310183" w:rsidRPr="00310183">
        <w:rPr>
          <w:color w:val="000000"/>
        </w:rPr>
        <w:t xml:space="preserve"> 12 hours </w:t>
      </w:r>
      <w:r w:rsidR="00310183">
        <w:rPr>
          <w:color w:val="000000"/>
        </w:rPr>
        <w:t>in</w:t>
      </w:r>
      <w:r w:rsidR="00310183" w:rsidRPr="00310183">
        <w:rPr>
          <w:color w:val="000000"/>
        </w:rPr>
        <w:t xml:space="preserve"> DCE</w:t>
      </w:r>
      <w:r w:rsidR="00310183">
        <w:rPr>
          <w:color w:val="000000"/>
        </w:rPr>
        <w:t xml:space="preserve"> solution</w:t>
      </w:r>
      <w:r w:rsidR="00310183" w:rsidRPr="00310183">
        <w:rPr>
          <w:color w:val="000000"/>
        </w:rPr>
        <w:t>.</w:t>
      </w:r>
    </w:p>
    <w:p w14:paraId="3BAB3445" w14:textId="77777777" w:rsidR="00553786" w:rsidRPr="00553786" w:rsidRDefault="00553786" w:rsidP="00553786"/>
    <w:p w14:paraId="3FB4B461" w14:textId="67AD9145" w:rsidR="008A57FA" w:rsidRDefault="00B1407D">
      <w:r w:rsidRPr="00B1407D">
        <w:rPr>
          <w:noProof/>
        </w:rPr>
        <w:drawing>
          <wp:inline distT="0" distB="0" distL="0" distR="0" wp14:anchorId="10FEA29C" wp14:editId="08AB0087">
            <wp:extent cx="5731510" cy="1513205"/>
            <wp:effectExtent l="0" t="0" r="0" b="0"/>
            <wp:docPr id="108901252" name="Picture 1" descr="A graph with a line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1252" name="Picture 1" descr="A graph with a line and a lin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3E0E" w14:textId="6BCDFF8D" w:rsidR="00B1407D" w:rsidRDefault="00B1407D" w:rsidP="00B1407D">
      <w:r w:rsidRPr="00B1407D">
        <w:rPr>
          <w:b/>
          <w:bCs/>
        </w:rPr>
        <w:t>Figure S2</w:t>
      </w:r>
      <w:r w:rsidRPr="00B1407D">
        <w:t>.</w:t>
      </w:r>
      <w:r>
        <w:t xml:space="preserve"> </w:t>
      </w:r>
      <w:r w:rsidR="00BB3AB7" w:rsidRPr="00BB3AB7">
        <w:rPr>
          <w:b/>
          <w:bCs/>
        </w:rPr>
        <w:t>a)</w:t>
      </w:r>
      <w:r w:rsidR="00BB3AB7">
        <w:t xml:space="preserve"> O</w:t>
      </w:r>
      <w:r>
        <w:t xml:space="preserve">ptical microscope images of </w:t>
      </w:r>
      <w:r w:rsidR="00CF2346">
        <w:t xml:space="preserve">a </w:t>
      </w:r>
      <w:r>
        <w:t>few</w:t>
      </w:r>
      <w:r w:rsidR="00CF2346">
        <w:t>-</w:t>
      </w:r>
      <w:r>
        <w:t>layer MoS</w:t>
      </w:r>
      <w:r>
        <w:rPr>
          <w:vertAlign w:val="subscript"/>
        </w:rPr>
        <w:t>2</w:t>
      </w:r>
      <w:r>
        <w:t xml:space="preserve"> FET device</w:t>
      </w:r>
      <w:r w:rsidRPr="00BB3AB7">
        <w:rPr>
          <w:b/>
          <w:bCs/>
        </w:rPr>
        <w:t xml:space="preserve">, </w:t>
      </w:r>
      <w:r w:rsidR="00951ADA" w:rsidRPr="00BB3AB7">
        <w:rPr>
          <w:b/>
          <w:bCs/>
        </w:rPr>
        <w:t>b)</w:t>
      </w:r>
      <w:r w:rsidR="00951ADA">
        <w:t xml:space="preserve"> output</w:t>
      </w:r>
      <w:r>
        <w:t xml:space="preserve"> and </w:t>
      </w:r>
      <w:r w:rsidR="00951ADA" w:rsidRPr="00BB3AB7">
        <w:rPr>
          <w:b/>
          <w:bCs/>
        </w:rPr>
        <w:t>c)</w:t>
      </w:r>
      <w:r w:rsidR="00951ADA">
        <w:t xml:space="preserve"> transfer</w:t>
      </w:r>
      <w:r>
        <w:t xml:space="preserve"> characteristic</w:t>
      </w:r>
      <w:r w:rsidR="00CF2346">
        <w:t>s</w:t>
      </w:r>
      <w:r>
        <w:t xml:space="preserve"> of the </w:t>
      </w:r>
      <w:r w:rsidR="00CF2346">
        <w:t xml:space="preserve">FET </w:t>
      </w:r>
      <w:r>
        <w:t xml:space="preserve">device before and after </w:t>
      </w:r>
      <w:r w:rsidR="00661BBB">
        <w:t xml:space="preserve">DCE </w:t>
      </w:r>
      <w:r>
        <w:t xml:space="preserve">treatment. </w:t>
      </w:r>
    </w:p>
    <w:p w14:paraId="6C2FD09C" w14:textId="77777777" w:rsidR="007D369C" w:rsidRDefault="007D369C" w:rsidP="00B1407D"/>
    <w:p w14:paraId="49F9678E" w14:textId="77777777" w:rsidR="007D369C" w:rsidRPr="00B1407D" w:rsidRDefault="007D369C" w:rsidP="00B1407D"/>
    <w:sectPr w:rsidR="007D369C" w:rsidRPr="00B140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A"/>
    <w:rsid w:val="0009333A"/>
    <w:rsid w:val="00310183"/>
    <w:rsid w:val="0033306E"/>
    <w:rsid w:val="003F0EB7"/>
    <w:rsid w:val="004C030B"/>
    <w:rsid w:val="00537FFC"/>
    <w:rsid w:val="005475E8"/>
    <w:rsid w:val="00553786"/>
    <w:rsid w:val="0065519A"/>
    <w:rsid w:val="00661BBB"/>
    <w:rsid w:val="006A6062"/>
    <w:rsid w:val="006D6606"/>
    <w:rsid w:val="00727146"/>
    <w:rsid w:val="00744373"/>
    <w:rsid w:val="0078264A"/>
    <w:rsid w:val="007D369C"/>
    <w:rsid w:val="008A57FA"/>
    <w:rsid w:val="00951ADA"/>
    <w:rsid w:val="009C2696"/>
    <w:rsid w:val="009D5CF0"/>
    <w:rsid w:val="009E1A8F"/>
    <w:rsid w:val="00B1407D"/>
    <w:rsid w:val="00BB3AB7"/>
    <w:rsid w:val="00CB6F58"/>
    <w:rsid w:val="00CC5D60"/>
    <w:rsid w:val="00CF2346"/>
    <w:rsid w:val="00DF3F4F"/>
    <w:rsid w:val="00E93F31"/>
    <w:rsid w:val="00F13755"/>
    <w:rsid w:val="00F452BE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8E9EC"/>
  <w15:chartTrackingRefBased/>
  <w15:docId w15:val="{1BC2F63D-25E6-0F48-BDF0-8C6AD478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7FA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5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7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7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7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7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7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7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7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7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7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7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7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7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7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7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7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7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7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7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7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7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7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7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7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7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7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7FA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qFormat/>
    <w:rsid w:val="008A57FA"/>
    <w:pPr>
      <w:spacing w:after="200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Fahrettin Sarcan</dc:creator>
  <cp:keywords/>
  <dc:description/>
  <cp:lastModifiedBy>Christina Wang</cp:lastModifiedBy>
  <cp:revision>19</cp:revision>
  <dcterms:created xsi:type="dcterms:W3CDTF">2025-07-16T20:40:00Z</dcterms:created>
  <dcterms:modified xsi:type="dcterms:W3CDTF">2025-07-25T08:52:00Z</dcterms:modified>
</cp:coreProperties>
</file>