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B294D25">
      <w:pPr>
        <w:keepNext w:val="0"/>
        <w:keepLines w:val="0"/>
        <w:pageBreakBefore w:val="0"/>
        <w:widowControl/>
        <w:kinsoku/>
        <w:wordWrap/>
        <w:overflowPunct/>
        <w:topLinePunct w:val="0"/>
        <w:autoSpaceDE/>
        <w:autoSpaceDN/>
        <w:bidi w:val="0"/>
        <w:adjustRightInd/>
        <w:snapToGrid/>
        <w:spacing w:line="360" w:lineRule="auto"/>
        <w:jc w:val="both"/>
        <w:textAlignment w:val="auto"/>
        <w:rPr>
          <w:rFonts w:hint="default" w:ascii="Times New Roman" w:hAnsi="Times New Roman" w:eastAsia="仿宋" w:cs="Times New Roman"/>
          <w:b/>
          <w:bCs/>
          <w:kern w:val="0"/>
          <w:sz w:val="24"/>
          <w:szCs w:val="24"/>
          <w:lang w:val="en-US" w:eastAsia="zh-CN"/>
        </w:rPr>
      </w:pPr>
      <w:r>
        <w:rPr>
          <w:rFonts w:hint="default" w:ascii="Times New Roman" w:hAnsi="Times New Roman" w:eastAsia="仿宋" w:cs="Times New Roman"/>
          <w:b/>
          <w:bCs/>
          <w:kern w:val="0"/>
          <w:sz w:val="24"/>
          <w:szCs w:val="24"/>
          <w:lang w:val="en-US" w:eastAsia="zh-CN"/>
        </w:rPr>
        <w:t>Supplementary information</w:t>
      </w:r>
    </w:p>
    <w:p w14:paraId="52618C0C">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16"/>
          <w:szCs w:val="16"/>
          <w:lang w:val="en-US" w:eastAsia="zh-CN"/>
        </w:rPr>
      </w:pPr>
      <w:r>
        <w:rPr>
          <w:rFonts w:hint="default" w:ascii="Times New Roman" w:hAnsi="Times New Roman" w:eastAsia="仿宋" w:cs="Times New Roman"/>
          <w:kern w:val="0"/>
          <w:sz w:val="16"/>
          <w:szCs w:val="16"/>
          <w:lang w:val="en-US" w:eastAsia="zh-CN"/>
        </w:rPr>
        <w:drawing>
          <wp:inline distT="0" distB="0" distL="114300" distR="114300">
            <wp:extent cx="5273040" cy="4986655"/>
            <wp:effectExtent l="0" t="0" r="3810" b="4445"/>
            <wp:docPr id="5" name="图片 5" descr="S1(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1(2)_01"/>
                    <pic:cNvPicPr>
                      <a:picLocks noChangeAspect="1"/>
                    </pic:cNvPicPr>
                  </pic:nvPicPr>
                  <pic:blipFill>
                    <a:blip r:embed="rId4"/>
                    <a:stretch>
                      <a:fillRect/>
                    </a:stretch>
                  </pic:blipFill>
                  <pic:spPr>
                    <a:xfrm>
                      <a:off x="0" y="0"/>
                      <a:ext cx="5273040" cy="4986655"/>
                    </a:xfrm>
                    <a:prstGeom prst="rect">
                      <a:avLst/>
                    </a:prstGeom>
                  </pic:spPr>
                </pic:pic>
              </a:graphicData>
            </a:graphic>
          </wp:inline>
        </w:drawing>
      </w:r>
    </w:p>
    <w:p w14:paraId="765FF7B5">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b/>
          <w:bCs/>
          <w:kern w:val="0"/>
          <w:sz w:val="20"/>
          <w:szCs w:val="20"/>
          <w:lang w:val="en-US" w:eastAsia="zh-CN"/>
        </w:rPr>
      </w:pPr>
      <w:r>
        <w:rPr>
          <w:rFonts w:hint="default" w:ascii="Times New Roman" w:hAnsi="Times New Roman" w:eastAsia="仿宋" w:cs="Times New Roman"/>
          <w:b/>
          <w:bCs/>
          <w:kern w:val="0"/>
          <w:sz w:val="20"/>
          <w:szCs w:val="20"/>
          <w:lang w:val="en-US" w:eastAsia="zh-CN"/>
        </w:rPr>
        <w:t>Supplementary Fig. 1</w:t>
      </w:r>
      <w:r>
        <w:rPr>
          <w:rFonts w:hint="default" w:ascii="Times New Roman" w:hAnsi="Times New Roman" w:eastAsia="宋体" w:cs="Times New Roman"/>
          <w:sz w:val="20"/>
          <w:szCs w:val="20"/>
          <w:lang w:val="en-US" w:eastAsia="zh-CN"/>
        </w:rPr>
        <w:t xml:space="preserve"> </w:t>
      </w:r>
      <w:r>
        <w:rPr>
          <w:rFonts w:hint="default" w:ascii="Times New Roman" w:hAnsi="Times New Roman" w:eastAsia="宋体" w:cs="Times New Roman"/>
          <w:b/>
          <w:bCs/>
          <w:sz w:val="20"/>
          <w:szCs w:val="20"/>
          <w:lang w:val="en-US" w:eastAsia="zh-CN"/>
        </w:rPr>
        <w:t xml:space="preserve">30 </w:t>
      </w:r>
      <w:r>
        <w:rPr>
          <w:rFonts w:hint="default" w:ascii="Times New Roman" w:hAnsi="Times New Roman" w:eastAsia="宋体" w:cs="Times New Roman"/>
          <w:b/>
          <w:bCs/>
          <w:sz w:val="20"/>
          <w:szCs w:val="20"/>
          <w:lang w:eastAsia="zh-CN"/>
        </w:rPr>
        <w:t>TK samples, with the plant on the left of each image as the control.</w:t>
      </w:r>
    </w:p>
    <w:p w14:paraId="08BBC9BF">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16"/>
          <w:szCs w:val="16"/>
          <w:lang w:val="en-US" w:eastAsia="zh-CN"/>
        </w:rPr>
      </w:pPr>
    </w:p>
    <w:p w14:paraId="4A1013F5">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16"/>
          <w:szCs w:val="16"/>
          <w:lang w:val="en-US" w:eastAsia="zh-CN"/>
        </w:rPr>
      </w:pPr>
    </w:p>
    <w:p w14:paraId="21C31FD4">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16"/>
          <w:szCs w:val="16"/>
          <w:lang w:val="en-US" w:eastAsia="zh-CN"/>
        </w:rPr>
      </w:pPr>
      <w:r>
        <w:rPr>
          <w:rFonts w:hint="default" w:ascii="Times New Roman" w:hAnsi="Times New Roman" w:eastAsia="仿宋" w:cs="Times New Roman"/>
          <w:kern w:val="0"/>
          <w:sz w:val="16"/>
          <w:szCs w:val="16"/>
          <w:lang w:val="en-US" w:eastAsia="zh-CN"/>
        </w:rPr>
        <w:drawing>
          <wp:inline distT="0" distB="0" distL="114300" distR="114300">
            <wp:extent cx="5273040" cy="3785870"/>
            <wp:effectExtent l="0" t="0" r="3810" b="5080"/>
            <wp:docPr id="10" name="图片 10" descr="S2(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S2(2)_01"/>
                    <pic:cNvPicPr>
                      <a:picLocks noChangeAspect="1"/>
                    </pic:cNvPicPr>
                  </pic:nvPicPr>
                  <pic:blipFill>
                    <a:blip r:embed="rId5"/>
                    <a:stretch>
                      <a:fillRect/>
                    </a:stretch>
                  </pic:blipFill>
                  <pic:spPr>
                    <a:xfrm>
                      <a:off x="0" y="0"/>
                      <a:ext cx="5273040" cy="3785870"/>
                    </a:xfrm>
                    <a:prstGeom prst="rect">
                      <a:avLst/>
                    </a:prstGeom>
                  </pic:spPr>
                </pic:pic>
              </a:graphicData>
            </a:graphic>
          </wp:inline>
        </w:drawing>
      </w:r>
    </w:p>
    <w:p w14:paraId="1310AC3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0"/>
          <w:szCs w:val="20"/>
          <w:lang w:eastAsia="zh-CN"/>
        </w:rPr>
      </w:pPr>
      <w:r>
        <w:rPr>
          <w:rFonts w:hint="default" w:ascii="Times New Roman" w:hAnsi="Times New Roman" w:eastAsia="仿宋" w:cs="Times New Roman"/>
          <w:b/>
          <w:bCs/>
          <w:kern w:val="0"/>
          <w:sz w:val="20"/>
          <w:szCs w:val="20"/>
          <w:lang w:val="en-US" w:eastAsia="zh-CN"/>
        </w:rPr>
        <w:t>Supplementary Fig. 2</w:t>
      </w:r>
      <w:r>
        <w:rPr>
          <w:rFonts w:hint="default" w:ascii="Times New Roman" w:hAnsi="Times New Roman" w:eastAsia="宋体" w:cs="Times New Roman"/>
          <w:sz w:val="20"/>
          <w:szCs w:val="20"/>
          <w:lang w:val="en-US" w:eastAsia="zh-CN"/>
        </w:rPr>
        <w:t xml:space="preserve"> </w:t>
      </w:r>
      <w:r>
        <w:rPr>
          <w:rFonts w:hint="default" w:ascii="Times New Roman" w:hAnsi="Times New Roman" w:eastAsia="宋体" w:cs="Times New Roman"/>
          <w:b/>
          <w:bCs/>
          <w:sz w:val="20"/>
          <w:szCs w:val="20"/>
          <w:lang w:eastAsia="zh-CN"/>
        </w:rPr>
        <w:t>SK1 reference genome assembly.</w:t>
      </w:r>
      <w:r>
        <w:rPr>
          <w:rFonts w:hint="default" w:ascii="Times New Roman" w:hAnsi="Times New Roman" w:eastAsia="宋体" w:cs="Times New Roman"/>
          <w:sz w:val="20"/>
          <w:szCs w:val="20"/>
          <w:lang w:eastAsia="zh-CN"/>
        </w:rPr>
        <w:t xml:space="preserve"> </w:t>
      </w:r>
      <w:r>
        <w:rPr>
          <w:rFonts w:hint="default" w:ascii="Times New Roman" w:hAnsi="Times New Roman" w:eastAsia="宋体" w:cs="Times New Roman"/>
          <w:b/>
          <w:bCs/>
          <w:sz w:val="20"/>
          <w:szCs w:val="20"/>
          <w:lang w:val="en-US" w:eastAsia="zh-CN"/>
        </w:rPr>
        <w:t>a</w:t>
      </w:r>
      <w:r>
        <w:rPr>
          <w:rFonts w:hint="default" w:ascii="Times New Roman" w:hAnsi="Times New Roman" w:eastAsia="宋体" w:cs="Times New Roman"/>
          <w:sz w:val="20"/>
          <w:szCs w:val="20"/>
          <w:lang w:eastAsia="zh-CN"/>
        </w:rPr>
        <w:t xml:space="preserve"> Scaffold length and corresponding quantity. </w:t>
      </w:r>
      <w:r>
        <w:rPr>
          <w:rFonts w:hint="default" w:ascii="Times New Roman" w:hAnsi="Times New Roman" w:eastAsia="宋体" w:cs="Times New Roman"/>
          <w:b/>
          <w:bCs/>
          <w:sz w:val="20"/>
          <w:szCs w:val="20"/>
          <w:lang w:val="en-US" w:eastAsia="zh-CN"/>
        </w:rPr>
        <w:t>b</w:t>
      </w:r>
      <w:r>
        <w:rPr>
          <w:rFonts w:hint="default" w:ascii="Times New Roman" w:hAnsi="Times New Roman" w:eastAsia="宋体" w:cs="Times New Roman"/>
          <w:sz w:val="20"/>
          <w:szCs w:val="20"/>
          <w:lang w:eastAsia="zh-CN"/>
        </w:rPr>
        <w:t xml:space="preserve"> Sequence completeness assessed by BUSCO. </w:t>
      </w:r>
      <w:r>
        <w:rPr>
          <w:rFonts w:hint="default" w:ascii="Times New Roman" w:hAnsi="Times New Roman" w:eastAsia="宋体" w:cs="Times New Roman"/>
          <w:b/>
          <w:bCs/>
          <w:sz w:val="20"/>
          <w:szCs w:val="20"/>
          <w:lang w:val="en-US" w:eastAsia="zh-CN"/>
        </w:rPr>
        <w:t>c</w:t>
      </w:r>
      <w:r>
        <w:rPr>
          <w:rFonts w:hint="default" w:ascii="Times New Roman" w:hAnsi="Times New Roman" w:eastAsia="宋体" w:cs="Times New Roman"/>
          <w:sz w:val="20"/>
          <w:szCs w:val="20"/>
          <w:lang w:eastAsia="zh-CN"/>
        </w:rPr>
        <w:t xml:space="preserve"> Sequencing depth distribution statistics. </w:t>
      </w:r>
      <w:r>
        <w:rPr>
          <w:rFonts w:hint="default" w:ascii="Times New Roman" w:hAnsi="Times New Roman" w:eastAsia="宋体" w:cs="Times New Roman"/>
          <w:b/>
          <w:bCs/>
          <w:sz w:val="20"/>
          <w:szCs w:val="20"/>
          <w:lang w:val="en-US" w:eastAsia="zh-CN"/>
        </w:rPr>
        <w:t>d</w:t>
      </w:r>
      <w:r>
        <w:rPr>
          <w:rFonts w:hint="default" w:ascii="Times New Roman" w:hAnsi="Times New Roman" w:eastAsia="宋体" w:cs="Times New Roman"/>
          <w:sz w:val="20"/>
          <w:szCs w:val="20"/>
          <w:lang w:eastAsia="zh-CN"/>
        </w:rPr>
        <w:t xml:space="preserve"> BUSCO assessment of genome integrity via Hi-C mapping. </w:t>
      </w:r>
      <w:r>
        <w:rPr>
          <w:rFonts w:hint="default" w:ascii="Times New Roman" w:hAnsi="Times New Roman" w:eastAsia="宋体" w:cs="Times New Roman"/>
          <w:b/>
          <w:bCs/>
          <w:sz w:val="20"/>
          <w:szCs w:val="20"/>
          <w:lang w:val="en-US" w:eastAsia="zh-CN"/>
        </w:rPr>
        <w:t>e</w:t>
      </w:r>
      <w:r>
        <w:rPr>
          <w:rFonts w:hint="default" w:ascii="Times New Roman" w:hAnsi="Times New Roman" w:eastAsia="宋体" w:cs="Times New Roman"/>
          <w:sz w:val="20"/>
          <w:szCs w:val="20"/>
          <w:lang w:eastAsia="zh-CN"/>
        </w:rPr>
        <w:t xml:space="preserve"> BUSCO assessment of genome annotation completeness. </w:t>
      </w:r>
      <w:r>
        <w:rPr>
          <w:rFonts w:hint="default" w:ascii="Times New Roman" w:hAnsi="Times New Roman" w:eastAsia="宋体" w:cs="Times New Roman"/>
          <w:b/>
          <w:bCs/>
          <w:sz w:val="20"/>
          <w:szCs w:val="20"/>
          <w:lang w:val="en-US" w:eastAsia="zh-CN"/>
        </w:rPr>
        <w:t>f</w:t>
      </w:r>
      <w:r>
        <w:rPr>
          <w:rFonts w:hint="default" w:ascii="Times New Roman" w:hAnsi="Times New Roman" w:eastAsia="宋体" w:cs="Times New Roman"/>
          <w:sz w:val="20"/>
          <w:szCs w:val="20"/>
          <w:lang w:eastAsia="zh-CN"/>
        </w:rPr>
        <w:t xml:space="preserve"> Comparison of SK1 with IRGSP1.0, showing gene length, CDS length, exon length, exon count, and mRNA length.</w:t>
      </w:r>
    </w:p>
    <w:p w14:paraId="1909F52A">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22"/>
          <w:szCs w:val="22"/>
          <w:lang w:val="en-US" w:eastAsia="zh-CN"/>
        </w:rPr>
      </w:pPr>
    </w:p>
    <w:p w14:paraId="3D58A544">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22"/>
          <w:szCs w:val="22"/>
          <w:lang w:val="en-US" w:eastAsia="zh-CN"/>
        </w:rPr>
      </w:pPr>
      <w:r>
        <w:rPr>
          <w:rFonts w:hint="default" w:ascii="Times New Roman" w:hAnsi="Times New Roman" w:eastAsia="仿宋" w:cs="Times New Roman"/>
          <w:kern w:val="0"/>
          <w:sz w:val="22"/>
          <w:szCs w:val="22"/>
          <w:lang w:val="en-US" w:eastAsia="zh-CN"/>
        </w:rPr>
        <w:drawing>
          <wp:inline distT="0" distB="0" distL="114300" distR="114300">
            <wp:extent cx="5273040" cy="6633845"/>
            <wp:effectExtent l="0" t="0" r="3810" b="14605"/>
            <wp:docPr id="11" name="图片 11" descr="S3(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S3(4)_01"/>
                    <pic:cNvPicPr>
                      <a:picLocks noChangeAspect="1"/>
                    </pic:cNvPicPr>
                  </pic:nvPicPr>
                  <pic:blipFill>
                    <a:blip r:embed="rId6"/>
                    <a:stretch>
                      <a:fillRect/>
                    </a:stretch>
                  </pic:blipFill>
                  <pic:spPr>
                    <a:xfrm>
                      <a:off x="0" y="0"/>
                      <a:ext cx="5273040" cy="6633845"/>
                    </a:xfrm>
                    <a:prstGeom prst="rect">
                      <a:avLst/>
                    </a:prstGeom>
                  </pic:spPr>
                </pic:pic>
              </a:graphicData>
            </a:graphic>
          </wp:inline>
        </w:drawing>
      </w:r>
    </w:p>
    <w:p w14:paraId="48D2F7D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0"/>
          <w:szCs w:val="20"/>
          <w:lang w:eastAsia="zh-CN"/>
        </w:rPr>
      </w:pPr>
      <w:r>
        <w:rPr>
          <w:rFonts w:hint="default" w:ascii="Times New Roman" w:hAnsi="Times New Roman" w:eastAsia="仿宋" w:cs="Times New Roman"/>
          <w:b/>
          <w:bCs/>
          <w:kern w:val="0"/>
          <w:sz w:val="20"/>
          <w:szCs w:val="20"/>
          <w:lang w:val="en-US" w:eastAsia="zh-CN"/>
        </w:rPr>
        <w:t>Supplementary Fig. 3</w:t>
      </w:r>
      <w:r>
        <w:rPr>
          <w:rFonts w:hint="default" w:ascii="Times New Roman" w:hAnsi="Times New Roman" w:eastAsia="宋体" w:cs="Times New Roman"/>
          <w:sz w:val="20"/>
          <w:szCs w:val="20"/>
          <w:lang w:eastAsia="zh-CN"/>
        </w:rPr>
        <w:t xml:space="preserve"> </w:t>
      </w:r>
      <w:r>
        <w:rPr>
          <w:rFonts w:hint="default" w:ascii="Times New Roman" w:hAnsi="Times New Roman" w:eastAsia="宋体" w:cs="Times New Roman"/>
          <w:b/>
          <w:bCs/>
          <w:sz w:val="20"/>
          <w:szCs w:val="20"/>
          <w:lang w:eastAsia="zh-CN"/>
        </w:rPr>
        <w:t>Genomic variation characteristics and preferences.</w:t>
      </w:r>
      <w:r>
        <w:rPr>
          <w:rFonts w:hint="default" w:ascii="Times New Roman" w:hAnsi="Times New Roman" w:eastAsia="宋体" w:cs="Times New Roman"/>
          <w:sz w:val="20"/>
          <w:szCs w:val="20"/>
          <w:lang w:eastAsia="zh-CN"/>
        </w:rPr>
        <w:t xml:space="preserve"> </w:t>
      </w:r>
      <w:r>
        <w:rPr>
          <w:rFonts w:hint="default" w:ascii="Times New Roman" w:hAnsi="Times New Roman" w:eastAsia="宋体" w:cs="Times New Roman"/>
          <w:b/>
          <w:bCs/>
          <w:sz w:val="20"/>
          <w:szCs w:val="20"/>
          <w:lang w:val="en-US" w:eastAsia="zh-CN"/>
        </w:rPr>
        <w:t>a</w:t>
      </w:r>
      <w:r>
        <w:rPr>
          <w:rFonts w:hint="default" w:ascii="Times New Roman" w:hAnsi="Times New Roman" w:eastAsia="宋体" w:cs="Times New Roman"/>
          <w:sz w:val="20"/>
          <w:szCs w:val="20"/>
          <w:lang w:eastAsia="zh-CN"/>
        </w:rPr>
        <w:t xml:space="preserve"> Heterozygosity frequency of heterozygous mutation sites in CK and TK single samples (heterozygosity frequency = alt reads / all reads). Except for TK15, the heterozygosity frequency of the remaining 39 samples is mostly between 0.1 and 0.2. </w:t>
      </w:r>
      <w:r>
        <w:rPr>
          <w:rFonts w:hint="default" w:ascii="Times New Roman" w:hAnsi="Times New Roman" w:eastAsia="宋体" w:cs="Times New Roman"/>
          <w:b/>
          <w:bCs/>
          <w:sz w:val="20"/>
          <w:szCs w:val="20"/>
          <w:lang w:val="en-US" w:eastAsia="zh-CN"/>
        </w:rPr>
        <w:t>b</w:t>
      </w:r>
      <w:r>
        <w:rPr>
          <w:rFonts w:hint="default" w:ascii="Times New Roman" w:hAnsi="Times New Roman" w:eastAsia="宋体" w:cs="Times New Roman"/>
          <w:sz w:val="20"/>
          <w:szCs w:val="20"/>
          <w:lang w:eastAsia="zh-CN"/>
        </w:rPr>
        <w:t xml:space="preserve"> Correlation between 13 gene structural features in</w:t>
      </w:r>
      <w:r>
        <w:rPr>
          <w:rFonts w:hint="default" w:ascii="Times New Roman" w:hAnsi="Times New Roman" w:eastAsia="宋体" w:cs="Times New Roman"/>
          <w:sz w:val="20"/>
          <w:szCs w:val="20"/>
          <w:lang w:val="en-US" w:eastAsia="zh-CN"/>
        </w:rPr>
        <w:t xml:space="preserve"> </w:t>
      </w:r>
      <w:r>
        <w:rPr>
          <w:rFonts w:hint="default" w:ascii="Times New Roman" w:hAnsi="Times New Roman" w:eastAsia="宋体" w:cs="Times New Roman"/>
          <w:sz w:val="20"/>
          <w:szCs w:val="20"/>
          <w:lang w:eastAsia="zh-CN"/>
        </w:rPr>
        <w:t xml:space="preserve">high-frequency mutated genes </w:t>
      </w:r>
      <w:r>
        <w:rPr>
          <w:rFonts w:hint="default" w:ascii="Times New Roman" w:hAnsi="Times New Roman" w:eastAsia="宋体" w:cs="Times New Roman"/>
          <w:sz w:val="20"/>
          <w:szCs w:val="20"/>
          <w:lang w:val="en-US" w:eastAsia="zh-CN"/>
        </w:rPr>
        <w:t>(</w:t>
      </w:r>
      <w:r>
        <w:rPr>
          <w:rFonts w:hint="default" w:ascii="Times New Roman" w:hAnsi="Times New Roman" w:eastAsia="宋体" w:cs="Times New Roman"/>
          <w:sz w:val="20"/>
          <w:szCs w:val="20"/>
          <w:lang w:eastAsia="zh-CN"/>
        </w:rPr>
        <w:t>HMG</w:t>
      </w:r>
      <w:r>
        <w:rPr>
          <w:rFonts w:hint="default" w:ascii="Times New Roman" w:hAnsi="Times New Roman" w:eastAsia="宋体" w:cs="Times New Roman"/>
          <w:sz w:val="20"/>
          <w:szCs w:val="20"/>
          <w:lang w:val="en-US" w:eastAsia="zh-CN"/>
        </w:rPr>
        <w:t>)</w:t>
      </w:r>
      <w:r>
        <w:rPr>
          <w:rFonts w:hint="default" w:ascii="Times New Roman" w:hAnsi="Times New Roman" w:eastAsia="宋体" w:cs="Times New Roman"/>
          <w:sz w:val="20"/>
          <w:szCs w:val="20"/>
          <w:lang w:eastAsia="zh-CN"/>
        </w:rPr>
        <w:t xml:space="preserve">, with color indicating the strength of correlation. </w:t>
      </w:r>
      <w:r>
        <w:rPr>
          <w:rFonts w:hint="default" w:ascii="Times New Roman" w:hAnsi="Times New Roman" w:eastAsia="宋体" w:cs="Times New Roman"/>
          <w:b/>
          <w:bCs/>
          <w:sz w:val="20"/>
          <w:szCs w:val="20"/>
          <w:lang w:val="en-US" w:eastAsia="zh-CN"/>
        </w:rPr>
        <w:t>c</w:t>
      </w:r>
      <w:r>
        <w:rPr>
          <w:rFonts w:hint="default" w:ascii="Times New Roman" w:hAnsi="Times New Roman" w:eastAsia="宋体" w:cs="Times New Roman"/>
          <w:sz w:val="20"/>
          <w:szCs w:val="20"/>
          <w:lang w:eastAsia="zh-CN"/>
        </w:rPr>
        <w:t xml:space="preserve"> GO enrichment of mutated genes, showing the top 20 biological processes based on -log10(Q</w:t>
      </w:r>
      <w:r>
        <w:rPr>
          <w:rFonts w:hint="default" w:ascii="Times New Roman" w:hAnsi="Times New Roman" w:eastAsia="宋体" w:cs="Times New Roman"/>
          <w:sz w:val="20"/>
          <w:szCs w:val="20"/>
          <w:lang w:val="en-US" w:eastAsia="zh-CN"/>
        </w:rPr>
        <w:t xml:space="preserve"> </w:t>
      </w:r>
      <w:r>
        <w:rPr>
          <w:rFonts w:hint="default" w:ascii="Times New Roman" w:hAnsi="Times New Roman" w:eastAsia="宋体" w:cs="Times New Roman"/>
          <w:sz w:val="20"/>
          <w:szCs w:val="20"/>
          <w:lang w:eastAsia="zh-CN"/>
        </w:rPr>
        <w:t xml:space="preserve">value), with circle size indicating the number of genes and color indicating significance. </w:t>
      </w:r>
      <w:r>
        <w:rPr>
          <w:rFonts w:hint="default" w:ascii="Times New Roman" w:hAnsi="Times New Roman" w:eastAsia="宋体" w:cs="Times New Roman"/>
          <w:b/>
          <w:bCs/>
          <w:sz w:val="20"/>
          <w:szCs w:val="20"/>
          <w:lang w:val="en-US" w:eastAsia="zh-CN"/>
        </w:rPr>
        <w:t>d</w:t>
      </w:r>
      <w:r>
        <w:rPr>
          <w:rFonts w:hint="default" w:ascii="Times New Roman" w:hAnsi="Times New Roman" w:eastAsia="宋体" w:cs="Times New Roman"/>
          <w:sz w:val="20"/>
          <w:szCs w:val="20"/>
          <w:lang w:eastAsia="zh-CN"/>
        </w:rPr>
        <w:t xml:space="preserve"> KEGG enrichment of mutated genes, showing the top 20 pathways based on -log10(Q</w:t>
      </w:r>
      <w:r>
        <w:rPr>
          <w:rFonts w:hint="default" w:ascii="Times New Roman" w:hAnsi="Times New Roman" w:eastAsia="宋体" w:cs="Times New Roman"/>
          <w:sz w:val="20"/>
          <w:szCs w:val="20"/>
          <w:lang w:val="en-US" w:eastAsia="zh-CN"/>
        </w:rPr>
        <w:t xml:space="preserve"> </w:t>
      </w:r>
      <w:r>
        <w:rPr>
          <w:rFonts w:hint="default" w:ascii="Times New Roman" w:hAnsi="Times New Roman" w:eastAsia="宋体" w:cs="Times New Roman"/>
          <w:sz w:val="20"/>
          <w:szCs w:val="20"/>
          <w:lang w:eastAsia="zh-CN"/>
        </w:rPr>
        <w:t xml:space="preserve">value), with circle size indicating the number of genes and color indicating significance. </w:t>
      </w:r>
      <w:r>
        <w:rPr>
          <w:rFonts w:hint="default" w:ascii="Times New Roman" w:hAnsi="Times New Roman" w:eastAsia="宋体" w:cs="Times New Roman"/>
          <w:b/>
          <w:bCs/>
          <w:sz w:val="20"/>
          <w:szCs w:val="20"/>
          <w:lang w:val="en-US" w:eastAsia="zh-CN"/>
        </w:rPr>
        <w:t>e</w:t>
      </w:r>
      <w:r>
        <w:rPr>
          <w:rFonts w:hint="default" w:ascii="Times New Roman" w:hAnsi="Times New Roman" w:eastAsia="宋体" w:cs="Times New Roman"/>
          <w:sz w:val="20"/>
          <w:szCs w:val="20"/>
          <w:lang w:eastAsia="zh-CN"/>
        </w:rPr>
        <w:t xml:space="preserve"> Comparison of 13 gene structural features among HMG, low-frequency mutated genes (LMG), and nonmutated genes (NMG), including mutation count, gene length, GC content, exon count, exon length, exon GC content, intron count, intron length, intron GC content, 3'UTR count, 3'UTR length, 5'UTR count, and 5'UTR length.</w:t>
      </w:r>
      <w:r>
        <w:rPr>
          <w:rFonts w:hint="default" w:ascii="Times New Roman" w:hAnsi="Times New Roman" w:eastAsia="宋体" w:cs="Times New Roman"/>
          <w:sz w:val="20"/>
          <w:szCs w:val="20"/>
          <w:lang w:val="en-US" w:eastAsia="zh-CN"/>
        </w:rPr>
        <w:t xml:space="preserve"> Data represent means ± SD (n = 500 biological replicates)</w:t>
      </w:r>
      <w:r>
        <w:rPr>
          <w:rFonts w:hint="default" w:ascii="Times New Roman" w:hAnsi="Times New Roman" w:eastAsia="宋体" w:cs="Times New Roman"/>
          <w:sz w:val="20"/>
          <w:szCs w:val="20"/>
          <w:lang w:eastAsia="zh-CN"/>
        </w:rPr>
        <w:t>.</w:t>
      </w:r>
    </w:p>
    <w:p w14:paraId="2034100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eastAsia="zh-CN"/>
        </w:rPr>
      </w:pPr>
    </w:p>
    <w:p w14:paraId="28308D3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eastAsia="zh-CN"/>
        </w:rPr>
      </w:pPr>
    </w:p>
    <w:p w14:paraId="0D9A045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eastAsia="zh-CN"/>
        </w:rPr>
      </w:pPr>
    </w:p>
    <w:p w14:paraId="6599E8A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eastAsia="zh-CN"/>
        </w:rPr>
      </w:pPr>
    </w:p>
    <w:p w14:paraId="3EE95F2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eastAsia="zh-CN"/>
        </w:rPr>
      </w:pPr>
    </w:p>
    <w:p w14:paraId="3154234A">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eastAsia="zh-CN"/>
        </w:rPr>
      </w:pPr>
    </w:p>
    <w:p w14:paraId="606363A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eastAsia="zh-CN"/>
        </w:rPr>
      </w:pPr>
    </w:p>
    <w:p w14:paraId="6A5F0C8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eastAsia="zh-CN"/>
        </w:rPr>
      </w:pPr>
    </w:p>
    <w:p w14:paraId="55F9DB4A">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eastAsia="zh-CN"/>
        </w:rPr>
      </w:pPr>
    </w:p>
    <w:p w14:paraId="0CE52ED9">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eastAsia="zh-CN"/>
        </w:rPr>
      </w:pPr>
    </w:p>
    <w:p w14:paraId="7A9817B2">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eastAsia="zh-CN"/>
        </w:rPr>
      </w:pPr>
    </w:p>
    <w:p w14:paraId="5F6B1802">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2"/>
          <w:szCs w:val="22"/>
          <w:lang w:val="en-US" w:eastAsia="zh-CN"/>
        </w:rPr>
      </w:pPr>
    </w:p>
    <w:p w14:paraId="42F47B79">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16"/>
          <w:szCs w:val="16"/>
          <w:lang w:val="en-US" w:eastAsia="zh-CN"/>
        </w:rPr>
      </w:pPr>
      <w:r>
        <w:rPr>
          <w:rFonts w:hint="default" w:ascii="Times New Roman" w:hAnsi="Times New Roman" w:eastAsia="仿宋" w:cs="Times New Roman"/>
          <w:kern w:val="0"/>
          <w:sz w:val="16"/>
          <w:szCs w:val="16"/>
          <w:lang w:val="en-US" w:eastAsia="zh-CN"/>
        </w:rPr>
        <w:drawing>
          <wp:inline distT="0" distB="0" distL="114300" distR="114300">
            <wp:extent cx="5273040" cy="3912870"/>
            <wp:effectExtent l="0" t="0" r="3810" b="11430"/>
            <wp:docPr id="12" name="图片 12" descr="S4(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4(3)_01"/>
                    <pic:cNvPicPr>
                      <a:picLocks noChangeAspect="1"/>
                    </pic:cNvPicPr>
                  </pic:nvPicPr>
                  <pic:blipFill>
                    <a:blip r:embed="rId7"/>
                    <a:stretch>
                      <a:fillRect/>
                    </a:stretch>
                  </pic:blipFill>
                  <pic:spPr>
                    <a:xfrm>
                      <a:off x="0" y="0"/>
                      <a:ext cx="5273040" cy="3912870"/>
                    </a:xfrm>
                    <a:prstGeom prst="rect">
                      <a:avLst/>
                    </a:prstGeom>
                  </pic:spPr>
                </pic:pic>
              </a:graphicData>
            </a:graphic>
          </wp:inline>
        </w:drawing>
      </w:r>
    </w:p>
    <w:p w14:paraId="5161EB7E">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0"/>
          <w:szCs w:val="20"/>
          <w:lang w:val="en-US" w:eastAsia="zh-CN"/>
        </w:rPr>
      </w:pPr>
      <w:r>
        <w:rPr>
          <w:rFonts w:hint="default" w:ascii="Times New Roman" w:hAnsi="Times New Roman" w:eastAsia="仿宋" w:cs="Times New Roman"/>
          <w:b/>
          <w:bCs/>
          <w:kern w:val="0"/>
          <w:sz w:val="20"/>
          <w:szCs w:val="20"/>
          <w:lang w:val="en-US" w:eastAsia="zh-CN"/>
        </w:rPr>
        <w:t>Supplementary Fig. 4</w:t>
      </w:r>
      <w:r>
        <w:rPr>
          <w:rFonts w:hint="default" w:ascii="Times New Roman" w:hAnsi="Times New Roman" w:eastAsia="宋体" w:cs="Times New Roman"/>
          <w:sz w:val="20"/>
          <w:szCs w:val="20"/>
          <w:lang w:eastAsia="zh-CN"/>
        </w:rPr>
        <w:t xml:space="preserve"> </w:t>
      </w:r>
      <w:r>
        <w:rPr>
          <w:rFonts w:hint="default" w:ascii="Times New Roman" w:hAnsi="Times New Roman" w:eastAsia="宋体" w:cs="Times New Roman"/>
          <w:b/>
          <w:bCs/>
          <w:sz w:val="20"/>
          <w:szCs w:val="20"/>
          <w:lang w:val="en-US" w:eastAsia="zh-CN"/>
        </w:rPr>
        <w:t>Single-cell expression atlas after deep-space flight.</w:t>
      </w:r>
      <w:r>
        <w:rPr>
          <w:rFonts w:hint="default" w:ascii="Times New Roman" w:hAnsi="Times New Roman" w:eastAsia="宋体" w:cs="Times New Roman"/>
          <w:sz w:val="20"/>
          <w:szCs w:val="20"/>
          <w:lang w:eastAsia="zh-CN"/>
        </w:rPr>
        <w:t xml:space="preserve"> </w:t>
      </w:r>
      <w:r>
        <w:rPr>
          <w:rFonts w:hint="default" w:ascii="Times New Roman" w:hAnsi="Times New Roman" w:eastAsia="宋体" w:cs="Times New Roman"/>
          <w:b/>
          <w:bCs/>
          <w:sz w:val="20"/>
          <w:szCs w:val="20"/>
          <w:lang w:val="en-US" w:eastAsia="zh-CN"/>
        </w:rPr>
        <w:t>a</w:t>
      </w:r>
      <w:r>
        <w:rPr>
          <w:rFonts w:hint="default" w:ascii="Times New Roman" w:hAnsi="Times New Roman" w:eastAsia="宋体" w:cs="Times New Roman"/>
          <w:sz w:val="20"/>
          <w:szCs w:val="20"/>
          <w:lang w:val="en-US" w:eastAsia="zh-CN"/>
        </w:rPr>
        <w:t xml:space="preserve"> </w:t>
      </w:r>
      <w:r>
        <w:rPr>
          <w:rFonts w:hint="default" w:ascii="Times New Roman" w:hAnsi="Times New Roman" w:eastAsia="宋体" w:cs="Times New Roman"/>
          <w:sz w:val="20"/>
          <w:szCs w:val="20"/>
          <w:lang w:eastAsia="zh-CN"/>
        </w:rPr>
        <w:t xml:space="preserve">13 clusters divided into 5 cell types based on cell marker genes, with circle size indicating the relative percentage of cells expressing marker genes and color indicating relative expression levels. </w:t>
      </w:r>
      <w:r>
        <w:rPr>
          <w:rFonts w:hint="default" w:ascii="Times New Roman" w:hAnsi="Times New Roman" w:eastAsia="宋体" w:cs="Times New Roman"/>
          <w:b/>
          <w:bCs/>
          <w:sz w:val="20"/>
          <w:szCs w:val="20"/>
          <w:lang w:val="en-US" w:eastAsia="zh-CN"/>
        </w:rPr>
        <w:t>b</w:t>
      </w:r>
      <w:r>
        <w:rPr>
          <w:rFonts w:hint="default" w:ascii="Times New Roman" w:hAnsi="Times New Roman" w:eastAsia="宋体" w:cs="Times New Roman"/>
          <w:sz w:val="20"/>
          <w:szCs w:val="20"/>
          <w:lang w:val="en-US" w:eastAsia="zh-CN"/>
        </w:rPr>
        <w:t xml:space="preserve"> </w:t>
      </w:r>
      <w:r>
        <w:rPr>
          <w:rFonts w:hint="default" w:ascii="Times New Roman" w:hAnsi="Times New Roman" w:eastAsia="宋体" w:cs="Times New Roman"/>
          <w:sz w:val="20"/>
          <w:szCs w:val="20"/>
          <w:lang w:eastAsia="zh-CN"/>
        </w:rPr>
        <w:t>Differences in the proportions of 5 cell types between scCK and scTK</w:t>
      </w:r>
      <w:r>
        <w:rPr>
          <w:rFonts w:hint="default" w:ascii="Times New Roman" w:hAnsi="Times New Roman" w:eastAsia="宋体" w:cs="Times New Roman"/>
          <w:sz w:val="20"/>
          <w:szCs w:val="20"/>
          <w:lang w:val="en-US" w:eastAsia="zh-CN"/>
        </w:rPr>
        <w:t xml:space="preserve"> (n = 3 biological replicates)</w:t>
      </w:r>
      <w:r>
        <w:rPr>
          <w:rFonts w:hint="default" w:ascii="Times New Roman" w:hAnsi="Times New Roman" w:eastAsia="宋体" w:cs="Times New Roman"/>
          <w:sz w:val="20"/>
          <w:szCs w:val="20"/>
          <w:lang w:eastAsia="zh-CN"/>
        </w:rPr>
        <w:t xml:space="preserve">. </w:t>
      </w:r>
      <w:r>
        <w:rPr>
          <w:rFonts w:hint="default" w:ascii="Times New Roman" w:hAnsi="Times New Roman" w:eastAsia="宋体" w:cs="Times New Roman"/>
          <w:b/>
          <w:bCs/>
          <w:sz w:val="20"/>
          <w:szCs w:val="20"/>
          <w:lang w:val="en-US" w:eastAsia="zh-CN"/>
        </w:rPr>
        <w:t>c</w:t>
      </w:r>
      <w:r>
        <w:rPr>
          <w:rFonts w:hint="default" w:ascii="Times New Roman" w:hAnsi="Times New Roman" w:eastAsia="宋体" w:cs="Times New Roman"/>
          <w:sz w:val="20"/>
          <w:szCs w:val="20"/>
          <w:lang w:val="en-US" w:eastAsia="zh-CN"/>
        </w:rPr>
        <w:t xml:space="preserve"> Pseudotime analysis</w:t>
      </w:r>
      <w:r>
        <w:rPr>
          <w:rFonts w:hint="default" w:ascii="Times New Roman" w:hAnsi="Times New Roman" w:eastAsia="宋体" w:cs="Times New Roman"/>
          <w:sz w:val="20"/>
          <w:szCs w:val="20"/>
          <w:lang w:eastAsia="zh-CN"/>
        </w:rPr>
        <w:t>, with colors indicating the degree of differentiation and arrows indicating the direction of differentiation</w:t>
      </w:r>
      <w:r>
        <w:rPr>
          <w:rFonts w:hint="default" w:ascii="Times New Roman" w:hAnsi="Times New Roman" w:eastAsia="宋体" w:cs="Times New Roman"/>
          <w:sz w:val="20"/>
          <w:szCs w:val="20"/>
          <w:lang w:val="en-US" w:eastAsia="zh-CN"/>
        </w:rPr>
        <w:t>.</w:t>
      </w:r>
    </w:p>
    <w:p w14:paraId="3074A08C">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16"/>
          <w:szCs w:val="16"/>
          <w:lang w:val="en-US" w:eastAsia="zh-CN"/>
        </w:rPr>
      </w:pPr>
      <w:r>
        <w:rPr>
          <w:rFonts w:hint="default" w:ascii="Times New Roman" w:hAnsi="Times New Roman" w:eastAsia="仿宋" w:cs="Times New Roman"/>
          <w:kern w:val="0"/>
          <w:sz w:val="16"/>
          <w:szCs w:val="16"/>
          <w:lang w:val="en-US" w:eastAsia="zh-CN"/>
        </w:rPr>
        <w:drawing>
          <wp:inline distT="0" distB="0" distL="114300" distR="114300">
            <wp:extent cx="5273040" cy="4967605"/>
            <wp:effectExtent l="0" t="0" r="3810" b="4445"/>
            <wp:docPr id="13" name="图片 13" descr="S5(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S5(4)_01"/>
                    <pic:cNvPicPr>
                      <a:picLocks noChangeAspect="1"/>
                    </pic:cNvPicPr>
                  </pic:nvPicPr>
                  <pic:blipFill>
                    <a:blip r:embed="rId8"/>
                    <a:stretch>
                      <a:fillRect/>
                    </a:stretch>
                  </pic:blipFill>
                  <pic:spPr>
                    <a:xfrm>
                      <a:off x="0" y="0"/>
                      <a:ext cx="5273040" cy="4967605"/>
                    </a:xfrm>
                    <a:prstGeom prst="rect">
                      <a:avLst/>
                    </a:prstGeom>
                  </pic:spPr>
                </pic:pic>
              </a:graphicData>
            </a:graphic>
          </wp:inline>
        </w:drawing>
      </w:r>
    </w:p>
    <w:p w14:paraId="3D00870D">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0"/>
          <w:szCs w:val="20"/>
          <w:lang w:val="en-US" w:eastAsia="zh-CN"/>
        </w:rPr>
      </w:pPr>
      <w:r>
        <w:rPr>
          <w:rFonts w:hint="default" w:ascii="Times New Roman" w:hAnsi="Times New Roman" w:eastAsia="仿宋" w:cs="Times New Roman"/>
          <w:b/>
          <w:bCs/>
          <w:kern w:val="0"/>
          <w:sz w:val="20"/>
          <w:szCs w:val="20"/>
          <w:lang w:val="en-US" w:eastAsia="zh-CN"/>
        </w:rPr>
        <w:t>Supplementary Fig. 5</w:t>
      </w:r>
      <w:r>
        <w:rPr>
          <w:rFonts w:hint="default" w:ascii="Times New Roman" w:hAnsi="Times New Roman" w:eastAsia="宋体" w:cs="Times New Roman"/>
          <w:sz w:val="20"/>
          <w:szCs w:val="20"/>
          <w:lang w:eastAsia="zh-CN"/>
        </w:rPr>
        <w:t xml:space="preserve"> </w:t>
      </w:r>
      <w:r>
        <w:rPr>
          <w:rFonts w:hint="default" w:ascii="Times New Roman" w:hAnsi="Times New Roman" w:eastAsia="宋体" w:cs="Times New Roman"/>
          <w:b/>
          <w:bCs/>
          <w:sz w:val="20"/>
          <w:szCs w:val="20"/>
          <w:lang w:val="en-US" w:eastAsia="zh-CN"/>
        </w:rPr>
        <w:t>Cell proportion differences of pseudotime analysis, enrichment of RNA-seq DEGs. a</w:t>
      </w:r>
      <w:r>
        <w:rPr>
          <w:rFonts w:hint="default" w:ascii="Times New Roman" w:hAnsi="Times New Roman" w:eastAsia="宋体" w:cs="Times New Roman"/>
          <w:sz w:val="20"/>
          <w:szCs w:val="20"/>
          <w:lang w:val="en-US" w:eastAsia="zh-CN"/>
        </w:rPr>
        <w:t xml:space="preserve"> P</w:t>
      </w:r>
      <w:r>
        <w:rPr>
          <w:rFonts w:hint="default" w:ascii="Times New Roman" w:hAnsi="Times New Roman" w:eastAsia="宋体" w:cs="Times New Roman"/>
          <w:sz w:val="20"/>
          <w:szCs w:val="20"/>
          <w:lang w:eastAsia="zh-CN"/>
        </w:rPr>
        <w:t xml:space="preserve">seudotime analysis showing 7 </w:t>
      </w:r>
      <w:r>
        <w:rPr>
          <w:rFonts w:hint="default" w:ascii="Times New Roman" w:hAnsi="Times New Roman" w:eastAsia="宋体" w:cs="Times New Roman"/>
          <w:sz w:val="20"/>
          <w:szCs w:val="20"/>
          <w:lang w:val="en-US" w:eastAsia="zh-CN"/>
        </w:rPr>
        <w:t>state</w:t>
      </w:r>
      <w:r>
        <w:rPr>
          <w:rFonts w:hint="default" w:ascii="Times New Roman" w:hAnsi="Times New Roman" w:eastAsia="宋体" w:cs="Times New Roman"/>
          <w:sz w:val="20"/>
          <w:szCs w:val="20"/>
          <w:lang w:eastAsia="zh-CN"/>
        </w:rPr>
        <w:t>s, with differences in the proportions of 5 cell types between scCK and scTK in each branch</w:t>
      </w:r>
      <w:r>
        <w:rPr>
          <w:rFonts w:hint="default" w:ascii="Times New Roman" w:hAnsi="Times New Roman" w:eastAsia="宋体" w:cs="Times New Roman"/>
          <w:sz w:val="20"/>
          <w:szCs w:val="20"/>
          <w:lang w:val="en-US" w:eastAsia="zh-CN"/>
        </w:rPr>
        <w:t xml:space="preserve"> (n = 3 biological replicates)</w:t>
      </w:r>
      <w:r>
        <w:rPr>
          <w:rFonts w:hint="default" w:ascii="Times New Roman" w:hAnsi="Times New Roman" w:eastAsia="宋体" w:cs="Times New Roman"/>
          <w:sz w:val="20"/>
          <w:szCs w:val="20"/>
          <w:lang w:eastAsia="zh-CN"/>
        </w:rPr>
        <w:t xml:space="preserve">. </w:t>
      </w:r>
      <w:r>
        <w:rPr>
          <w:rFonts w:hint="default" w:ascii="Times New Roman" w:hAnsi="Times New Roman" w:eastAsia="宋体" w:cs="Times New Roman"/>
          <w:b/>
          <w:bCs/>
          <w:sz w:val="20"/>
          <w:szCs w:val="20"/>
          <w:lang w:val="en-US" w:eastAsia="zh-CN"/>
        </w:rPr>
        <w:t>b</w:t>
      </w:r>
      <w:r>
        <w:rPr>
          <w:rFonts w:hint="default" w:ascii="Times New Roman" w:hAnsi="Times New Roman" w:eastAsia="宋体" w:cs="Times New Roman"/>
          <w:sz w:val="20"/>
          <w:szCs w:val="20"/>
          <w:lang w:val="en-US" w:eastAsia="zh-CN"/>
        </w:rPr>
        <w:t xml:space="preserve"> </w:t>
      </w:r>
      <w:r>
        <w:rPr>
          <w:rFonts w:hint="default" w:ascii="Times New Roman" w:hAnsi="Times New Roman" w:eastAsia="宋体" w:cs="Times New Roman"/>
          <w:sz w:val="20"/>
          <w:szCs w:val="20"/>
          <w:lang w:eastAsia="zh-CN"/>
        </w:rPr>
        <w:t xml:space="preserve">GO enrichment of RNA-seq DEGs, showing the top 20 biological processes based on -log10(Q value), with circle size indicating the number of genes and color indicating significance. </w:t>
      </w:r>
      <w:r>
        <w:rPr>
          <w:rFonts w:hint="default" w:ascii="Times New Roman" w:hAnsi="Times New Roman" w:eastAsia="宋体" w:cs="Times New Roman"/>
          <w:b/>
          <w:bCs/>
          <w:sz w:val="20"/>
          <w:szCs w:val="20"/>
          <w:lang w:val="en-US" w:eastAsia="zh-CN"/>
        </w:rPr>
        <w:t>c</w:t>
      </w:r>
      <w:r>
        <w:rPr>
          <w:rFonts w:hint="default" w:ascii="Times New Roman" w:hAnsi="Times New Roman" w:eastAsia="宋体" w:cs="Times New Roman"/>
          <w:sz w:val="20"/>
          <w:szCs w:val="20"/>
          <w:lang w:val="en-US" w:eastAsia="zh-CN"/>
        </w:rPr>
        <w:t xml:space="preserve"> </w:t>
      </w:r>
      <w:r>
        <w:rPr>
          <w:rFonts w:hint="default" w:ascii="Times New Roman" w:hAnsi="Times New Roman" w:eastAsia="宋体" w:cs="Times New Roman"/>
          <w:sz w:val="20"/>
          <w:szCs w:val="20"/>
          <w:lang w:eastAsia="zh-CN"/>
        </w:rPr>
        <w:t>KEGG enrichment of RNA-seq DEGs, showing the top 20 pathways based on -log10(Q value), with circle size indicating the number of genes and color indicating significance.</w:t>
      </w:r>
    </w:p>
    <w:p w14:paraId="6472CB5A">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16"/>
          <w:szCs w:val="16"/>
          <w:lang w:val="en-US" w:eastAsia="zh-CN"/>
        </w:rPr>
      </w:pPr>
      <w:r>
        <w:rPr>
          <w:rFonts w:hint="default" w:ascii="Times New Roman" w:hAnsi="Times New Roman" w:eastAsia="仿宋" w:cs="Times New Roman"/>
          <w:kern w:val="0"/>
          <w:sz w:val="16"/>
          <w:szCs w:val="16"/>
          <w:lang w:val="en-US" w:eastAsia="zh-CN"/>
        </w:rPr>
        <w:drawing>
          <wp:inline distT="0" distB="0" distL="114300" distR="114300">
            <wp:extent cx="5273040" cy="5316220"/>
            <wp:effectExtent l="0" t="0" r="3810" b="17780"/>
            <wp:docPr id="14" name="图片 14" descr="S6(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S6(2)_01"/>
                    <pic:cNvPicPr>
                      <a:picLocks noChangeAspect="1"/>
                    </pic:cNvPicPr>
                  </pic:nvPicPr>
                  <pic:blipFill>
                    <a:blip r:embed="rId9"/>
                    <a:stretch>
                      <a:fillRect/>
                    </a:stretch>
                  </pic:blipFill>
                  <pic:spPr>
                    <a:xfrm>
                      <a:off x="0" y="0"/>
                      <a:ext cx="5273040" cy="5316220"/>
                    </a:xfrm>
                    <a:prstGeom prst="rect">
                      <a:avLst/>
                    </a:prstGeom>
                  </pic:spPr>
                </pic:pic>
              </a:graphicData>
            </a:graphic>
          </wp:inline>
        </w:drawing>
      </w:r>
    </w:p>
    <w:p w14:paraId="6252FC34">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0"/>
          <w:szCs w:val="20"/>
          <w:lang w:val="en-US" w:eastAsia="zh-CN"/>
        </w:rPr>
      </w:pPr>
      <w:r>
        <w:rPr>
          <w:rFonts w:hint="default" w:ascii="Times New Roman" w:hAnsi="Times New Roman" w:eastAsia="仿宋" w:cs="Times New Roman"/>
          <w:b/>
          <w:bCs/>
          <w:kern w:val="0"/>
          <w:sz w:val="20"/>
          <w:szCs w:val="20"/>
          <w:lang w:val="en-US" w:eastAsia="zh-CN"/>
        </w:rPr>
        <w:t>Supplementary Fig. 6</w:t>
      </w:r>
      <w:r>
        <w:rPr>
          <w:rFonts w:hint="default" w:ascii="Times New Roman" w:hAnsi="Times New Roman" w:eastAsia="宋体" w:cs="Times New Roman"/>
          <w:sz w:val="20"/>
          <w:szCs w:val="20"/>
          <w:lang w:eastAsia="zh-CN"/>
        </w:rPr>
        <w:t xml:space="preserve"> </w:t>
      </w:r>
      <w:r>
        <w:rPr>
          <w:rFonts w:hint="default" w:ascii="Times New Roman" w:hAnsi="Times New Roman" w:eastAsia="宋体" w:cs="Times New Roman"/>
          <w:b/>
          <w:bCs/>
          <w:sz w:val="20"/>
          <w:szCs w:val="20"/>
          <w:lang w:val="en-US" w:eastAsia="zh-CN"/>
        </w:rPr>
        <w:t>m6A modification after deep-space flight. a</w:t>
      </w:r>
      <w:r>
        <w:rPr>
          <w:rFonts w:hint="default" w:ascii="Times New Roman" w:hAnsi="Times New Roman" w:eastAsia="宋体" w:cs="Times New Roman"/>
          <w:b w:val="0"/>
          <w:bCs w:val="0"/>
          <w:sz w:val="20"/>
          <w:szCs w:val="20"/>
          <w:lang w:val="en-US" w:eastAsia="zh-CN"/>
        </w:rPr>
        <w:t xml:space="preserve"> PCA analysis plot of CK and TK. </w:t>
      </w:r>
      <w:r>
        <w:rPr>
          <w:rFonts w:hint="default" w:ascii="Times New Roman" w:hAnsi="Times New Roman" w:eastAsia="宋体" w:cs="Times New Roman"/>
          <w:b/>
          <w:bCs/>
          <w:sz w:val="20"/>
          <w:szCs w:val="20"/>
          <w:lang w:val="en-US" w:eastAsia="zh-CN"/>
        </w:rPr>
        <w:t>b</w:t>
      </w:r>
      <w:r>
        <w:rPr>
          <w:rFonts w:hint="default" w:ascii="Times New Roman" w:hAnsi="Times New Roman" w:eastAsia="宋体" w:cs="Times New Roman"/>
          <w:b w:val="0"/>
          <w:bCs w:val="0"/>
          <w:sz w:val="20"/>
          <w:szCs w:val="20"/>
          <w:lang w:val="en-US" w:eastAsia="zh-CN"/>
        </w:rPr>
        <w:t xml:space="preserve"> Number of upregulated and downregulated peaks. </w:t>
      </w:r>
      <w:r>
        <w:rPr>
          <w:rFonts w:hint="default" w:ascii="Times New Roman" w:hAnsi="Times New Roman" w:eastAsia="宋体" w:cs="Times New Roman"/>
          <w:b/>
          <w:bCs/>
          <w:sz w:val="20"/>
          <w:szCs w:val="20"/>
          <w:lang w:val="en-US" w:eastAsia="zh-CN"/>
        </w:rPr>
        <w:t>c</w:t>
      </w:r>
      <w:r>
        <w:rPr>
          <w:rFonts w:hint="default" w:ascii="Times New Roman" w:hAnsi="Times New Roman" w:eastAsia="宋体" w:cs="Times New Roman"/>
          <w:b w:val="0"/>
          <w:bCs w:val="0"/>
          <w:sz w:val="20"/>
          <w:szCs w:val="20"/>
          <w:lang w:val="en-US" w:eastAsia="zh-CN"/>
        </w:rPr>
        <w:t xml:space="preserve"> Intersection of m6A differential peaks and RNA-seq DEGs. </w:t>
      </w:r>
      <w:r>
        <w:rPr>
          <w:rFonts w:hint="default" w:ascii="Times New Roman" w:hAnsi="Times New Roman" w:eastAsia="宋体" w:cs="Times New Roman"/>
          <w:b/>
          <w:bCs/>
          <w:sz w:val="20"/>
          <w:szCs w:val="20"/>
          <w:lang w:val="en-US" w:eastAsia="zh-CN"/>
        </w:rPr>
        <w:t>d</w:t>
      </w:r>
      <w:r>
        <w:rPr>
          <w:rFonts w:hint="default" w:ascii="Times New Roman" w:hAnsi="Times New Roman" w:eastAsia="宋体" w:cs="Times New Roman"/>
          <w:b w:val="0"/>
          <w:bCs w:val="0"/>
          <w:sz w:val="20"/>
          <w:szCs w:val="20"/>
          <w:lang w:val="en-US" w:eastAsia="zh-CN"/>
        </w:rPr>
        <w:t xml:space="preserve"> GO enrichment of differential peak genes, top 20 biological processes based on -log10(Q value), circle size represents the number of genes, color represents significance level. </w:t>
      </w:r>
      <w:r>
        <w:rPr>
          <w:rFonts w:hint="default" w:ascii="Times New Roman" w:hAnsi="Times New Roman" w:eastAsia="宋体" w:cs="Times New Roman"/>
          <w:b/>
          <w:bCs/>
          <w:sz w:val="20"/>
          <w:szCs w:val="20"/>
          <w:lang w:val="en-US" w:eastAsia="zh-CN"/>
        </w:rPr>
        <w:t>e</w:t>
      </w:r>
      <w:r>
        <w:rPr>
          <w:rFonts w:hint="default" w:ascii="Times New Roman" w:hAnsi="Times New Roman" w:eastAsia="宋体" w:cs="Times New Roman"/>
          <w:b w:val="0"/>
          <w:bCs w:val="0"/>
          <w:sz w:val="20"/>
          <w:szCs w:val="20"/>
          <w:lang w:val="en-US" w:eastAsia="zh-CN"/>
        </w:rPr>
        <w:t xml:space="preserve"> KEGG enrichment of differential peak genes, top 20 pathways based on -log10(Q value), circle size represents the number of genes, color represents significance level. </w:t>
      </w:r>
      <w:r>
        <w:rPr>
          <w:rFonts w:hint="default" w:ascii="Times New Roman" w:hAnsi="Times New Roman" w:eastAsia="宋体" w:cs="Times New Roman"/>
          <w:b/>
          <w:bCs/>
          <w:sz w:val="20"/>
          <w:szCs w:val="20"/>
          <w:lang w:val="en-US" w:eastAsia="zh-CN"/>
        </w:rPr>
        <w:t>f</w:t>
      </w:r>
      <w:r>
        <w:rPr>
          <w:rFonts w:hint="default" w:ascii="Times New Roman" w:hAnsi="Times New Roman" w:eastAsia="宋体" w:cs="Times New Roman"/>
          <w:b w:val="0"/>
          <w:bCs w:val="0"/>
          <w:sz w:val="20"/>
          <w:szCs w:val="20"/>
          <w:lang w:val="en-US" w:eastAsia="zh-CN"/>
        </w:rPr>
        <w:t xml:space="preserve"> Expression level differences of mRNAs with and without m6A modification in CK samples. </w:t>
      </w:r>
      <w:r>
        <w:rPr>
          <w:rFonts w:hint="default" w:ascii="Times New Roman" w:hAnsi="Times New Roman" w:eastAsia="宋体" w:cs="Times New Roman"/>
          <w:b/>
          <w:bCs/>
          <w:sz w:val="20"/>
          <w:szCs w:val="20"/>
          <w:lang w:val="en-US" w:eastAsia="zh-CN"/>
        </w:rPr>
        <w:t>g</w:t>
      </w:r>
      <w:r>
        <w:rPr>
          <w:rFonts w:hint="default" w:ascii="Times New Roman" w:hAnsi="Times New Roman" w:eastAsia="宋体" w:cs="Times New Roman"/>
          <w:b w:val="0"/>
          <w:bCs w:val="0"/>
          <w:sz w:val="20"/>
          <w:szCs w:val="20"/>
          <w:lang w:val="en-US" w:eastAsia="zh-CN"/>
        </w:rPr>
        <w:t xml:space="preserve"> Expression level differences of mRNAs with and without m6A modification in TK samples. </w:t>
      </w:r>
      <w:r>
        <w:rPr>
          <w:rFonts w:hint="default" w:ascii="Times New Roman" w:hAnsi="Times New Roman" w:eastAsia="宋体" w:cs="Times New Roman"/>
          <w:b/>
          <w:bCs/>
          <w:sz w:val="20"/>
          <w:szCs w:val="20"/>
          <w:lang w:val="en-US" w:eastAsia="zh-CN"/>
        </w:rPr>
        <w:t>h</w:t>
      </w:r>
      <w:r>
        <w:rPr>
          <w:rFonts w:hint="default" w:ascii="Times New Roman" w:hAnsi="Times New Roman" w:eastAsia="宋体" w:cs="Times New Roman"/>
          <w:b w:val="0"/>
          <w:bCs w:val="0"/>
          <w:sz w:val="20"/>
          <w:szCs w:val="20"/>
          <w:lang w:val="en-US" w:eastAsia="zh-CN"/>
        </w:rPr>
        <w:t xml:space="preserve"> Intersection of RNA-seq DEGs, scRNA-seq intergroup differential genes, scRNA-seq genes affecting cell differentiation fate, and m6A differential peak genes.</w:t>
      </w:r>
    </w:p>
    <w:p w14:paraId="4A27B123">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16"/>
          <w:szCs w:val="16"/>
          <w:lang w:val="en-US" w:eastAsia="zh-CN"/>
        </w:rPr>
      </w:pPr>
      <w:r>
        <w:rPr>
          <w:rFonts w:hint="default" w:ascii="Times New Roman" w:hAnsi="Times New Roman" w:eastAsia="仿宋" w:cs="Times New Roman"/>
          <w:kern w:val="0"/>
          <w:sz w:val="16"/>
          <w:szCs w:val="16"/>
          <w:lang w:val="en-US" w:eastAsia="zh-CN"/>
        </w:rPr>
        <w:drawing>
          <wp:inline distT="0" distB="0" distL="114300" distR="114300">
            <wp:extent cx="5273040" cy="5261610"/>
            <wp:effectExtent l="0" t="0" r="3810" b="15240"/>
            <wp:docPr id="15" name="图片 15" descr="S7(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S7(2)_01"/>
                    <pic:cNvPicPr>
                      <a:picLocks noChangeAspect="1"/>
                    </pic:cNvPicPr>
                  </pic:nvPicPr>
                  <pic:blipFill>
                    <a:blip r:embed="rId10"/>
                    <a:stretch>
                      <a:fillRect/>
                    </a:stretch>
                  </pic:blipFill>
                  <pic:spPr>
                    <a:xfrm>
                      <a:off x="0" y="0"/>
                      <a:ext cx="5273040" cy="5261610"/>
                    </a:xfrm>
                    <a:prstGeom prst="rect">
                      <a:avLst/>
                    </a:prstGeom>
                  </pic:spPr>
                </pic:pic>
              </a:graphicData>
            </a:graphic>
          </wp:inline>
        </w:drawing>
      </w:r>
    </w:p>
    <w:p w14:paraId="5F3EFFAA">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b w:val="0"/>
          <w:bCs w:val="0"/>
          <w:kern w:val="0"/>
          <w:sz w:val="20"/>
          <w:szCs w:val="20"/>
          <w:lang w:val="en-US" w:eastAsia="zh-CN"/>
        </w:rPr>
      </w:pPr>
      <w:r>
        <w:rPr>
          <w:rFonts w:hint="default" w:ascii="Times New Roman" w:hAnsi="Times New Roman" w:eastAsia="仿宋" w:cs="Times New Roman"/>
          <w:b/>
          <w:bCs/>
          <w:kern w:val="0"/>
          <w:sz w:val="20"/>
          <w:szCs w:val="20"/>
          <w:lang w:val="en-US" w:eastAsia="zh-CN"/>
        </w:rPr>
        <w:t>Supplementary Fig. 7</w:t>
      </w:r>
      <w:r>
        <w:rPr>
          <w:rFonts w:hint="default" w:ascii="Times New Roman" w:hAnsi="Times New Roman" w:eastAsia="宋体" w:cs="Times New Roman"/>
          <w:sz w:val="20"/>
          <w:szCs w:val="20"/>
          <w:lang w:eastAsia="zh-CN"/>
        </w:rPr>
        <w:t xml:space="preserve"> </w:t>
      </w:r>
      <w:r>
        <w:rPr>
          <w:rFonts w:hint="default" w:ascii="Times New Roman" w:hAnsi="Times New Roman" w:eastAsia="宋体" w:cs="Times New Roman"/>
          <w:b/>
          <w:bCs/>
          <w:sz w:val="20"/>
          <w:szCs w:val="20"/>
          <w:lang w:val="en-US" w:eastAsia="zh-CN"/>
        </w:rPr>
        <w:t>SVT1-mediated MAPK pathway inhibits genomic variation transmission. a</w:t>
      </w:r>
      <w:r>
        <w:rPr>
          <w:rFonts w:hint="default" w:ascii="Times New Roman" w:hAnsi="Times New Roman" w:eastAsia="宋体" w:cs="Times New Roman"/>
          <w:b w:val="0"/>
          <w:bCs w:val="0"/>
          <w:sz w:val="20"/>
          <w:szCs w:val="20"/>
          <w:lang w:val="en-US" w:eastAsia="zh-CN"/>
        </w:rPr>
        <w:t xml:space="preserve"> Rice seed embryo cell marker, circle size represents the relative percentage of cells expressing the marker gene, and color represents the relative expression level. </w:t>
      </w:r>
      <w:r>
        <w:rPr>
          <w:rFonts w:hint="default" w:ascii="Times New Roman" w:hAnsi="Times New Roman" w:eastAsia="宋体" w:cs="Times New Roman"/>
          <w:b/>
          <w:bCs/>
          <w:sz w:val="20"/>
          <w:szCs w:val="20"/>
          <w:lang w:val="en-US" w:eastAsia="zh-CN"/>
        </w:rPr>
        <w:t>b</w:t>
      </w:r>
      <w:r>
        <w:rPr>
          <w:rFonts w:hint="default" w:ascii="Times New Roman" w:hAnsi="Times New Roman" w:eastAsia="宋体" w:cs="Times New Roman"/>
          <w:b w:val="0"/>
          <w:bCs w:val="0"/>
          <w:sz w:val="20"/>
          <w:szCs w:val="20"/>
          <w:lang w:val="en-US" w:eastAsia="zh-CN"/>
        </w:rPr>
        <w:t xml:space="preserve"> Proportions of different cell types and cell regions in WT and svt1. </w:t>
      </w:r>
      <w:r>
        <w:rPr>
          <w:rFonts w:hint="default" w:ascii="Times New Roman" w:hAnsi="Times New Roman" w:eastAsia="宋体" w:cs="Times New Roman"/>
          <w:b/>
          <w:bCs/>
          <w:sz w:val="20"/>
          <w:szCs w:val="20"/>
          <w:lang w:val="en-US" w:eastAsia="zh-CN"/>
        </w:rPr>
        <w:t>c</w:t>
      </w:r>
      <w:r>
        <w:rPr>
          <w:rFonts w:hint="default" w:ascii="Times New Roman" w:hAnsi="Times New Roman" w:eastAsia="宋体" w:cs="Times New Roman"/>
          <w:b w:val="0"/>
          <w:bCs w:val="0"/>
          <w:sz w:val="20"/>
          <w:szCs w:val="20"/>
          <w:lang w:val="en-US" w:eastAsia="zh-CN"/>
        </w:rPr>
        <w:t xml:space="preserve"> Expression distribution of SVT1 in different cells, color represents expression level. </w:t>
      </w:r>
      <w:r>
        <w:rPr>
          <w:rFonts w:hint="default" w:ascii="Times New Roman" w:hAnsi="Times New Roman" w:eastAsia="宋体" w:cs="Times New Roman"/>
          <w:b/>
          <w:bCs/>
          <w:sz w:val="20"/>
          <w:szCs w:val="20"/>
          <w:lang w:val="en-US" w:eastAsia="zh-CN"/>
        </w:rPr>
        <w:t>d</w:t>
      </w:r>
      <w:r>
        <w:rPr>
          <w:rFonts w:hint="default" w:ascii="Times New Roman" w:hAnsi="Times New Roman" w:eastAsia="宋体" w:cs="Times New Roman"/>
          <w:b w:val="0"/>
          <w:bCs w:val="0"/>
          <w:sz w:val="20"/>
          <w:szCs w:val="20"/>
          <w:lang w:val="en-US" w:eastAsia="zh-CN"/>
        </w:rPr>
        <w:t xml:space="preserve"> Expression distribution of SK1G00063486 in different cells, color represents expression level. </w:t>
      </w:r>
      <w:r>
        <w:rPr>
          <w:rFonts w:hint="default" w:ascii="Times New Roman" w:hAnsi="Times New Roman" w:eastAsia="宋体" w:cs="Times New Roman"/>
          <w:b/>
          <w:bCs/>
          <w:sz w:val="20"/>
          <w:szCs w:val="20"/>
          <w:lang w:val="en-US" w:eastAsia="zh-CN"/>
        </w:rPr>
        <w:t xml:space="preserve">e </w:t>
      </w:r>
      <w:r>
        <w:rPr>
          <w:rFonts w:hint="default" w:ascii="Times New Roman" w:hAnsi="Times New Roman" w:eastAsia="宋体" w:cs="Times New Roman"/>
          <w:b w:val="0"/>
          <w:bCs w:val="0"/>
          <w:sz w:val="20"/>
          <w:szCs w:val="20"/>
          <w:lang w:val="en-US" w:eastAsia="zh-CN"/>
        </w:rPr>
        <w:t>Detection sites probe showed bands for the probe verification group and the competitive binding assay group, and the probe bands in the competitive binding reaction group gradually weakened, while no probe bands were observed in the mutant probe group.</w:t>
      </w:r>
    </w:p>
    <w:p w14:paraId="565A9732">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16"/>
          <w:szCs w:val="16"/>
          <w:lang w:val="en-US" w:eastAsia="zh-CN"/>
        </w:rPr>
      </w:pPr>
    </w:p>
    <w:p w14:paraId="1AC8ACD5">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16"/>
          <w:szCs w:val="16"/>
          <w:lang w:val="en-US" w:eastAsia="zh-CN"/>
        </w:rPr>
      </w:pPr>
    </w:p>
    <w:p w14:paraId="5F2D4628">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16"/>
          <w:szCs w:val="16"/>
          <w:lang w:val="en-US" w:eastAsia="zh-CN"/>
        </w:rPr>
      </w:pPr>
    </w:p>
    <w:p w14:paraId="5BE9CFBC">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b/>
          <w:bCs/>
          <w:kern w:val="0"/>
          <w:sz w:val="20"/>
          <w:szCs w:val="20"/>
          <w:lang w:val="en-US" w:eastAsia="zh-CN"/>
        </w:rPr>
      </w:pPr>
    </w:p>
    <w:p w14:paraId="47CEF5A4">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b/>
          <w:bCs/>
          <w:kern w:val="0"/>
          <w:sz w:val="20"/>
          <w:szCs w:val="20"/>
          <w:lang w:val="en-US" w:eastAsia="zh-CN"/>
        </w:rPr>
      </w:pPr>
      <w:r>
        <w:rPr>
          <w:rFonts w:hint="default" w:ascii="Times New Roman" w:hAnsi="Times New Roman" w:eastAsia="仿宋" w:cs="Times New Roman"/>
          <w:b/>
          <w:bCs/>
          <w:kern w:val="0"/>
          <w:sz w:val="20"/>
          <w:szCs w:val="20"/>
          <w:lang w:val="en-US" w:eastAsia="zh-CN"/>
        </w:rPr>
        <w:t>Abnormal function of DNA damage repair genes leads to accumulation of TK15 mutations</w:t>
      </w:r>
    </w:p>
    <w:p w14:paraId="77A76C25">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Times New Roman" w:hAnsi="Times New Roman" w:eastAsia="仿宋" w:cs="Times New Roman"/>
          <w:kern w:val="0"/>
          <w:sz w:val="20"/>
          <w:szCs w:val="20"/>
          <w:lang w:val="en-US" w:eastAsia="zh-CN"/>
        </w:rPr>
      </w:pPr>
      <w:r>
        <w:rPr>
          <w:rFonts w:hint="default" w:ascii="Times New Roman" w:hAnsi="Times New Roman" w:eastAsia="仿宋" w:cs="Times New Roman"/>
          <w:kern w:val="0"/>
          <w:sz w:val="20"/>
          <w:szCs w:val="20"/>
          <w:lang w:val="en-US" w:eastAsia="zh-CN"/>
        </w:rPr>
        <w:t xml:space="preserve">Among the 30 TK samples in this study, TK15 exhibited unique variation characteristics at the genomic and transcriptome levels, with a total of 265,320 genomic variations, accounting for 95.82% of the total mutations (Supplementary Fig. </w:t>
      </w:r>
      <w:r>
        <w:rPr>
          <w:rFonts w:hint="eastAsia" w:ascii="Times New Roman" w:hAnsi="Times New Roman" w:eastAsia="仿宋" w:cs="Times New Roman"/>
          <w:kern w:val="0"/>
          <w:sz w:val="20"/>
          <w:szCs w:val="20"/>
          <w:lang w:val="en-US" w:eastAsia="zh-CN"/>
        </w:rPr>
        <w:t>8</w:t>
      </w:r>
      <w:r>
        <w:rPr>
          <w:rFonts w:hint="default" w:ascii="Times New Roman" w:hAnsi="Times New Roman" w:eastAsia="仿宋" w:cs="Times New Roman"/>
          <w:kern w:val="0"/>
          <w:sz w:val="20"/>
          <w:szCs w:val="20"/>
          <w:lang w:val="en-US" w:eastAsia="zh-CN"/>
        </w:rPr>
        <w:t xml:space="preserve">a). Comparing with a single sample, TK15 had the highest number of DEGs, with 9,821 upregulated DEGs and 6,467 downregulated DEGs (Supplementary Fig. </w:t>
      </w:r>
      <w:r>
        <w:rPr>
          <w:rFonts w:hint="eastAsia" w:ascii="Times New Roman" w:hAnsi="Times New Roman" w:eastAsia="仿宋" w:cs="Times New Roman"/>
          <w:kern w:val="0"/>
          <w:sz w:val="20"/>
          <w:szCs w:val="20"/>
          <w:lang w:val="en-US" w:eastAsia="zh-CN"/>
        </w:rPr>
        <w:t>8b</w:t>
      </w:r>
      <w:r>
        <w:rPr>
          <w:rFonts w:hint="default" w:ascii="Times New Roman" w:hAnsi="Times New Roman" w:eastAsia="仿宋" w:cs="Times New Roman"/>
          <w:kern w:val="0"/>
          <w:sz w:val="20"/>
          <w:szCs w:val="20"/>
          <w:lang w:val="en-US" w:eastAsia="zh-CN"/>
        </w:rPr>
        <w:t xml:space="preserve">). The number of mutations in the CDS region of TK15 is 55,717, distributed across 8,881 genes. Among them, 11,450 mutation sites cause amino acid changes in 4,268 genes, accounting for 48.05% of the total number of TK15 mutation genes (Supplementary Fig. </w:t>
      </w:r>
      <w:r>
        <w:rPr>
          <w:rFonts w:hint="eastAsia" w:ascii="Times New Roman" w:hAnsi="Times New Roman" w:eastAsia="仿宋" w:cs="Times New Roman"/>
          <w:kern w:val="0"/>
          <w:sz w:val="20"/>
          <w:szCs w:val="20"/>
          <w:lang w:val="en-US" w:eastAsia="zh-CN"/>
        </w:rPr>
        <w:t>8c</w:t>
      </w:r>
      <w:r>
        <w:rPr>
          <w:rFonts w:hint="default" w:ascii="Times New Roman" w:hAnsi="Times New Roman" w:eastAsia="仿宋" w:cs="Times New Roman"/>
          <w:kern w:val="0"/>
          <w:sz w:val="20"/>
          <w:szCs w:val="20"/>
          <w:lang w:val="en-US" w:eastAsia="zh-CN"/>
        </w:rPr>
        <w:t xml:space="preserve">). KEGG enrichment was performed on the mutated genes, and significant enrichment was observed in DNA damage repair pathways such as homologous recombination (Supplementary Fig. </w:t>
      </w:r>
      <w:r>
        <w:rPr>
          <w:rFonts w:hint="eastAsia" w:ascii="Times New Roman" w:hAnsi="Times New Roman" w:eastAsia="仿宋" w:cs="Times New Roman"/>
          <w:kern w:val="0"/>
          <w:sz w:val="20"/>
          <w:szCs w:val="20"/>
          <w:lang w:val="en-US" w:eastAsia="zh-CN"/>
        </w:rPr>
        <w:t>8d</w:t>
      </w:r>
      <w:r>
        <w:rPr>
          <w:rFonts w:hint="default" w:ascii="Times New Roman" w:hAnsi="Times New Roman" w:eastAsia="仿宋" w:cs="Times New Roman"/>
          <w:kern w:val="0"/>
          <w:sz w:val="20"/>
          <w:szCs w:val="20"/>
          <w:lang w:val="en-US" w:eastAsia="zh-CN"/>
        </w:rPr>
        <w:t xml:space="preserve">). A total of 44 genes were involved in DNA damage repair related pathways, of which 19 genes encoded altered amino acids. Except for TK15, the 29 samples had 11,578 mutations in the CDS region, located on 1,123 genes. However, only 306 mutation sites caused amino acid changes in 186 genes, accounting for 16.6% of the total number of mutated genes (Supplementary Fig. </w:t>
      </w:r>
      <w:r>
        <w:rPr>
          <w:rFonts w:hint="eastAsia" w:ascii="Times New Roman" w:hAnsi="Times New Roman" w:eastAsia="仿宋" w:cs="Times New Roman"/>
          <w:kern w:val="0"/>
          <w:sz w:val="20"/>
          <w:szCs w:val="20"/>
          <w:lang w:val="en-US" w:eastAsia="zh-CN"/>
        </w:rPr>
        <w:t>8e</w:t>
      </w:r>
      <w:r>
        <w:rPr>
          <w:rFonts w:hint="default" w:ascii="Times New Roman" w:hAnsi="Times New Roman" w:eastAsia="仿宋" w:cs="Times New Roman"/>
          <w:kern w:val="0"/>
          <w:sz w:val="20"/>
          <w:szCs w:val="20"/>
          <w:lang w:val="en-US" w:eastAsia="zh-CN"/>
        </w:rPr>
        <w:t>). Therefore, the genomic variation sites of TK15 cause more changes in the function of DNA damage repair related genes.</w:t>
      </w:r>
    </w:p>
    <w:p w14:paraId="7CF5840B">
      <w:pPr>
        <w:keepNext w:val="0"/>
        <w:keepLines w:val="0"/>
        <w:pageBreakBefore w:val="0"/>
        <w:widowControl/>
        <w:kinsoku/>
        <w:wordWrap/>
        <w:overflowPunct/>
        <w:topLinePunct w:val="0"/>
        <w:autoSpaceDE/>
        <w:autoSpaceDN/>
        <w:bidi w:val="0"/>
        <w:adjustRightInd/>
        <w:snapToGrid/>
        <w:spacing w:line="360" w:lineRule="auto"/>
        <w:ind w:firstLine="400" w:firstLineChars="200"/>
        <w:jc w:val="left"/>
        <w:textAlignment w:val="auto"/>
        <w:rPr>
          <w:rFonts w:hint="default" w:ascii="Times New Roman" w:hAnsi="Times New Roman" w:eastAsia="仿宋" w:cs="Times New Roman"/>
          <w:kern w:val="0"/>
          <w:sz w:val="20"/>
          <w:szCs w:val="20"/>
          <w:lang w:val="en-US" w:eastAsia="zh-CN"/>
        </w:rPr>
      </w:pPr>
      <w:r>
        <w:rPr>
          <w:rFonts w:hint="default" w:ascii="Times New Roman" w:hAnsi="Times New Roman" w:eastAsia="仿宋" w:cs="Times New Roman"/>
          <w:kern w:val="0"/>
          <w:sz w:val="20"/>
          <w:szCs w:val="20"/>
          <w:lang w:val="en-US" w:eastAsia="zh-CN"/>
        </w:rPr>
        <w:t xml:space="preserve">In the transcriptome WGCNA results, we observed that the grey60 and yellow modules were specifically expressed in TK15 (Supplementary Fig. </w:t>
      </w:r>
      <w:r>
        <w:rPr>
          <w:rFonts w:hint="eastAsia" w:ascii="Times New Roman" w:hAnsi="Times New Roman" w:eastAsia="仿宋" w:cs="Times New Roman"/>
          <w:kern w:val="0"/>
          <w:sz w:val="20"/>
          <w:szCs w:val="20"/>
          <w:lang w:val="en-US" w:eastAsia="zh-CN"/>
        </w:rPr>
        <w:t>8f</w:t>
      </w:r>
      <w:r>
        <w:rPr>
          <w:rFonts w:hint="default" w:ascii="Times New Roman" w:hAnsi="Times New Roman" w:eastAsia="仿宋" w:cs="Times New Roman"/>
          <w:kern w:val="0"/>
          <w:sz w:val="20"/>
          <w:szCs w:val="20"/>
          <w:lang w:val="en-US" w:eastAsia="zh-CN"/>
        </w:rPr>
        <w:t xml:space="preserve">), with a total of 758 genes included in both modules. Among the genes identified by transcriptome analysis, a total of 701 genes were annotated with functions related to DNA damage repair. Among them, 232 genes had at least one mutation from TK15 in their ontology, and 109 genes caused amino acid changes. Eight genes were specifically expressed in TK15 (Supplementary Fig. </w:t>
      </w:r>
      <w:r>
        <w:rPr>
          <w:rFonts w:hint="eastAsia" w:ascii="Times New Roman" w:hAnsi="Times New Roman" w:eastAsia="仿宋" w:cs="Times New Roman"/>
          <w:kern w:val="0"/>
          <w:sz w:val="20"/>
          <w:szCs w:val="20"/>
          <w:lang w:val="en-US" w:eastAsia="zh-CN"/>
        </w:rPr>
        <w:t>8g</w:t>
      </w:r>
      <w:r>
        <w:rPr>
          <w:rFonts w:hint="default" w:ascii="Times New Roman" w:hAnsi="Times New Roman" w:eastAsia="仿宋" w:cs="Times New Roman"/>
          <w:kern w:val="0"/>
          <w:sz w:val="20"/>
          <w:szCs w:val="20"/>
          <w:lang w:val="en-US" w:eastAsia="zh-CN"/>
        </w:rPr>
        <w:t>)</w:t>
      </w:r>
      <w:r>
        <w:rPr>
          <w:rFonts w:hint="eastAsia" w:ascii="Times New Roman" w:hAnsi="Times New Roman" w:eastAsia="仿宋" w:cs="Times New Roman"/>
          <w:kern w:val="0"/>
          <w:sz w:val="20"/>
          <w:szCs w:val="20"/>
          <w:lang w:val="en-US" w:eastAsia="zh-CN"/>
        </w:rPr>
        <w:t>.</w:t>
      </w:r>
      <w:r>
        <w:rPr>
          <w:rFonts w:hint="default" w:ascii="Times New Roman" w:hAnsi="Times New Roman" w:eastAsia="仿宋" w:cs="Times New Roman"/>
          <w:kern w:val="0"/>
          <w:sz w:val="20"/>
          <w:szCs w:val="20"/>
          <w:lang w:val="en-US" w:eastAsia="zh-CN"/>
        </w:rPr>
        <w:t xml:space="preserve"> Comparing the expression levels of non mutated DNA damage repair genes, mutated genes that did not cause amino acid changes, and genes that caused amino acid mutations, it can be seen that the expression level of amino acid mutated genes is relatively lower (Supplementary Fig. </w:t>
      </w:r>
      <w:r>
        <w:rPr>
          <w:rFonts w:hint="eastAsia" w:ascii="Times New Roman" w:hAnsi="Times New Roman" w:eastAsia="仿宋" w:cs="Times New Roman"/>
          <w:kern w:val="0"/>
          <w:sz w:val="20"/>
          <w:szCs w:val="20"/>
          <w:lang w:val="en-US" w:eastAsia="zh-CN"/>
        </w:rPr>
        <w:t xml:space="preserve">8h, </w:t>
      </w:r>
      <w:r>
        <w:rPr>
          <w:rFonts w:hint="default" w:ascii="Times New Roman" w:hAnsi="Times New Roman" w:eastAsia="仿宋" w:cs="Times New Roman"/>
          <w:kern w:val="0"/>
          <w:sz w:val="20"/>
          <w:szCs w:val="20"/>
          <w:lang w:val="en-US" w:eastAsia="zh-CN"/>
        </w:rPr>
        <w:t xml:space="preserve">Supplementary Data </w:t>
      </w:r>
      <w:r>
        <w:rPr>
          <w:rFonts w:hint="eastAsia" w:ascii="Times New Roman" w:hAnsi="Times New Roman" w:eastAsia="仿宋" w:cs="Times New Roman"/>
          <w:kern w:val="0"/>
          <w:sz w:val="20"/>
          <w:szCs w:val="20"/>
          <w:lang w:val="en-US" w:eastAsia="zh-CN"/>
        </w:rPr>
        <w:t>10</w:t>
      </w:r>
      <w:r>
        <w:rPr>
          <w:rFonts w:hint="default" w:ascii="Times New Roman" w:hAnsi="Times New Roman" w:eastAsia="仿宋" w:cs="Times New Roman"/>
          <w:kern w:val="0"/>
          <w:sz w:val="20"/>
          <w:szCs w:val="20"/>
          <w:lang w:val="en-US" w:eastAsia="zh-CN"/>
        </w:rPr>
        <w:t>). In summary, the mutations present in TK15 cause abnormal expression of DNA damage repair related genes, and genomic variations cannot be identified and repaired, ultimately leading to the accumulation of TK15 mutations.</w:t>
      </w:r>
    </w:p>
    <w:p w14:paraId="5E42B0AC">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16"/>
          <w:szCs w:val="16"/>
          <w:lang w:val="en-US" w:eastAsia="zh-CN"/>
        </w:rPr>
      </w:pPr>
      <w:r>
        <w:rPr>
          <w:rFonts w:hint="default" w:ascii="Times New Roman" w:hAnsi="Times New Roman" w:cs="Times New Roman"/>
          <w:sz w:val="16"/>
          <w:szCs w:val="16"/>
          <w:lang w:val="en-US" w:eastAsia="zh-CN"/>
        </w:rPr>
        <w:drawing>
          <wp:inline distT="0" distB="0" distL="114300" distR="114300">
            <wp:extent cx="5273040" cy="6380480"/>
            <wp:effectExtent l="0" t="0" r="3810" b="1270"/>
            <wp:docPr id="16" name="图片 16" descr="S8(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S8(1)_01"/>
                    <pic:cNvPicPr>
                      <a:picLocks noChangeAspect="1"/>
                    </pic:cNvPicPr>
                  </pic:nvPicPr>
                  <pic:blipFill>
                    <a:blip r:embed="rId11"/>
                    <a:stretch>
                      <a:fillRect/>
                    </a:stretch>
                  </pic:blipFill>
                  <pic:spPr>
                    <a:xfrm>
                      <a:off x="0" y="0"/>
                      <a:ext cx="5273040" cy="6380480"/>
                    </a:xfrm>
                    <a:prstGeom prst="rect">
                      <a:avLst/>
                    </a:prstGeom>
                  </pic:spPr>
                </pic:pic>
              </a:graphicData>
            </a:graphic>
          </wp:inline>
        </w:drawing>
      </w:r>
    </w:p>
    <w:p w14:paraId="1BE98562">
      <w:pPr>
        <w:keepNext w:val="0"/>
        <w:keepLines w:val="0"/>
        <w:pageBreakBefore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val="0"/>
          <w:bCs w:val="0"/>
          <w:sz w:val="20"/>
          <w:szCs w:val="20"/>
          <w:lang w:val="en-US" w:eastAsia="zh-CN"/>
        </w:rPr>
      </w:pPr>
      <w:r>
        <w:rPr>
          <w:rFonts w:hint="default" w:ascii="Times New Roman" w:hAnsi="Times New Roman" w:eastAsia="仿宋" w:cs="Times New Roman"/>
          <w:b/>
          <w:bCs/>
          <w:kern w:val="0"/>
          <w:sz w:val="20"/>
          <w:szCs w:val="20"/>
          <w:lang w:val="en-US" w:eastAsia="zh-CN"/>
        </w:rPr>
        <w:t xml:space="preserve">Supplementary Fig. </w:t>
      </w:r>
      <w:r>
        <w:rPr>
          <w:rFonts w:hint="eastAsia" w:ascii="Times New Roman" w:hAnsi="Times New Roman" w:eastAsia="仿宋" w:cs="Times New Roman"/>
          <w:b/>
          <w:bCs/>
          <w:kern w:val="0"/>
          <w:sz w:val="20"/>
          <w:szCs w:val="20"/>
          <w:lang w:val="en-US" w:eastAsia="zh-CN"/>
        </w:rPr>
        <w:t>8</w:t>
      </w:r>
      <w:r>
        <w:rPr>
          <w:rFonts w:hint="default" w:ascii="Times New Roman" w:hAnsi="Times New Roman" w:eastAsia="宋体" w:cs="Times New Roman"/>
          <w:sz w:val="20"/>
          <w:szCs w:val="20"/>
          <w:lang w:eastAsia="zh-CN"/>
        </w:rPr>
        <w:t xml:space="preserve"> </w:t>
      </w:r>
      <w:r>
        <w:rPr>
          <w:rFonts w:hint="default" w:ascii="Times New Roman" w:hAnsi="Times New Roman" w:eastAsia="宋体" w:cs="Times New Roman"/>
          <w:b/>
          <w:bCs/>
          <w:sz w:val="20"/>
          <w:szCs w:val="20"/>
          <w:lang w:val="en-US" w:eastAsia="zh-CN"/>
        </w:rPr>
        <w:t>Abnormal function of DNA damage repair genes leads to accumulation of TK15 mutations.</w:t>
      </w:r>
      <w:r>
        <w:rPr>
          <w:rFonts w:hint="default" w:ascii="Times New Roman" w:hAnsi="Times New Roman" w:eastAsia="宋体" w:cs="Times New Roman"/>
          <w:b w:val="0"/>
          <w:bCs w:val="0"/>
          <w:sz w:val="20"/>
          <w:szCs w:val="20"/>
          <w:lang w:val="en-US" w:eastAsia="zh-CN"/>
        </w:rPr>
        <w:t xml:space="preserve"> </w:t>
      </w:r>
      <w:r>
        <w:rPr>
          <w:rFonts w:hint="eastAsia" w:ascii="Times New Roman" w:hAnsi="Times New Roman" w:eastAsia="宋体" w:cs="Times New Roman"/>
          <w:b/>
          <w:bCs/>
          <w:sz w:val="20"/>
          <w:szCs w:val="20"/>
          <w:lang w:val="en-US" w:eastAsia="zh-CN"/>
        </w:rPr>
        <w:t>a</w:t>
      </w:r>
      <w:r>
        <w:rPr>
          <w:rFonts w:hint="default" w:ascii="Times New Roman" w:hAnsi="Times New Roman" w:eastAsia="宋体" w:cs="Times New Roman"/>
          <w:b w:val="0"/>
          <w:bCs w:val="0"/>
          <w:sz w:val="20"/>
          <w:szCs w:val="20"/>
          <w:lang w:val="en-US" w:eastAsia="zh-CN"/>
        </w:rPr>
        <w:t xml:space="preserve"> The proportion of TK15 variant sites in the total variation. </w:t>
      </w:r>
      <w:r>
        <w:rPr>
          <w:rFonts w:hint="eastAsia" w:ascii="Times New Roman" w:hAnsi="Times New Roman" w:eastAsia="宋体" w:cs="Times New Roman"/>
          <w:b/>
          <w:bCs/>
          <w:sz w:val="20"/>
          <w:szCs w:val="20"/>
          <w:lang w:val="en-US" w:eastAsia="zh-CN"/>
        </w:rPr>
        <w:t>b</w:t>
      </w:r>
      <w:r>
        <w:rPr>
          <w:rFonts w:hint="default" w:ascii="Times New Roman" w:hAnsi="Times New Roman" w:eastAsia="宋体" w:cs="Times New Roman"/>
          <w:b w:val="0"/>
          <w:bCs w:val="0"/>
          <w:sz w:val="20"/>
          <w:szCs w:val="20"/>
          <w:lang w:val="en-US" w:eastAsia="zh-CN"/>
        </w:rPr>
        <w:t xml:space="preserve"> The number of DEGs in 30 TK samples. </w:t>
      </w:r>
      <w:r>
        <w:rPr>
          <w:rFonts w:hint="eastAsia" w:ascii="Times New Roman" w:hAnsi="Times New Roman" w:eastAsia="宋体" w:cs="Times New Roman"/>
          <w:b/>
          <w:bCs/>
          <w:sz w:val="20"/>
          <w:szCs w:val="20"/>
          <w:lang w:val="en-US" w:eastAsia="zh-CN"/>
        </w:rPr>
        <w:t>c</w:t>
      </w:r>
      <w:r>
        <w:rPr>
          <w:rFonts w:hint="default" w:ascii="Times New Roman" w:hAnsi="Times New Roman" w:eastAsia="宋体" w:cs="Times New Roman"/>
          <w:b w:val="0"/>
          <w:bCs w:val="0"/>
          <w:sz w:val="20"/>
          <w:szCs w:val="20"/>
          <w:lang w:val="en-US" w:eastAsia="zh-CN"/>
        </w:rPr>
        <w:t xml:space="preserve"> The proportion of mutation sites causing amino acid changes in TK15 to the total number of mutation sites. </w:t>
      </w:r>
      <w:r>
        <w:rPr>
          <w:rFonts w:hint="eastAsia" w:ascii="Times New Roman" w:hAnsi="Times New Roman" w:eastAsia="宋体" w:cs="Times New Roman"/>
          <w:b/>
          <w:bCs/>
          <w:sz w:val="20"/>
          <w:szCs w:val="20"/>
          <w:lang w:val="en-US" w:eastAsia="zh-CN"/>
        </w:rPr>
        <w:t>d</w:t>
      </w:r>
      <w:r>
        <w:rPr>
          <w:rFonts w:hint="default" w:ascii="Times New Roman" w:hAnsi="Times New Roman" w:eastAsia="宋体" w:cs="Times New Roman"/>
          <w:b w:val="0"/>
          <w:bCs w:val="0"/>
          <w:sz w:val="20"/>
          <w:szCs w:val="20"/>
          <w:lang w:val="en-US" w:eastAsia="zh-CN"/>
        </w:rPr>
        <w:t xml:space="preserve"> TK15 contains mutation site gene KEGG enrichment, top 10 pathways based on -log10(Q value), circle size represents the number of genes, color represents significance level. </w:t>
      </w:r>
      <w:r>
        <w:rPr>
          <w:rFonts w:hint="eastAsia" w:ascii="Times New Roman" w:hAnsi="Times New Roman" w:eastAsia="宋体" w:cs="Times New Roman"/>
          <w:b/>
          <w:bCs/>
          <w:sz w:val="20"/>
          <w:szCs w:val="20"/>
          <w:lang w:val="en-US" w:eastAsia="zh-CN"/>
        </w:rPr>
        <w:t>e</w:t>
      </w:r>
      <w:r>
        <w:rPr>
          <w:rFonts w:hint="default" w:ascii="Times New Roman" w:hAnsi="Times New Roman" w:eastAsia="宋体" w:cs="Times New Roman"/>
          <w:b w:val="0"/>
          <w:bCs w:val="0"/>
          <w:sz w:val="20"/>
          <w:szCs w:val="20"/>
          <w:lang w:val="en-US" w:eastAsia="zh-CN"/>
        </w:rPr>
        <w:t xml:space="preserve"> The proportion of the remaining 29 TK mutation sites causing amino acid changes to the total number of mutations. </w:t>
      </w:r>
      <w:r>
        <w:rPr>
          <w:rFonts w:hint="eastAsia" w:ascii="Times New Roman" w:hAnsi="Times New Roman" w:eastAsia="宋体" w:cs="Times New Roman"/>
          <w:b/>
          <w:bCs/>
          <w:sz w:val="20"/>
          <w:szCs w:val="20"/>
          <w:lang w:val="en-US" w:eastAsia="zh-CN"/>
        </w:rPr>
        <w:t>f</w:t>
      </w:r>
      <w:r>
        <w:rPr>
          <w:rFonts w:hint="default" w:ascii="Times New Roman" w:hAnsi="Times New Roman" w:eastAsia="宋体" w:cs="Times New Roman"/>
          <w:b w:val="0"/>
          <w:bCs w:val="0"/>
          <w:sz w:val="20"/>
          <w:szCs w:val="20"/>
          <w:lang w:val="en-US" w:eastAsia="zh-CN"/>
        </w:rPr>
        <w:t xml:space="preserve"> WGCNA analysis of TK samples, the darker the color, the higher the expression. </w:t>
      </w:r>
      <w:r>
        <w:rPr>
          <w:rFonts w:hint="eastAsia" w:ascii="Times New Roman" w:hAnsi="Times New Roman" w:eastAsia="宋体" w:cs="Times New Roman"/>
          <w:b/>
          <w:bCs/>
          <w:sz w:val="20"/>
          <w:szCs w:val="20"/>
          <w:lang w:val="en-US" w:eastAsia="zh-CN"/>
        </w:rPr>
        <w:t>g</w:t>
      </w:r>
      <w:r>
        <w:rPr>
          <w:rFonts w:hint="default" w:ascii="Times New Roman" w:hAnsi="Times New Roman" w:eastAsia="宋体" w:cs="Times New Roman"/>
          <w:b w:val="0"/>
          <w:bCs w:val="0"/>
          <w:sz w:val="20"/>
          <w:szCs w:val="20"/>
          <w:lang w:val="en-US" w:eastAsia="zh-CN"/>
        </w:rPr>
        <w:t xml:space="preserve"> The proportion of genes with no mutations in TK15, genes that do not cause amino acid changes, genes that cause amino acid changes, and genes specifically expressed in TK15. </w:t>
      </w:r>
      <w:r>
        <w:rPr>
          <w:rFonts w:hint="eastAsia" w:ascii="Times New Roman" w:hAnsi="Times New Roman" w:eastAsia="宋体" w:cs="Times New Roman"/>
          <w:b/>
          <w:bCs/>
          <w:sz w:val="20"/>
          <w:szCs w:val="20"/>
          <w:lang w:val="en-US" w:eastAsia="zh-CN"/>
        </w:rPr>
        <w:t>h</w:t>
      </w:r>
      <w:r>
        <w:rPr>
          <w:rFonts w:hint="default" w:ascii="Times New Roman" w:hAnsi="Times New Roman" w:eastAsia="宋体" w:cs="Times New Roman"/>
          <w:b w:val="0"/>
          <w:bCs w:val="0"/>
          <w:sz w:val="20"/>
          <w:szCs w:val="20"/>
          <w:lang w:val="en-US" w:eastAsia="zh-CN"/>
        </w:rPr>
        <w:t xml:space="preserve"> Comparison of expression levels of amino acid mutant genes, non mutant DNA damage repair genes, and mutant genes that do not cause amino acid changes.</w:t>
      </w:r>
      <w:r>
        <w:rPr>
          <w:rFonts w:hint="eastAsia" w:ascii="Times New Roman" w:hAnsi="Times New Roman" w:eastAsia="宋体" w:cs="Times New Roman"/>
          <w:b w:val="0"/>
          <w:bCs w:val="0"/>
          <w:sz w:val="20"/>
          <w:szCs w:val="20"/>
          <w:lang w:val="en-US" w:eastAsia="zh-CN"/>
        </w:rPr>
        <w:t xml:space="preserve"> </w:t>
      </w:r>
      <w:r>
        <w:rPr>
          <w:rFonts w:hint="default" w:ascii="Times New Roman" w:hAnsi="Times New Roman" w:eastAsia="宋体" w:cs="Times New Roman"/>
          <w:b w:val="0"/>
          <w:bCs w:val="0"/>
          <w:sz w:val="20"/>
          <w:szCs w:val="20"/>
          <w:lang w:val="en-US" w:eastAsia="zh-CN"/>
        </w:rPr>
        <w:t>The dashed box represents the two modules specifically expressed by TK15</w:t>
      </w:r>
      <w:r>
        <w:rPr>
          <w:rFonts w:hint="eastAsia" w:ascii="Times New Roman" w:hAnsi="Times New Roman" w:eastAsia="宋体" w:cs="Times New Roman"/>
          <w:b w:val="0"/>
          <w:bCs w:val="0"/>
          <w:sz w:val="20"/>
          <w:szCs w:val="20"/>
          <w:lang w:val="en-US" w:eastAsia="zh-CN"/>
        </w:rPr>
        <w:t>.</w:t>
      </w:r>
    </w:p>
    <w:p w14:paraId="04C79446">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0"/>
          <w:szCs w:val="20"/>
          <w:lang w:val="en-US" w:eastAsia="zh-CN"/>
        </w:rPr>
      </w:pPr>
    </w:p>
    <w:p w14:paraId="22E66329">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64DECBCB">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536828F0">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488BDF4C">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4C58F18C">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6E2AD7BE">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72ADE5B8">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26A7BDAF">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41469858">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0BE42B1C">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71CF6D1D">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7BB7736B">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5CD4D780">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768B3371">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5E009E85">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77CC16BF">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2D439A0D">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7F9BA6C7">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p>
    <w:p w14:paraId="6DD2D138">
      <w:pPr>
        <w:keepNext w:val="0"/>
        <w:keepLines w:val="0"/>
        <w:widowControl/>
        <w:suppressLineNumbers w:val="0"/>
        <w:jc w:val="left"/>
        <w:rPr>
          <w:rFonts w:ascii="TimesNewRomanPS-BoldMT" w:hAnsi="TimesNewRomanPS-BoldMT" w:eastAsia="TimesNewRomanPS-BoldMT" w:cs="TimesNewRomanPS-BoldMT"/>
          <w:b/>
          <w:bCs/>
          <w:color w:val="000000"/>
          <w:kern w:val="0"/>
          <w:sz w:val="21"/>
          <w:szCs w:val="21"/>
          <w:lang w:val="en-US" w:eastAsia="zh-CN" w:bidi="ar"/>
        </w:rPr>
      </w:pPr>
    </w:p>
    <w:p w14:paraId="35859283">
      <w:pPr>
        <w:keepNext w:val="0"/>
        <w:keepLines w:val="0"/>
        <w:widowControl/>
        <w:suppressLineNumbers w:val="0"/>
        <w:jc w:val="left"/>
        <w:rPr>
          <w:rFonts w:ascii="TimesNewRomanPS-BoldMT" w:hAnsi="TimesNewRomanPS-BoldMT" w:eastAsia="TimesNewRomanPS-BoldMT" w:cs="TimesNewRomanPS-BoldMT"/>
          <w:b/>
          <w:bCs/>
          <w:color w:val="000000"/>
          <w:kern w:val="0"/>
          <w:sz w:val="21"/>
          <w:szCs w:val="21"/>
          <w:lang w:val="en-US" w:eastAsia="zh-CN" w:bidi="ar"/>
        </w:rPr>
      </w:pPr>
    </w:p>
    <w:p w14:paraId="47E54775">
      <w:pPr>
        <w:keepNext w:val="0"/>
        <w:keepLines w:val="0"/>
        <w:widowControl/>
        <w:suppressLineNumbers w:val="0"/>
        <w:jc w:val="left"/>
        <w:rPr>
          <w:rFonts w:ascii="TimesNewRomanPS-BoldMT" w:hAnsi="TimesNewRomanPS-BoldMT" w:eastAsia="TimesNewRomanPS-BoldMT" w:cs="TimesNewRomanPS-BoldMT"/>
          <w:b/>
          <w:bCs/>
          <w:color w:val="000000"/>
          <w:kern w:val="0"/>
          <w:sz w:val="21"/>
          <w:szCs w:val="21"/>
          <w:lang w:val="en-US" w:eastAsia="zh-CN" w:bidi="ar"/>
        </w:rPr>
      </w:pPr>
    </w:p>
    <w:p w14:paraId="0419C9A1">
      <w:pPr>
        <w:keepNext w:val="0"/>
        <w:keepLines w:val="0"/>
        <w:widowControl/>
        <w:suppressLineNumbers w:val="0"/>
        <w:jc w:val="left"/>
        <w:rPr>
          <w:rFonts w:ascii="TimesNewRomanPS-BoldMT" w:hAnsi="TimesNewRomanPS-BoldMT" w:eastAsia="TimesNewRomanPS-BoldMT" w:cs="TimesNewRomanPS-BoldMT"/>
          <w:b/>
          <w:bCs/>
          <w:color w:val="000000"/>
          <w:kern w:val="0"/>
          <w:sz w:val="21"/>
          <w:szCs w:val="21"/>
          <w:lang w:val="en-US" w:eastAsia="zh-CN" w:bidi="ar"/>
        </w:rPr>
      </w:pPr>
    </w:p>
    <w:p w14:paraId="7A219024">
      <w:pPr>
        <w:keepNext w:val="0"/>
        <w:keepLines w:val="0"/>
        <w:widowControl/>
        <w:suppressLineNumbers w:val="0"/>
        <w:jc w:val="left"/>
        <w:rPr>
          <w:rFonts w:hint="default" w:ascii="Times New Roman" w:hAnsi="Times New Roman" w:eastAsia="TimesNewRomanPS-BoldMT" w:cs="Times New Roman"/>
          <w:b/>
          <w:bCs/>
          <w:color w:val="000000"/>
          <w:kern w:val="0"/>
          <w:sz w:val="22"/>
          <w:szCs w:val="22"/>
          <w:lang w:val="en-US" w:eastAsia="zh-CN" w:bidi="ar"/>
        </w:rPr>
      </w:pPr>
    </w:p>
    <w:p w14:paraId="71B44381">
      <w:pPr>
        <w:keepNext w:val="0"/>
        <w:keepLines w:val="0"/>
        <w:widowControl/>
        <w:suppressLineNumbers w:val="0"/>
        <w:jc w:val="left"/>
        <w:rPr>
          <w:rFonts w:hint="default" w:ascii="Times New Roman" w:hAnsi="Times New Roman" w:eastAsia="TimesNewRomanPS-BoldMT" w:cs="Times New Roman"/>
          <w:b/>
          <w:bCs/>
          <w:color w:val="000000"/>
          <w:kern w:val="0"/>
          <w:sz w:val="22"/>
          <w:szCs w:val="22"/>
          <w:lang w:val="en-US" w:eastAsia="zh-CN" w:bidi="ar"/>
        </w:rPr>
      </w:pPr>
    </w:p>
    <w:p w14:paraId="4F29507A">
      <w:pPr>
        <w:keepNext w:val="0"/>
        <w:keepLines w:val="0"/>
        <w:widowControl/>
        <w:suppressLineNumbers w:val="0"/>
        <w:jc w:val="left"/>
        <w:rPr>
          <w:rFonts w:hint="default" w:ascii="Times New Roman" w:hAnsi="Times New Roman" w:eastAsia="TimesNewRomanPS-BoldMT" w:cs="Times New Roman"/>
          <w:b/>
          <w:bCs/>
          <w:color w:val="000000"/>
          <w:kern w:val="0"/>
          <w:sz w:val="20"/>
          <w:szCs w:val="20"/>
          <w:lang w:val="en-US" w:eastAsia="zh-CN" w:bidi="ar"/>
        </w:rPr>
      </w:pPr>
      <w:r>
        <w:rPr>
          <w:rFonts w:hint="default" w:ascii="Times New Roman" w:hAnsi="Times New Roman" w:eastAsia="TimesNewRomanPS-BoldMT" w:cs="Times New Roman"/>
          <w:b/>
          <w:bCs/>
          <w:color w:val="000000"/>
          <w:kern w:val="0"/>
          <w:sz w:val="20"/>
          <w:szCs w:val="20"/>
          <w:lang w:val="en-US" w:eastAsia="zh-CN" w:bidi="ar"/>
        </w:rPr>
        <w:t xml:space="preserve">Supplementary Table </w:t>
      </w:r>
      <w:r>
        <w:rPr>
          <w:rFonts w:hint="eastAsia" w:ascii="Times New Roman" w:hAnsi="Times New Roman" w:eastAsia="TimesNewRomanPS-BoldMT" w:cs="Times New Roman"/>
          <w:b/>
          <w:bCs/>
          <w:color w:val="000000"/>
          <w:kern w:val="0"/>
          <w:sz w:val="20"/>
          <w:szCs w:val="20"/>
          <w:lang w:val="en-US" w:eastAsia="zh-CN" w:bidi="ar"/>
        </w:rPr>
        <w:t xml:space="preserve">1 </w:t>
      </w:r>
      <w:r>
        <w:rPr>
          <w:rFonts w:hint="default" w:ascii="Times New Roman" w:hAnsi="Times New Roman" w:eastAsia="TimesNewRomanPS-BoldMT" w:cs="Times New Roman"/>
          <w:b/>
          <w:bCs/>
          <w:color w:val="000000"/>
          <w:kern w:val="0"/>
          <w:sz w:val="20"/>
          <w:szCs w:val="20"/>
          <w:lang w:val="en-US" w:eastAsia="zh-CN" w:bidi="ar"/>
        </w:rPr>
        <w:t>EMSA probe sequence.</w:t>
      </w:r>
    </w:p>
    <w:tbl>
      <w:tblPr>
        <w:tblStyle w:val="3"/>
        <w:tblW w:w="0" w:type="auto"/>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039"/>
        <w:gridCol w:w="4449"/>
        <w:gridCol w:w="2034"/>
      </w:tblGrid>
      <w:tr w14:paraId="3946A56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tcBorders>
              <w:top w:val="single" w:color="auto" w:sz="4" w:space="0"/>
              <w:bottom w:val="single" w:color="auto" w:sz="4" w:space="0"/>
            </w:tcBorders>
            <w:vAlign w:val="center"/>
          </w:tcPr>
          <w:p w14:paraId="4C3BC49F">
            <w:pPr>
              <w:keepNext w:val="0"/>
              <w:keepLines w:val="0"/>
              <w:widowControl/>
              <w:suppressLineNumbers w:val="0"/>
              <w:jc w:val="left"/>
              <w:textAlignment w:val="center"/>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Name</w:t>
            </w:r>
          </w:p>
        </w:tc>
        <w:tc>
          <w:tcPr>
            <w:tcW w:w="2841" w:type="dxa"/>
            <w:tcBorders>
              <w:top w:val="single" w:color="auto" w:sz="4" w:space="0"/>
              <w:bottom w:val="single" w:color="auto" w:sz="4" w:space="0"/>
            </w:tcBorders>
            <w:vAlign w:val="center"/>
          </w:tcPr>
          <w:p w14:paraId="2149B273">
            <w:pPr>
              <w:keepNext w:val="0"/>
              <w:keepLines w:val="0"/>
              <w:widowControl/>
              <w:suppressLineNumbers w:val="0"/>
              <w:jc w:val="left"/>
              <w:textAlignment w:val="center"/>
              <w:rPr>
                <w:rFonts w:hint="default" w:ascii="Times New Roman" w:hAnsi="Times New Roman" w:eastAsia="宋体" w:cs="Times New Roman"/>
                <w:b w:val="0"/>
                <w:bCs w:val="0"/>
                <w:sz w:val="20"/>
                <w:szCs w:val="20"/>
                <w:vertAlign w:val="baseline"/>
                <w:lang w:val="en-US" w:eastAsia="zh-CN"/>
              </w:rPr>
            </w:pPr>
            <w:r>
              <w:rPr>
                <w:rStyle w:val="5"/>
                <w:rFonts w:hint="default" w:ascii="Times New Roman" w:hAnsi="Times New Roman" w:eastAsia="宋体" w:cs="Times New Roman"/>
                <w:sz w:val="20"/>
                <w:szCs w:val="20"/>
                <w:lang w:val="en-US" w:eastAsia="zh-CN" w:bidi="ar"/>
              </w:rPr>
              <w:t>Probe sequence</w:t>
            </w:r>
            <w:r>
              <w:rPr>
                <w:rStyle w:val="6"/>
                <w:rFonts w:hint="default" w:ascii="Times New Roman" w:hAnsi="Times New Roman" w:cs="Times New Roman"/>
                <w:sz w:val="20"/>
                <w:szCs w:val="20"/>
                <w:lang w:val="en-US" w:eastAsia="zh-CN" w:bidi="ar"/>
              </w:rPr>
              <w:t>（</w:t>
            </w:r>
            <w:r>
              <w:rPr>
                <w:rStyle w:val="5"/>
                <w:rFonts w:hint="default" w:ascii="Times New Roman" w:hAnsi="Times New Roman" w:eastAsia="宋体" w:cs="Times New Roman"/>
                <w:sz w:val="20"/>
                <w:szCs w:val="20"/>
                <w:lang w:val="en-US" w:eastAsia="zh-CN" w:bidi="ar"/>
              </w:rPr>
              <w:t>5´→3´</w:t>
            </w:r>
            <w:r>
              <w:rPr>
                <w:rStyle w:val="6"/>
                <w:rFonts w:hint="default" w:ascii="Times New Roman" w:hAnsi="Times New Roman" w:cs="Times New Roman"/>
                <w:sz w:val="20"/>
                <w:szCs w:val="20"/>
                <w:lang w:val="en-US" w:eastAsia="zh-CN" w:bidi="ar"/>
              </w:rPr>
              <w:t>）</w:t>
            </w:r>
          </w:p>
        </w:tc>
        <w:tc>
          <w:tcPr>
            <w:tcW w:w="2841" w:type="dxa"/>
            <w:tcBorders>
              <w:top w:val="single" w:color="auto" w:sz="4" w:space="0"/>
              <w:bottom w:val="single" w:color="auto" w:sz="4" w:space="0"/>
            </w:tcBorders>
            <w:vAlign w:val="center"/>
          </w:tcPr>
          <w:p w14:paraId="5586A4F3">
            <w:pPr>
              <w:keepNext w:val="0"/>
              <w:keepLines w:val="0"/>
              <w:widowControl/>
              <w:suppressLineNumbers w:val="0"/>
              <w:jc w:val="left"/>
              <w:textAlignment w:val="center"/>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Purpose</w:t>
            </w:r>
          </w:p>
        </w:tc>
      </w:tr>
      <w:tr w14:paraId="74AE10BC">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tcBorders>
              <w:top w:val="single" w:color="auto" w:sz="4" w:space="0"/>
            </w:tcBorders>
            <w:vAlign w:val="top"/>
          </w:tcPr>
          <w:p w14:paraId="10A93A3D">
            <w:pPr>
              <w:keepNext w:val="0"/>
              <w:keepLines w:val="0"/>
              <w:widowControl/>
              <w:suppressLineNumbers w:val="0"/>
              <w:jc w:val="left"/>
              <w:textAlignment w:val="top"/>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Probe1</w:t>
            </w:r>
          </w:p>
        </w:tc>
        <w:tc>
          <w:tcPr>
            <w:tcW w:w="2841" w:type="dxa"/>
            <w:tcBorders>
              <w:top w:val="single" w:color="auto" w:sz="4" w:space="0"/>
            </w:tcBorders>
            <w:vAlign w:val="top"/>
          </w:tcPr>
          <w:p w14:paraId="1B867F9C">
            <w:pPr>
              <w:keepNext w:val="0"/>
              <w:keepLines w:val="0"/>
              <w:widowControl/>
              <w:suppressLineNumbers w:val="0"/>
              <w:jc w:val="left"/>
              <w:textAlignment w:val="top"/>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ataatgaaggCTTAGCAAACACGCAACGAggatgtgct</w:t>
            </w:r>
          </w:p>
        </w:tc>
        <w:tc>
          <w:tcPr>
            <w:tcW w:w="2841" w:type="dxa"/>
            <w:tcBorders>
              <w:top w:val="single" w:color="auto" w:sz="4" w:space="0"/>
            </w:tcBorders>
            <w:vAlign w:val="center"/>
          </w:tcPr>
          <w:p w14:paraId="50F7167C">
            <w:pPr>
              <w:keepNext w:val="0"/>
              <w:keepLines w:val="0"/>
              <w:widowControl/>
              <w:suppressLineNumbers w:val="0"/>
              <w:jc w:val="left"/>
              <w:textAlignment w:val="center"/>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Marker probe</w:t>
            </w:r>
          </w:p>
        </w:tc>
      </w:tr>
      <w:tr w14:paraId="56C49FB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vAlign w:val="top"/>
          </w:tcPr>
          <w:p w14:paraId="0E27A28C">
            <w:pPr>
              <w:keepNext w:val="0"/>
              <w:keepLines w:val="0"/>
              <w:widowControl/>
              <w:suppressLineNumbers w:val="0"/>
              <w:jc w:val="left"/>
              <w:textAlignment w:val="top"/>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mProbe1</w:t>
            </w:r>
          </w:p>
        </w:tc>
        <w:tc>
          <w:tcPr>
            <w:tcW w:w="2841" w:type="dxa"/>
            <w:vAlign w:val="top"/>
          </w:tcPr>
          <w:p w14:paraId="6A005DB0">
            <w:pPr>
              <w:keepNext w:val="0"/>
              <w:keepLines w:val="0"/>
              <w:widowControl/>
              <w:suppressLineNumbers w:val="0"/>
              <w:jc w:val="left"/>
              <w:textAlignment w:val="top"/>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ataatgaaggTTTTTTTTTTTTTTTTTTTggatgtgct</w:t>
            </w:r>
          </w:p>
        </w:tc>
        <w:tc>
          <w:tcPr>
            <w:tcW w:w="2841" w:type="dxa"/>
            <w:vAlign w:val="center"/>
          </w:tcPr>
          <w:p w14:paraId="155D1A57">
            <w:pPr>
              <w:keepNext w:val="0"/>
              <w:keepLines w:val="0"/>
              <w:widowControl/>
              <w:suppressLineNumbers w:val="0"/>
              <w:jc w:val="left"/>
              <w:textAlignment w:val="center"/>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Labeled mutation probe</w:t>
            </w:r>
          </w:p>
        </w:tc>
      </w:tr>
      <w:tr w14:paraId="1F9F0009">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vAlign w:val="top"/>
          </w:tcPr>
          <w:p w14:paraId="2F7BFD9F">
            <w:pPr>
              <w:keepNext w:val="0"/>
              <w:keepLines w:val="0"/>
              <w:widowControl/>
              <w:suppressLineNumbers w:val="0"/>
              <w:jc w:val="left"/>
              <w:textAlignment w:val="top"/>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Probe2</w:t>
            </w:r>
          </w:p>
        </w:tc>
        <w:tc>
          <w:tcPr>
            <w:tcW w:w="2841" w:type="dxa"/>
            <w:vAlign w:val="center"/>
          </w:tcPr>
          <w:p w14:paraId="24E03F42">
            <w:pPr>
              <w:keepNext w:val="0"/>
              <w:keepLines w:val="0"/>
              <w:widowControl/>
              <w:suppressLineNumbers w:val="0"/>
              <w:jc w:val="left"/>
              <w:textAlignment w:val="center"/>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aaagaacacgtCGCATGCATtcatgcatgt</w:t>
            </w:r>
          </w:p>
        </w:tc>
        <w:tc>
          <w:tcPr>
            <w:tcW w:w="2841" w:type="dxa"/>
            <w:vAlign w:val="center"/>
          </w:tcPr>
          <w:p w14:paraId="7CE924D0">
            <w:pPr>
              <w:keepNext w:val="0"/>
              <w:keepLines w:val="0"/>
              <w:widowControl/>
              <w:suppressLineNumbers w:val="0"/>
              <w:jc w:val="left"/>
              <w:textAlignment w:val="center"/>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Marker probe</w:t>
            </w:r>
          </w:p>
        </w:tc>
      </w:tr>
      <w:tr w14:paraId="07E5DBB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vAlign w:val="top"/>
          </w:tcPr>
          <w:p w14:paraId="04444CBC">
            <w:pPr>
              <w:keepNext w:val="0"/>
              <w:keepLines w:val="0"/>
              <w:widowControl/>
              <w:suppressLineNumbers w:val="0"/>
              <w:jc w:val="left"/>
              <w:textAlignment w:val="top"/>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mProbe2</w:t>
            </w:r>
          </w:p>
        </w:tc>
        <w:tc>
          <w:tcPr>
            <w:tcW w:w="2841" w:type="dxa"/>
            <w:vAlign w:val="center"/>
          </w:tcPr>
          <w:p w14:paraId="12CE8A70">
            <w:pPr>
              <w:keepNext w:val="0"/>
              <w:keepLines w:val="0"/>
              <w:widowControl/>
              <w:suppressLineNumbers w:val="0"/>
              <w:jc w:val="left"/>
              <w:textAlignment w:val="center"/>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aaagaacacgtTTTTTTTTTtcatgcatgt</w:t>
            </w:r>
          </w:p>
        </w:tc>
        <w:tc>
          <w:tcPr>
            <w:tcW w:w="2841" w:type="dxa"/>
            <w:vAlign w:val="center"/>
          </w:tcPr>
          <w:p w14:paraId="313CA237">
            <w:pPr>
              <w:keepNext w:val="0"/>
              <w:keepLines w:val="0"/>
              <w:widowControl/>
              <w:suppressLineNumbers w:val="0"/>
              <w:jc w:val="left"/>
              <w:textAlignment w:val="center"/>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Labeled mutation probe</w:t>
            </w:r>
          </w:p>
        </w:tc>
      </w:tr>
      <w:tr w14:paraId="453A3739">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vAlign w:val="top"/>
          </w:tcPr>
          <w:p w14:paraId="68E209E9">
            <w:pPr>
              <w:keepNext w:val="0"/>
              <w:keepLines w:val="0"/>
              <w:widowControl/>
              <w:suppressLineNumbers w:val="0"/>
              <w:jc w:val="left"/>
              <w:textAlignment w:val="top"/>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Probe3</w:t>
            </w:r>
          </w:p>
        </w:tc>
        <w:tc>
          <w:tcPr>
            <w:tcW w:w="2841" w:type="dxa"/>
            <w:vAlign w:val="center"/>
          </w:tcPr>
          <w:p w14:paraId="47788FA6">
            <w:pPr>
              <w:keepNext w:val="0"/>
              <w:keepLines w:val="0"/>
              <w:widowControl/>
              <w:suppressLineNumbers w:val="0"/>
              <w:jc w:val="left"/>
              <w:textAlignment w:val="center"/>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acctgctggtATGCATGAAttatttaaagt</w:t>
            </w:r>
          </w:p>
        </w:tc>
        <w:tc>
          <w:tcPr>
            <w:tcW w:w="2841" w:type="dxa"/>
            <w:vAlign w:val="center"/>
          </w:tcPr>
          <w:p w14:paraId="2B2E416E">
            <w:pPr>
              <w:keepNext w:val="0"/>
              <w:keepLines w:val="0"/>
              <w:widowControl/>
              <w:suppressLineNumbers w:val="0"/>
              <w:jc w:val="left"/>
              <w:textAlignment w:val="center"/>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Marker probe</w:t>
            </w:r>
          </w:p>
        </w:tc>
      </w:tr>
      <w:tr w14:paraId="40E66E9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vAlign w:val="top"/>
          </w:tcPr>
          <w:p w14:paraId="676B4ECC">
            <w:pPr>
              <w:keepNext w:val="0"/>
              <w:keepLines w:val="0"/>
              <w:widowControl/>
              <w:suppressLineNumbers w:val="0"/>
              <w:jc w:val="left"/>
              <w:textAlignment w:val="top"/>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mProbe3</w:t>
            </w:r>
          </w:p>
        </w:tc>
        <w:tc>
          <w:tcPr>
            <w:tcW w:w="2841" w:type="dxa"/>
            <w:vAlign w:val="center"/>
          </w:tcPr>
          <w:p w14:paraId="150E33CC">
            <w:pPr>
              <w:keepNext w:val="0"/>
              <w:keepLines w:val="0"/>
              <w:widowControl/>
              <w:suppressLineNumbers w:val="0"/>
              <w:jc w:val="left"/>
              <w:textAlignment w:val="center"/>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acctgctggtTTTTTTTTTttatttaaagt</w:t>
            </w:r>
          </w:p>
        </w:tc>
        <w:tc>
          <w:tcPr>
            <w:tcW w:w="2841" w:type="dxa"/>
            <w:vAlign w:val="center"/>
          </w:tcPr>
          <w:p w14:paraId="78787C35">
            <w:pPr>
              <w:keepNext w:val="0"/>
              <w:keepLines w:val="0"/>
              <w:widowControl/>
              <w:suppressLineNumbers w:val="0"/>
              <w:jc w:val="left"/>
              <w:textAlignment w:val="center"/>
              <w:rPr>
                <w:rFonts w:hint="default" w:ascii="Times New Roman" w:hAnsi="Times New Roman" w:eastAsia="宋体" w:cs="Times New Roman"/>
                <w:b w:val="0"/>
                <w:bCs w:val="0"/>
                <w:sz w:val="20"/>
                <w:szCs w:val="20"/>
                <w:vertAlign w:val="baseli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Labeled mutation probe</w:t>
            </w:r>
          </w:p>
        </w:tc>
      </w:tr>
    </w:tbl>
    <w:p w14:paraId="5B14753B">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2"/>
          <w:szCs w:val="22"/>
          <w:lang w:val="en-US" w:eastAsia="zh-CN"/>
        </w:rPr>
      </w:pPr>
      <w:bookmarkStart w:id="0" w:name="_GoBack"/>
      <w:bookmarkEnd w:id="0"/>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TimesNewRomanPS-BoldM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3"/>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41220E5"/>
    <w:rsid w:val="02671768"/>
    <w:rsid w:val="042518DB"/>
    <w:rsid w:val="04A93F1C"/>
    <w:rsid w:val="08283748"/>
    <w:rsid w:val="13DE6C51"/>
    <w:rsid w:val="17FA287E"/>
    <w:rsid w:val="1A4421DD"/>
    <w:rsid w:val="1C2F6314"/>
    <w:rsid w:val="21D74938"/>
    <w:rsid w:val="23461BD9"/>
    <w:rsid w:val="241220E5"/>
    <w:rsid w:val="26EA113D"/>
    <w:rsid w:val="2B7D7783"/>
    <w:rsid w:val="2C53613E"/>
    <w:rsid w:val="329C66D0"/>
    <w:rsid w:val="334528CA"/>
    <w:rsid w:val="34692478"/>
    <w:rsid w:val="379F6CD3"/>
    <w:rsid w:val="39560D4E"/>
    <w:rsid w:val="3B18671A"/>
    <w:rsid w:val="3FD37E62"/>
    <w:rsid w:val="423F3F13"/>
    <w:rsid w:val="480D7C89"/>
    <w:rsid w:val="4BDB773A"/>
    <w:rsid w:val="6770520F"/>
    <w:rsid w:val="6A935974"/>
    <w:rsid w:val="73924EC5"/>
    <w:rsid w:val="7B245F96"/>
    <w:rsid w:val="7D0378E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5">
    <w:name w:val="font11"/>
    <w:basedOn w:val="4"/>
    <w:qFormat/>
    <w:uiPriority w:val="0"/>
    <w:rPr>
      <w:rFonts w:hint="default" w:ascii="Times New Roman" w:hAnsi="Times New Roman" w:cs="Times New Roman"/>
      <w:color w:val="000000"/>
      <w:sz w:val="24"/>
      <w:szCs w:val="24"/>
      <w:u w:val="none"/>
    </w:rPr>
  </w:style>
  <w:style w:type="character" w:customStyle="1" w:styleId="6">
    <w:name w:val="font31"/>
    <w:basedOn w:val="4"/>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1275</Words>
  <Characters>7205</Characters>
  <Lines>0</Lines>
  <Paragraphs>0</Paragraphs>
  <TotalTime>5</TotalTime>
  <ScaleCrop>false</ScaleCrop>
  <LinksUpToDate>false</LinksUpToDate>
  <CharactersWithSpaces>8443</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2025-06-03T01:06:00Z</dcterms:created>
  <dc:creator>Aaron</dc:creator>
  <cp:lastModifiedBy>Aaron</cp:lastModifiedBy>
  <dcterms:modified xsi:type="dcterms:W3CDTF">2025-07-16T03:26:20Z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1FF2DA50229E4CD6A39DC319B99AE034_11</vt:lpwstr>
  </property>
  <property fmtid="{D5CDD505-2E9C-101B-9397-08002B2CF9AE}" pid="4" name="KSOTemplateDocerSaveRecord">
    <vt:lpwstr>eyJoZGlkIjoiY2U5OGFhY2QwMzgyZjNlNGEzMGFiMGE3MDY2YjJmNTYiLCJ1c2VySWQiOiIyNTc4Nzk4NTUifQ==</vt:lpwstr>
  </property>
</Properties>
</file>