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B95" w:rsidRPr="00FE2DFB" w:rsidRDefault="00A80B95" w:rsidP="00A80B95">
      <w:pPr>
        <w:rPr>
          <w:b/>
        </w:rPr>
      </w:pPr>
      <w:r>
        <w:rPr>
          <w:b/>
        </w:rPr>
        <w:t>Additional file S12</w:t>
      </w:r>
      <w:r w:rsidRPr="00FE2DFB">
        <w:rPr>
          <w:b/>
        </w:rPr>
        <w:t xml:space="preserve">: </w:t>
      </w:r>
      <w:r>
        <w:rPr>
          <w:b/>
        </w:rPr>
        <w:t xml:space="preserve">Summary of finding tables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78"/>
        <w:gridCol w:w="1373"/>
        <w:gridCol w:w="2045"/>
        <w:gridCol w:w="959"/>
        <w:gridCol w:w="1177"/>
        <w:gridCol w:w="1374"/>
        <w:gridCol w:w="1104"/>
      </w:tblGrid>
      <w:tr w:rsidR="00A80B95" w:rsidRPr="00CE0AB9" w:rsidTr="009955D8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rPr>
                <w:sz w:val="22"/>
                <w:szCs w:val="20"/>
              </w:rPr>
            </w:pPr>
            <w:bookmarkStart w:id="0" w:name="_Ref70540769"/>
            <w:bookmarkStart w:id="1" w:name="_Toc70609960"/>
            <w:r w:rsidRPr="00C35F72">
              <w:t xml:space="preserve"> </w:t>
            </w:r>
            <w:r w:rsidRPr="00C35F72">
              <w:rPr>
                <w:b/>
                <w:bCs/>
              </w:rPr>
              <w:t>Treatment failure</w:t>
            </w:r>
            <w:bookmarkEnd w:id="0"/>
            <w:bookmarkEnd w:id="1"/>
          </w:p>
        </w:tc>
      </w:tr>
      <w:tr w:rsidR="00A80B95" w:rsidRPr="00CE0AB9" w:rsidTr="009955D8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pStyle w:val="sof-title"/>
              <w:spacing w:before="0" w:beforeAutospacing="0" w:after="0" w:afterAutospacing="0"/>
              <w:rPr>
                <w:sz w:val="22"/>
                <w:szCs w:val="20"/>
              </w:rPr>
            </w:pPr>
            <w:proofErr w:type="spellStart"/>
            <w:r w:rsidRPr="00CE0AB9">
              <w:rPr>
                <w:b/>
                <w:bCs/>
                <w:sz w:val="22"/>
                <w:szCs w:val="20"/>
              </w:rPr>
              <w:t>Dihydroartemisinin-piperaquine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compared to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artemether-lumefantrine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for the treatment of uncomplicated </w:t>
            </w:r>
            <w:r w:rsidRPr="00CE0AB9">
              <w:rPr>
                <w:b/>
                <w:bCs/>
                <w:i/>
                <w:sz w:val="22"/>
                <w:szCs w:val="20"/>
              </w:rPr>
              <w:t>plasmodium falciparum</w:t>
            </w:r>
            <w:r w:rsidRPr="00CE0AB9">
              <w:rPr>
                <w:b/>
                <w:bCs/>
                <w:sz w:val="22"/>
                <w:szCs w:val="20"/>
              </w:rPr>
              <w:t xml:space="preserve"> malaria </w:t>
            </w:r>
            <w:r w:rsidR="00E03ED3">
              <w:rPr>
                <w:b/>
              </w:rPr>
              <w:t>among children in Africa</w:t>
            </w:r>
            <w:r w:rsidRPr="00CE0AB9">
              <w:rPr>
                <w:b/>
                <w:bCs/>
                <w:sz w:val="22"/>
                <w:szCs w:val="20"/>
              </w:rPr>
              <w:t>.</w:t>
            </w:r>
          </w:p>
        </w:tc>
      </w:tr>
      <w:tr w:rsidR="00A80B95" w:rsidRPr="00CE0AB9" w:rsidTr="009955D8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Patient or population</w:t>
            </w:r>
            <w:r w:rsidRPr="00CE0AB9">
              <w:rPr>
                <w:sz w:val="22"/>
                <w:szCs w:val="20"/>
              </w:rPr>
              <w:t xml:space="preserve">: </w:t>
            </w:r>
            <w:r w:rsidRPr="00CE0AB9">
              <w:rPr>
                <w:b/>
                <w:sz w:val="22"/>
                <w:szCs w:val="20"/>
              </w:rPr>
              <w:t xml:space="preserve">African children with uncomplicated </w:t>
            </w:r>
            <w:r w:rsidRPr="00CE0AB9">
              <w:rPr>
                <w:b/>
                <w:bCs/>
                <w:i/>
                <w:sz w:val="22"/>
                <w:szCs w:val="20"/>
              </w:rPr>
              <w:t>plasmodium falciparum</w:t>
            </w:r>
            <w:r w:rsidRPr="00CE0AB9">
              <w:rPr>
                <w:b/>
                <w:bCs/>
                <w:sz w:val="22"/>
                <w:szCs w:val="20"/>
              </w:rPr>
              <w:t xml:space="preserve"> malaria</w:t>
            </w:r>
          </w:p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Setting</w:t>
            </w:r>
            <w:r w:rsidRPr="00CE0AB9">
              <w:rPr>
                <w:sz w:val="22"/>
                <w:szCs w:val="20"/>
              </w:rPr>
              <w:t xml:space="preserve">: </w:t>
            </w:r>
            <w:r w:rsidRPr="00CE0AB9">
              <w:rPr>
                <w:b/>
                <w:sz w:val="22"/>
                <w:szCs w:val="20"/>
              </w:rPr>
              <w:t>Malaria endemic setting in Africa.</w:t>
            </w:r>
            <w:r w:rsidRPr="00CE0AB9">
              <w:rPr>
                <w:sz w:val="22"/>
                <w:szCs w:val="20"/>
              </w:rPr>
              <w:t xml:space="preserve"> </w:t>
            </w:r>
          </w:p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Intervention</w:t>
            </w:r>
            <w:r w:rsidRPr="00CE0AB9">
              <w:rPr>
                <w:sz w:val="22"/>
                <w:szCs w:val="20"/>
              </w:rPr>
              <w:t xml:space="preserve">: </w:t>
            </w:r>
            <w:r w:rsidRPr="00CE0AB9">
              <w:rPr>
                <w:b/>
                <w:sz w:val="22"/>
                <w:szCs w:val="20"/>
              </w:rPr>
              <w:t>Dihydroartemisinin-piperaquine</w:t>
            </w:r>
            <w:r w:rsidRPr="00CE0AB9">
              <w:rPr>
                <w:sz w:val="22"/>
                <w:szCs w:val="20"/>
              </w:rPr>
              <w:t xml:space="preserve"> </w:t>
            </w:r>
          </w:p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Comparison</w:t>
            </w:r>
            <w:r w:rsidRPr="00CE0AB9">
              <w:rPr>
                <w:sz w:val="22"/>
                <w:szCs w:val="20"/>
              </w:rPr>
              <w:t xml:space="preserve">: </w:t>
            </w:r>
            <w:r w:rsidRPr="00CE0AB9">
              <w:rPr>
                <w:b/>
                <w:sz w:val="22"/>
                <w:szCs w:val="20"/>
              </w:rPr>
              <w:t>Artemether-lumefantrine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</w:tr>
      <w:tr w:rsidR="00A80B95" w:rsidRPr="00CE0AB9" w:rsidTr="009955D8">
        <w:trPr>
          <w:cantSplit/>
          <w:tblHeader/>
        </w:trPr>
        <w:tc>
          <w:tcPr>
            <w:tcW w:w="1937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A80B95" w:rsidRPr="00CE0AB9" w:rsidRDefault="00A80B95" w:rsidP="009955D8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Outcomes</w:t>
            </w:r>
          </w:p>
        </w:tc>
        <w:tc>
          <w:tcPr>
            <w:tcW w:w="1304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A80B95" w:rsidRPr="00CE0AB9" w:rsidRDefault="00A80B95" w:rsidP="009955D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Anticipated absolute effects</w:t>
            </w:r>
            <w:r w:rsidRPr="00CE0AB9">
              <w:rPr>
                <w:b/>
                <w:bCs/>
                <w:sz w:val="22"/>
                <w:szCs w:val="20"/>
                <w:vertAlign w:val="superscript"/>
              </w:rPr>
              <w:t>*</w:t>
            </w:r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</w:rPr>
              <w:t>(95% CI)</w:t>
            </w:r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A80B95" w:rsidRPr="00CE0AB9" w:rsidRDefault="00A80B95" w:rsidP="009955D8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Relative effect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(95% CI) </w:t>
            </w:r>
          </w:p>
        </w:tc>
        <w:tc>
          <w:tcPr>
            <w:tcW w:w="449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A80B95" w:rsidRPr="00CE0AB9" w:rsidRDefault="00A80B95" w:rsidP="009955D8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 xml:space="preserve">№ of participants 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(studies) </w:t>
            </w:r>
          </w:p>
        </w:tc>
        <w:tc>
          <w:tcPr>
            <w:tcW w:w="524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A80B95" w:rsidRPr="00CE0AB9" w:rsidRDefault="00A80B95" w:rsidP="009955D8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Certainty of the evidence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(GRADE) </w:t>
            </w:r>
          </w:p>
        </w:tc>
        <w:tc>
          <w:tcPr>
            <w:tcW w:w="421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A80B95" w:rsidRPr="00CE0AB9" w:rsidRDefault="00A80B95" w:rsidP="009955D8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Comments</w:t>
            </w:r>
          </w:p>
        </w:tc>
      </w:tr>
      <w:tr w:rsidR="00A80B95" w:rsidRPr="00CE0AB9" w:rsidTr="009955D8">
        <w:trPr>
          <w:cantSplit/>
          <w:tblHeader/>
        </w:trPr>
        <w:tc>
          <w:tcPr>
            <w:tcW w:w="1937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A80B95" w:rsidRPr="00CE0AB9" w:rsidRDefault="00A80B95" w:rsidP="009955D8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524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A80B95" w:rsidRPr="00CE0AB9" w:rsidRDefault="00A80B95" w:rsidP="009955D8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 xml:space="preserve">Risk with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artemether-lumefantrine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780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A80B95" w:rsidRPr="00CE0AB9" w:rsidRDefault="00A80B95" w:rsidP="009955D8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 xml:space="preserve">Risk with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dihydroartemisinin-piperaquine</w:t>
            </w:r>
            <w:proofErr w:type="spellEnd"/>
          </w:p>
        </w:tc>
        <w:tc>
          <w:tcPr>
            <w:tcW w:w="366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A80B95" w:rsidRPr="00CE0AB9" w:rsidRDefault="00A80B95" w:rsidP="009955D8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449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A80B95" w:rsidRPr="00CE0AB9" w:rsidRDefault="00A80B95" w:rsidP="009955D8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524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A80B95" w:rsidRPr="00CE0AB9" w:rsidRDefault="00A80B95" w:rsidP="009955D8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421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A80B95" w:rsidRPr="00CE0AB9" w:rsidRDefault="00A80B95" w:rsidP="009955D8">
            <w:pPr>
              <w:rPr>
                <w:color w:val="FFFFFF"/>
                <w:sz w:val="22"/>
                <w:szCs w:val="20"/>
              </w:rPr>
            </w:pPr>
          </w:p>
        </w:tc>
      </w:tr>
      <w:tr w:rsidR="00A80B95" w:rsidRPr="00CE0AB9" w:rsidTr="009955D8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unadjusted treatment failure at day 28 - Age 6months-15 years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126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18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(10 to 33)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0.14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(0.08 to 0.26)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1302</w:t>
            </w:r>
            <w:r w:rsidRPr="00CE0AB9">
              <w:rPr>
                <w:sz w:val="22"/>
                <w:szCs w:val="20"/>
              </w:rPr>
              <w:br/>
              <w:t xml:space="preserve">(4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</w:p>
        </w:tc>
      </w:tr>
      <w:tr w:rsidR="00A80B95" w:rsidRPr="00CE0AB9" w:rsidTr="009955D8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unadjusted treatment failure at day 28 - Under five years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374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116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(86 to 157)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0.31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(0.23 to 0.42)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14319</w:t>
            </w:r>
            <w:r w:rsidRPr="00CE0AB9">
              <w:rPr>
                <w:sz w:val="22"/>
                <w:szCs w:val="20"/>
              </w:rPr>
              <w:br/>
              <w:t xml:space="preserve">(13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</w:t>
            </w:r>
            <w:r w:rsidRPr="00CE0AB9">
              <w:rPr>
                <w:rStyle w:val="quality-sign"/>
                <w:rFonts w:ascii="MS Mincho" w:eastAsia="MS Mincho" w:hAnsi="MS Mincho" w:cs="MS Mincho" w:hint="eastAsia"/>
                <w:sz w:val="22"/>
                <w:szCs w:val="20"/>
              </w:rPr>
              <w:t>◯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MODERATE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b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</w:p>
        </w:tc>
      </w:tr>
      <w:tr w:rsidR="00A80B95" w:rsidRPr="00CE0AB9" w:rsidTr="009955D8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adjusted treatment failure at day 28 - PCR adjusted treatment failure at day 28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49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22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(14 to 33)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0.45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(0.29 to 0.68)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8508</w:t>
            </w:r>
            <w:r w:rsidRPr="00CE0AB9">
              <w:rPr>
                <w:sz w:val="22"/>
                <w:szCs w:val="20"/>
              </w:rPr>
              <w:br/>
              <w:t xml:space="preserve">(16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</w:p>
        </w:tc>
      </w:tr>
      <w:tr w:rsidR="00A80B95" w:rsidRPr="00CE0AB9" w:rsidTr="009955D8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unadjusted treatment failure at day 42 - PCR unadjusted treatment failure at day 42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326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183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(156 to 215)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0.56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(0.48 to 0.66)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7667</w:t>
            </w:r>
            <w:r w:rsidRPr="00CE0AB9">
              <w:rPr>
                <w:sz w:val="22"/>
                <w:szCs w:val="20"/>
              </w:rPr>
              <w:br/>
              <w:t xml:space="preserve">(17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</w:t>
            </w:r>
            <w:r w:rsidRPr="00CE0AB9">
              <w:rPr>
                <w:rStyle w:val="quality-sign"/>
                <w:rFonts w:ascii="MS Mincho" w:eastAsia="MS Mincho" w:hAnsi="MS Mincho" w:cs="MS Mincho" w:hint="eastAsia"/>
                <w:sz w:val="22"/>
                <w:szCs w:val="20"/>
              </w:rPr>
              <w:t>◯◯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LOW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c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d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</w:p>
        </w:tc>
      </w:tr>
      <w:tr w:rsidR="00A80B95" w:rsidRPr="00CE0AB9" w:rsidTr="009955D8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adjusted treatment failure at day 42 - PCR adjusted treatment failure at day 42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55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33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(26 to 43)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0.60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(0.47 to 0.78)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5959</w:t>
            </w:r>
            <w:r w:rsidRPr="00CE0AB9">
              <w:rPr>
                <w:sz w:val="22"/>
                <w:szCs w:val="20"/>
              </w:rPr>
              <w:br/>
              <w:t xml:space="preserve">(17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</w:p>
        </w:tc>
      </w:tr>
      <w:tr w:rsidR="00A80B95" w:rsidRPr="00CE0AB9" w:rsidTr="009955D8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lastRenderedPageBreak/>
              <w:t>PCR unadjusted treatment failure at day 63 - PCR unadjusted treatment failure at day 63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440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269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(150 to 484)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0.61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(0.34 to 1.10)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3365</w:t>
            </w:r>
            <w:r w:rsidRPr="00CE0AB9">
              <w:rPr>
                <w:sz w:val="22"/>
                <w:szCs w:val="20"/>
              </w:rPr>
              <w:br/>
              <w:t xml:space="preserve">(3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</w:t>
            </w:r>
            <w:r w:rsidRPr="00CE0AB9">
              <w:rPr>
                <w:rStyle w:val="quality-sign"/>
                <w:rFonts w:ascii="MS Mincho" w:eastAsia="MS Mincho" w:hAnsi="MS Mincho" w:cs="MS Mincho" w:hint="eastAsia"/>
                <w:sz w:val="22"/>
                <w:szCs w:val="20"/>
              </w:rPr>
              <w:t>◯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MODERATE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b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e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</w:p>
        </w:tc>
      </w:tr>
      <w:tr w:rsidR="00A80B95" w:rsidRPr="00CE0AB9" w:rsidTr="009955D8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adjusted treatment failure at day 63 - PCR adjusted treatment failure at day 63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51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44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(29 to 68)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0.87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(0.57 to 1.34)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3384</w:t>
            </w:r>
            <w:r w:rsidRPr="00CE0AB9">
              <w:rPr>
                <w:sz w:val="22"/>
                <w:szCs w:val="20"/>
              </w:rPr>
              <w:br/>
              <w:t xml:space="preserve">(4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f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jc w:val="center"/>
              <w:rPr>
                <w:sz w:val="22"/>
                <w:szCs w:val="20"/>
              </w:rPr>
            </w:pPr>
          </w:p>
        </w:tc>
      </w:tr>
      <w:tr w:rsidR="00A80B95" w:rsidRPr="00CE0AB9" w:rsidTr="009955D8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E03ED3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*</w:t>
            </w:r>
            <w:r w:rsidRPr="00CE0AB9">
              <w:rPr>
                <w:b/>
                <w:bCs/>
                <w:sz w:val="22"/>
                <w:szCs w:val="20"/>
              </w:rPr>
              <w:t>The risk in the intervention group</w:t>
            </w:r>
            <w:r w:rsidRPr="00CE0AB9">
              <w:rPr>
                <w:sz w:val="22"/>
                <w:szCs w:val="20"/>
              </w:rPr>
              <w:t xml:space="preserve"> (and its 95% confidence interval) is based on the assumed risk in the comparison group and the </w:t>
            </w:r>
            <w:r w:rsidRPr="00CE0AB9">
              <w:rPr>
                <w:b/>
                <w:bCs/>
                <w:sz w:val="22"/>
                <w:szCs w:val="20"/>
              </w:rPr>
              <w:t>relative effect</w:t>
            </w:r>
            <w:r w:rsidRPr="00CE0AB9">
              <w:rPr>
                <w:sz w:val="22"/>
                <w:szCs w:val="20"/>
              </w:rPr>
              <w:t xml:space="preserve"> of the intervention (and its 95% CI). 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CI:</w:t>
            </w:r>
            <w:r w:rsidRPr="00CE0AB9">
              <w:rPr>
                <w:sz w:val="22"/>
                <w:szCs w:val="20"/>
              </w:rPr>
              <w:t xml:space="preserve"> Confidence interval; </w:t>
            </w:r>
            <w:r w:rsidRPr="00CE0AB9">
              <w:rPr>
                <w:b/>
                <w:bCs/>
                <w:sz w:val="22"/>
                <w:szCs w:val="20"/>
              </w:rPr>
              <w:t>RR:</w:t>
            </w:r>
            <w:r w:rsidR="00E03ED3">
              <w:rPr>
                <w:sz w:val="22"/>
                <w:szCs w:val="20"/>
              </w:rPr>
              <w:t xml:space="preserve"> Risk ratio</w:t>
            </w:r>
            <w:bookmarkStart w:id="2" w:name="_GoBack"/>
            <w:bookmarkEnd w:id="2"/>
          </w:p>
        </w:tc>
      </w:tr>
      <w:tr w:rsidR="00A80B95" w:rsidRPr="00CE0AB9" w:rsidTr="009955D8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B95" w:rsidRPr="00CE0AB9" w:rsidRDefault="00A80B95" w:rsidP="009955D8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GRADE Working Group grades of evidence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High certainty:</w:t>
            </w:r>
            <w:r w:rsidRPr="00CE0AB9">
              <w:rPr>
                <w:sz w:val="22"/>
                <w:szCs w:val="20"/>
              </w:rPr>
              <w:t xml:space="preserve"> We are very confident that the true effect lies close to that of the estimate of the effect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Moderate certainty:</w:t>
            </w:r>
            <w:r w:rsidRPr="00CE0AB9">
              <w:rPr>
                <w:sz w:val="22"/>
                <w:szCs w:val="20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Low certainty:</w:t>
            </w:r>
            <w:r w:rsidRPr="00CE0AB9">
              <w:rPr>
                <w:sz w:val="22"/>
                <w:szCs w:val="20"/>
              </w:rPr>
              <w:t xml:space="preserve"> Our confidence in the effect estimate is limited: The true effect may be substantially different from the estimate of the effect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Very low certainty:</w:t>
            </w:r>
            <w:r w:rsidRPr="00CE0AB9">
              <w:rPr>
                <w:sz w:val="22"/>
                <w:szCs w:val="20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:rsidR="00F16AFB" w:rsidRDefault="00F16AFB"/>
    <w:sectPr w:rsidR="00F16AFB" w:rsidSect="00A80B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95"/>
    <w:rsid w:val="002A6CAB"/>
    <w:rsid w:val="002C1F03"/>
    <w:rsid w:val="00627376"/>
    <w:rsid w:val="00A80B95"/>
    <w:rsid w:val="00C37518"/>
    <w:rsid w:val="00E03ED3"/>
    <w:rsid w:val="00EA58F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0B95"/>
    <w:pPr>
      <w:spacing w:before="100" w:beforeAutospacing="1" w:after="100" w:afterAutospacing="1"/>
    </w:pPr>
    <w:rPr>
      <w:lang w:val="en-US" w:eastAsia="en-US"/>
    </w:rPr>
  </w:style>
  <w:style w:type="paragraph" w:customStyle="1" w:styleId="sof-title">
    <w:name w:val="sof-title"/>
    <w:basedOn w:val="Normal"/>
    <w:rsid w:val="00A80B95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first-letter">
    <w:name w:val="first-letter"/>
    <w:basedOn w:val="Normal"/>
    <w:rsid w:val="00A80B95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customStyle="1" w:styleId="label">
    <w:name w:val="label"/>
    <w:basedOn w:val="DefaultParagraphFont"/>
    <w:rsid w:val="00A80B95"/>
  </w:style>
  <w:style w:type="character" w:customStyle="1" w:styleId="cell-value">
    <w:name w:val="cell-value"/>
    <w:basedOn w:val="DefaultParagraphFont"/>
    <w:qFormat/>
    <w:rsid w:val="00A80B95"/>
  </w:style>
  <w:style w:type="character" w:customStyle="1" w:styleId="cell">
    <w:name w:val="cell"/>
    <w:basedOn w:val="DefaultParagraphFont"/>
    <w:rsid w:val="00A80B95"/>
  </w:style>
  <w:style w:type="character" w:customStyle="1" w:styleId="block">
    <w:name w:val="block"/>
    <w:basedOn w:val="DefaultParagraphFont"/>
    <w:qFormat/>
    <w:rsid w:val="00A80B95"/>
  </w:style>
  <w:style w:type="character" w:customStyle="1" w:styleId="quality-sign">
    <w:name w:val="quality-sign"/>
    <w:basedOn w:val="DefaultParagraphFont"/>
    <w:qFormat/>
    <w:rsid w:val="00A80B95"/>
  </w:style>
  <w:style w:type="character" w:customStyle="1" w:styleId="quality-text">
    <w:name w:val="quality-text"/>
    <w:basedOn w:val="DefaultParagraphFont"/>
    <w:qFormat/>
    <w:rsid w:val="00A80B95"/>
  </w:style>
  <w:style w:type="character" w:customStyle="1" w:styleId="comma">
    <w:name w:val="comma"/>
    <w:basedOn w:val="DefaultParagraphFont"/>
    <w:qFormat/>
    <w:rsid w:val="00A80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0B95"/>
    <w:pPr>
      <w:spacing w:before="100" w:beforeAutospacing="1" w:after="100" w:afterAutospacing="1"/>
    </w:pPr>
    <w:rPr>
      <w:lang w:val="en-US" w:eastAsia="en-US"/>
    </w:rPr>
  </w:style>
  <w:style w:type="paragraph" w:customStyle="1" w:styleId="sof-title">
    <w:name w:val="sof-title"/>
    <w:basedOn w:val="Normal"/>
    <w:rsid w:val="00A80B95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first-letter">
    <w:name w:val="first-letter"/>
    <w:basedOn w:val="Normal"/>
    <w:rsid w:val="00A80B95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customStyle="1" w:styleId="label">
    <w:name w:val="label"/>
    <w:basedOn w:val="DefaultParagraphFont"/>
    <w:rsid w:val="00A80B95"/>
  </w:style>
  <w:style w:type="character" w:customStyle="1" w:styleId="cell-value">
    <w:name w:val="cell-value"/>
    <w:basedOn w:val="DefaultParagraphFont"/>
    <w:qFormat/>
    <w:rsid w:val="00A80B95"/>
  </w:style>
  <w:style w:type="character" w:customStyle="1" w:styleId="cell">
    <w:name w:val="cell"/>
    <w:basedOn w:val="DefaultParagraphFont"/>
    <w:rsid w:val="00A80B95"/>
  </w:style>
  <w:style w:type="character" w:customStyle="1" w:styleId="block">
    <w:name w:val="block"/>
    <w:basedOn w:val="DefaultParagraphFont"/>
    <w:qFormat/>
    <w:rsid w:val="00A80B95"/>
  </w:style>
  <w:style w:type="character" w:customStyle="1" w:styleId="quality-sign">
    <w:name w:val="quality-sign"/>
    <w:basedOn w:val="DefaultParagraphFont"/>
    <w:qFormat/>
    <w:rsid w:val="00A80B95"/>
  </w:style>
  <w:style w:type="character" w:customStyle="1" w:styleId="quality-text">
    <w:name w:val="quality-text"/>
    <w:basedOn w:val="DefaultParagraphFont"/>
    <w:qFormat/>
    <w:rsid w:val="00A80B95"/>
  </w:style>
  <w:style w:type="character" w:customStyle="1" w:styleId="comma">
    <w:name w:val="comma"/>
    <w:basedOn w:val="DefaultParagraphFont"/>
    <w:qFormat/>
    <w:rsid w:val="00A80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2021-07-07T20:40:00Z</dcterms:created>
  <dcterms:modified xsi:type="dcterms:W3CDTF">2021-07-11T16:34:00Z</dcterms:modified>
</cp:coreProperties>
</file>