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7001" w:rsidRPr="00687CFF" w:rsidRDefault="00D07001" w:rsidP="00D07001">
      <w:pPr>
        <w:spacing w:line="276" w:lineRule="auto"/>
        <w:rPr>
          <w:rFonts w:ascii="Arial" w:hAnsi="Arial" w:cs="Arial"/>
          <w:b/>
          <w:bCs/>
          <w:sz w:val="22"/>
          <w:szCs w:val="22"/>
        </w:rPr>
      </w:pPr>
      <w:r w:rsidRPr="00687CFF">
        <w:rPr>
          <w:rFonts w:ascii="Arial" w:hAnsi="Arial" w:cs="Arial"/>
          <w:b/>
          <w:bCs/>
          <w:sz w:val="22"/>
          <w:szCs w:val="22"/>
        </w:rPr>
        <w:t>Appendix Table of Contents</w:t>
      </w:r>
    </w:p>
    <w:p w:rsidR="00D07001" w:rsidRPr="005F1F91" w:rsidRDefault="00D07001" w:rsidP="00D07001">
      <w:pPr>
        <w:spacing w:line="276" w:lineRule="auto"/>
        <w:rPr>
          <w:rFonts w:ascii="Arial" w:hAnsi="Arial" w:cs="Arial"/>
          <w:sz w:val="22"/>
          <w:szCs w:val="22"/>
        </w:rPr>
      </w:pPr>
    </w:p>
    <w:p w:rsidR="00D07001" w:rsidRPr="005F1F91" w:rsidRDefault="00D07001" w:rsidP="00D07001">
      <w:pPr>
        <w:spacing w:line="276" w:lineRule="auto"/>
        <w:rPr>
          <w:rFonts w:ascii="Arial" w:hAnsi="Arial" w:cs="Arial"/>
          <w:sz w:val="22"/>
          <w:szCs w:val="22"/>
        </w:rPr>
      </w:pPr>
      <w:r w:rsidRPr="005F1F91">
        <w:rPr>
          <w:rFonts w:ascii="Arial" w:hAnsi="Arial" w:cs="Arial"/>
          <w:sz w:val="22"/>
          <w:szCs w:val="22"/>
        </w:rPr>
        <w:t>Appendix 1: Index Visit Extract Description</w:t>
      </w:r>
    </w:p>
    <w:p w:rsidR="00D07001" w:rsidRPr="005F1F91" w:rsidRDefault="00D07001" w:rsidP="00D07001">
      <w:pPr>
        <w:spacing w:line="276" w:lineRule="auto"/>
        <w:rPr>
          <w:rFonts w:ascii="Arial" w:hAnsi="Arial" w:cs="Arial"/>
          <w:sz w:val="22"/>
          <w:szCs w:val="22"/>
        </w:rPr>
      </w:pPr>
      <w:r w:rsidRPr="005F1F91">
        <w:rPr>
          <w:rFonts w:ascii="Arial" w:hAnsi="Arial" w:cs="Arial"/>
          <w:sz w:val="22"/>
          <w:szCs w:val="22"/>
        </w:rPr>
        <w:t>Appendix 2: Comorbidities from Index Visit and Visits 365 Days Prior</w:t>
      </w:r>
    </w:p>
    <w:p w:rsidR="00D07001" w:rsidRPr="005F1F91" w:rsidRDefault="00D07001" w:rsidP="00D07001">
      <w:pPr>
        <w:spacing w:line="276" w:lineRule="auto"/>
        <w:rPr>
          <w:rFonts w:ascii="Arial" w:hAnsi="Arial" w:cs="Arial"/>
          <w:sz w:val="22"/>
          <w:szCs w:val="22"/>
        </w:rPr>
      </w:pPr>
      <w:r w:rsidRPr="005F1F91">
        <w:rPr>
          <w:rFonts w:ascii="Arial" w:hAnsi="Arial" w:cs="Arial"/>
          <w:sz w:val="22"/>
          <w:szCs w:val="22"/>
        </w:rPr>
        <w:t>Appendix 3: Prescriptions During the Index Visit and Visits 365 Days Prior</w:t>
      </w:r>
    </w:p>
    <w:p w:rsidR="00D07001" w:rsidRPr="005F1F91" w:rsidRDefault="00D07001" w:rsidP="00D07001">
      <w:pPr>
        <w:spacing w:line="276" w:lineRule="auto"/>
        <w:rPr>
          <w:rFonts w:ascii="Arial" w:hAnsi="Arial" w:cs="Arial"/>
          <w:sz w:val="22"/>
          <w:szCs w:val="22"/>
        </w:rPr>
      </w:pPr>
      <w:r w:rsidRPr="005F1F91">
        <w:rPr>
          <w:rFonts w:ascii="Arial" w:hAnsi="Arial" w:cs="Arial"/>
          <w:sz w:val="22"/>
          <w:szCs w:val="22"/>
        </w:rPr>
        <w:t>Appendix 4: Opioid Prescription Calculation Assumptions</w:t>
      </w:r>
    </w:p>
    <w:p w:rsidR="00D07001" w:rsidRPr="005F1F91" w:rsidRDefault="00D07001" w:rsidP="00D07001">
      <w:pPr>
        <w:spacing w:line="276" w:lineRule="auto"/>
        <w:rPr>
          <w:rFonts w:ascii="Arial" w:hAnsi="Arial" w:cs="Arial"/>
          <w:sz w:val="22"/>
          <w:szCs w:val="22"/>
        </w:rPr>
      </w:pPr>
    </w:p>
    <w:p w:rsidR="00D07001" w:rsidRPr="005F1F91" w:rsidRDefault="00D07001" w:rsidP="00D07001">
      <w:pPr>
        <w:spacing w:line="276" w:lineRule="auto"/>
        <w:rPr>
          <w:rFonts w:ascii="Arial" w:hAnsi="Arial" w:cs="Arial"/>
          <w:b/>
          <w:sz w:val="22"/>
          <w:szCs w:val="22"/>
        </w:rPr>
      </w:pPr>
    </w:p>
    <w:p w:rsidR="00D07001" w:rsidRPr="005F1F91" w:rsidRDefault="00D07001" w:rsidP="00D07001">
      <w:pPr>
        <w:spacing w:line="276" w:lineRule="auto"/>
        <w:rPr>
          <w:rFonts w:ascii="Arial" w:hAnsi="Arial" w:cs="Arial"/>
          <w:sz w:val="22"/>
          <w:szCs w:val="22"/>
        </w:rPr>
      </w:pPr>
    </w:p>
    <w:p w:rsidR="00D07001" w:rsidRPr="005F1F91" w:rsidRDefault="00D07001" w:rsidP="00D07001">
      <w:pPr>
        <w:rPr>
          <w:rFonts w:ascii="Arial" w:hAnsi="Arial" w:cs="Arial"/>
          <w:b/>
          <w:sz w:val="22"/>
          <w:szCs w:val="22"/>
        </w:rPr>
      </w:pPr>
    </w:p>
    <w:p w:rsidR="00D07001" w:rsidRPr="005F1F91" w:rsidRDefault="00D07001" w:rsidP="00D07001">
      <w:pPr>
        <w:rPr>
          <w:rFonts w:ascii="Arial" w:hAnsi="Arial" w:cs="Arial"/>
          <w:b/>
          <w:sz w:val="22"/>
          <w:szCs w:val="22"/>
        </w:rPr>
      </w:pPr>
    </w:p>
    <w:p w:rsidR="00D07001" w:rsidRPr="005F1F91" w:rsidRDefault="00D07001" w:rsidP="00D07001">
      <w:pPr>
        <w:rPr>
          <w:rFonts w:ascii="Arial" w:hAnsi="Arial" w:cs="Arial"/>
          <w:b/>
          <w:sz w:val="22"/>
          <w:szCs w:val="22"/>
        </w:rPr>
      </w:pPr>
      <w:r w:rsidRPr="005F1F91">
        <w:rPr>
          <w:rFonts w:ascii="Arial" w:hAnsi="Arial" w:cs="Arial"/>
          <w:b/>
          <w:sz w:val="22"/>
          <w:szCs w:val="22"/>
        </w:rPr>
        <w:br w:type="page"/>
      </w:r>
    </w:p>
    <w:p w:rsidR="00D07001" w:rsidRPr="005F1F91" w:rsidRDefault="00D07001" w:rsidP="00D07001">
      <w:pPr>
        <w:rPr>
          <w:rFonts w:ascii="Arial" w:hAnsi="Arial" w:cs="Arial"/>
          <w:b/>
          <w:sz w:val="22"/>
          <w:szCs w:val="22"/>
        </w:rPr>
      </w:pPr>
      <w:r w:rsidRPr="005F1F91">
        <w:rPr>
          <w:rFonts w:ascii="Arial" w:hAnsi="Arial" w:cs="Arial"/>
          <w:b/>
          <w:sz w:val="22"/>
          <w:szCs w:val="22"/>
        </w:rPr>
        <w:lastRenderedPageBreak/>
        <w:t>Appendix 1. Office Visit Extract Description</w:t>
      </w:r>
    </w:p>
    <w:p w:rsidR="00D07001" w:rsidRPr="005F1F91" w:rsidRDefault="00D07001" w:rsidP="00D07001">
      <w:pPr>
        <w:spacing w:line="276" w:lineRule="auto"/>
        <w:rPr>
          <w:rFonts w:ascii="Arial" w:hAnsi="Arial" w:cs="Arial"/>
          <w:sz w:val="22"/>
          <w:szCs w:val="22"/>
        </w:rPr>
      </w:pPr>
    </w:p>
    <w:p w:rsidR="00D07001" w:rsidRPr="005F1F91" w:rsidRDefault="00D07001" w:rsidP="00D07001">
      <w:pPr>
        <w:spacing w:line="276" w:lineRule="auto"/>
        <w:rPr>
          <w:rFonts w:ascii="Arial" w:hAnsi="Arial" w:cs="Arial"/>
          <w:b/>
          <w:i/>
          <w:sz w:val="22"/>
          <w:szCs w:val="22"/>
        </w:rPr>
      </w:pPr>
      <w:r w:rsidRPr="005F1F91">
        <w:rPr>
          <w:rFonts w:ascii="Arial" w:hAnsi="Arial" w:cs="Arial"/>
          <w:b/>
          <w:i/>
          <w:sz w:val="22"/>
          <w:szCs w:val="22"/>
        </w:rPr>
        <w:t>Office Visit</w:t>
      </w:r>
    </w:p>
    <w:p w:rsidR="00D07001" w:rsidRPr="005F1F91" w:rsidRDefault="00D07001" w:rsidP="00D07001">
      <w:pPr>
        <w:spacing w:line="276" w:lineRule="auto"/>
        <w:rPr>
          <w:rFonts w:ascii="Arial" w:hAnsi="Arial" w:cs="Arial"/>
          <w:sz w:val="22"/>
          <w:szCs w:val="22"/>
        </w:rPr>
      </w:pPr>
    </w:p>
    <w:p w:rsidR="00D07001" w:rsidRPr="005F1F91" w:rsidRDefault="00D07001" w:rsidP="00D07001">
      <w:pPr>
        <w:spacing w:line="276" w:lineRule="auto"/>
        <w:rPr>
          <w:rFonts w:ascii="Arial" w:hAnsi="Arial" w:cs="Arial"/>
          <w:sz w:val="22"/>
          <w:szCs w:val="22"/>
        </w:rPr>
      </w:pPr>
      <w:r w:rsidRPr="005F1F91">
        <w:rPr>
          <w:rFonts w:ascii="Arial" w:hAnsi="Arial" w:cs="Arial"/>
          <w:sz w:val="22"/>
          <w:szCs w:val="22"/>
        </w:rPr>
        <w:t>For the visit, we extracted medical record number (MRN), visit</w:t>
      </w:r>
      <w:r>
        <w:rPr>
          <w:rFonts w:ascii="Arial" w:hAnsi="Arial" w:cs="Arial"/>
          <w:sz w:val="22"/>
          <w:szCs w:val="22"/>
        </w:rPr>
        <w:t xml:space="preserve"> </w:t>
      </w:r>
      <w:r w:rsidRPr="005F1F91">
        <w:rPr>
          <w:rFonts w:ascii="Arial" w:hAnsi="Arial" w:cs="Arial"/>
          <w:sz w:val="22"/>
          <w:szCs w:val="22"/>
        </w:rPr>
        <w:t xml:space="preserve">date, the visit encounter number, provider identification number, provider name, provider specialty, department name, birth date, sex, ethnic group, race, marital status, zip, employment status, tobacco use. We dropped observations where the visit was for acupuncture, a dietitian, or where the provider specialty was missing. Since our aim was to capture opioid prescribing in the primary care setting, if the first visit for low back pain within that year occurred elsewhere (e.g., emergency department, inpatient, hospital outpatient, pre-operative and post-operative, infusion, or prenatal visit), we looked at the next office visit. If the patient had no eligible office visits during the calendar year, the individual was excluded from the analysis. </w:t>
      </w:r>
    </w:p>
    <w:p w:rsidR="00D07001" w:rsidRPr="005F1F91" w:rsidRDefault="00D07001" w:rsidP="00D07001">
      <w:pPr>
        <w:spacing w:line="276" w:lineRule="auto"/>
        <w:rPr>
          <w:rFonts w:ascii="Arial" w:hAnsi="Arial" w:cs="Arial"/>
          <w:sz w:val="22"/>
          <w:szCs w:val="22"/>
        </w:rPr>
      </w:pPr>
    </w:p>
    <w:p w:rsidR="00D07001" w:rsidRPr="005F1F91" w:rsidRDefault="00D07001" w:rsidP="00D07001">
      <w:pPr>
        <w:spacing w:line="276" w:lineRule="auto"/>
        <w:rPr>
          <w:rFonts w:ascii="Arial" w:hAnsi="Arial" w:cs="Arial"/>
          <w:b/>
          <w:i/>
          <w:sz w:val="22"/>
          <w:szCs w:val="22"/>
        </w:rPr>
      </w:pPr>
      <w:r w:rsidRPr="005F1F91">
        <w:rPr>
          <w:rFonts w:ascii="Arial" w:hAnsi="Arial" w:cs="Arial"/>
          <w:b/>
          <w:i/>
          <w:sz w:val="22"/>
          <w:szCs w:val="22"/>
        </w:rPr>
        <w:t>Office Visit Opioid and Benzodiazepine Prescriptions</w:t>
      </w:r>
    </w:p>
    <w:p w:rsidR="00D07001" w:rsidRPr="005F1F91" w:rsidRDefault="00D07001" w:rsidP="00D07001">
      <w:pPr>
        <w:spacing w:line="276" w:lineRule="auto"/>
        <w:rPr>
          <w:rFonts w:ascii="Arial" w:hAnsi="Arial" w:cs="Arial"/>
          <w:sz w:val="22"/>
          <w:szCs w:val="22"/>
        </w:rPr>
      </w:pPr>
    </w:p>
    <w:p w:rsidR="00D07001" w:rsidRPr="005F1F91" w:rsidRDefault="00D07001" w:rsidP="00D07001">
      <w:pPr>
        <w:spacing w:line="276" w:lineRule="auto"/>
        <w:rPr>
          <w:rFonts w:ascii="Arial" w:hAnsi="Arial" w:cs="Arial"/>
          <w:sz w:val="22"/>
          <w:szCs w:val="22"/>
        </w:rPr>
      </w:pPr>
      <w:r w:rsidRPr="005F1F91">
        <w:rPr>
          <w:rFonts w:ascii="Arial" w:hAnsi="Arial" w:cs="Arial"/>
          <w:sz w:val="22"/>
          <w:szCs w:val="22"/>
        </w:rPr>
        <w:t>Using the office visit prescription data, we created variable where at least one opioid was prescribed.</w:t>
      </w:r>
    </w:p>
    <w:p w:rsidR="00D07001" w:rsidRPr="005F1F91" w:rsidRDefault="00D07001" w:rsidP="00D07001">
      <w:pPr>
        <w:spacing w:line="276" w:lineRule="auto"/>
        <w:rPr>
          <w:rFonts w:ascii="Arial" w:hAnsi="Arial" w:cs="Arial"/>
          <w:sz w:val="22"/>
          <w:szCs w:val="22"/>
        </w:rPr>
      </w:pPr>
      <w:r w:rsidRPr="005F1F91">
        <w:rPr>
          <w:rFonts w:ascii="Arial" w:hAnsi="Arial" w:cs="Arial"/>
          <w:sz w:val="22"/>
          <w:szCs w:val="22"/>
        </w:rPr>
        <w:t xml:space="preserve">We also created variable where at least one benzodiazepine was prescribed. </w:t>
      </w:r>
    </w:p>
    <w:p w:rsidR="00D07001" w:rsidRPr="005F1F91" w:rsidRDefault="00D07001" w:rsidP="00D07001">
      <w:pPr>
        <w:spacing w:line="276" w:lineRule="auto"/>
        <w:rPr>
          <w:rFonts w:ascii="Arial" w:hAnsi="Arial" w:cs="Arial"/>
          <w:sz w:val="22"/>
          <w:szCs w:val="22"/>
        </w:rPr>
      </w:pPr>
    </w:p>
    <w:p w:rsidR="00D07001" w:rsidRPr="005F1F91" w:rsidRDefault="00D07001" w:rsidP="00D07001">
      <w:pPr>
        <w:spacing w:line="276" w:lineRule="auto"/>
        <w:rPr>
          <w:rFonts w:ascii="Arial" w:hAnsi="Arial" w:cs="Arial"/>
          <w:b/>
          <w:i/>
          <w:sz w:val="22"/>
          <w:szCs w:val="22"/>
        </w:rPr>
      </w:pPr>
      <w:r w:rsidRPr="005F1F91">
        <w:rPr>
          <w:rFonts w:ascii="Arial" w:hAnsi="Arial" w:cs="Arial"/>
          <w:b/>
          <w:i/>
          <w:sz w:val="22"/>
          <w:szCs w:val="22"/>
        </w:rPr>
        <w:t>Office Visit Inclusion and Exclusion Codes</w:t>
      </w:r>
    </w:p>
    <w:p w:rsidR="00D07001" w:rsidRPr="005F1F91" w:rsidRDefault="00D07001" w:rsidP="00D07001">
      <w:pPr>
        <w:spacing w:line="276" w:lineRule="auto"/>
        <w:rPr>
          <w:rFonts w:ascii="Arial" w:hAnsi="Arial" w:cs="Arial"/>
          <w:b/>
          <w:i/>
          <w:sz w:val="22"/>
          <w:szCs w:val="22"/>
        </w:rPr>
      </w:pPr>
    </w:p>
    <w:p w:rsidR="00D07001" w:rsidRPr="005F1F91" w:rsidRDefault="00D07001" w:rsidP="00D07001">
      <w:pPr>
        <w:spacing w:line="276" w:lineRule="auto"/>
        <w:rPr>
          <w:rFonts w:ascii="Arial" w:hAnsi="Arial" w:cs="Arial"/>
          <w:sz w:val="22"/>
          <w:szCs w:val="22"/>
        </w:rPr>
      </w:pPr>
      <w:r w:rsidRPr="005F1F91">
        <w:rPr>
          <w:rFonts w:ascii="Arial" w:hAnsi="Arial" w:cs="Arial"/>
          <w:sz w:val="22"/>
          <w:szCs w:val="22"/>
        </w:rPr>
        <w:t xml:space="preserve">Below, we list the ICD-9 codes used as inclusion and exclusion criteria we used to create a cohort of patients for this retrospective observational cohort study. </w:t>
      </w:r>
    </w:p>
    <w:p w:rsidR="00D07001" w:rsidRPr="005F1F91" w:rsidRDefault="00D07001" w:rsidP="00D07001">
      <w:pPr>
        <w:rPr>
          <w:rFonts w:ascii="Arial" w:hAnsi="Arial" w:cs="Arial"/>
          <w:sz w:val="22"/>
          <w:szCs w:val="22"/>
        </w:rPr>
      </w:pPr>
    </w:p>
    <w:p w:rsidR="00D07001" w:rsidRPr="005F1F91" w:rsidRDefault="00D07001" w:rsidP="00D07001">
      <w:pPr>
        <w:rPr>
          <w:rFonts w:ascii="Arial" w:hAnsi="Arial" w:cs="Arial"/>
          <w:b/>
          <w:sz w:val="22"/>
          <w:szCs w:val="22"/>
        </w:rPr>
      </w:pP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661"/>
        <w:gridCol w:w="7409"/>
      </w:tblGrid>
      <w:tr w:rsidR="00D07001" w:rsidRPr="005F1F91" w:rsidTr="00A30439">
        <w:trPr>
          <w:trHeight w:val="340"/>
        </w:trPr>
        <w:tc>
          <w:tcPr>
            <w:tcW w:w="0" w:type="auto"/>
            <w:gridSpan w:val="2"/>
            <w:tcBorders>
              <w:top w:val="single" w:sz="4" w:space="0" w:color="auto"/>
              <w:bottom w:val="single" w:sz="4" w:space="0" w:color="auto"/>
            </w:tcBorders>
            <w:shd w:val="clear" w:color="auto" w:fill="auto"/>
            <w:noWrap/>
          </w:tcPr>
          <w:p w:rsidR="00D07001" w:rsidRPr="005F1F91" w:rsidRDefault="00D07001" w:rsidP="00A30439">
            <w:pPr>
              <w:rPr>
                <w:rFonts w:ascii="Arial" w:hAnsi="Arial" w:cs="Arial"/>
                <w:sz w:val="22"/>
                <w:szCs w:val="22"/>
              </w:rPr>
            </w:pPr>
            <w:r w:rsidRPr="005F1F91">
              <w:rPr>
                <w:rFonts w:ascii="Arial" w:hAnsi="Arial" w:cs="Arial"/>
                <w:sz w:val="22"/>
                <w:szCs w:val="22"/>
              </w:rPr>
              <w:t>Appendix Table 1. Office Visit Low Back Pain Inclusion International Classification of Disease (ICD) 9 Codes and Descriptions</w:t>
            </w:r>
          </w:p>
        </w:tc>
      </w:tr>
      <w:tr w:rsidR="00D07001" w:rsidRPr="005F1F91" w:rsidTr="00A30439">
        <w:trPr>
          <w:trHeight w:val="340"/>
        </w:trPr>
        <w:tc>
          <w:tcPr>
            <w:tcW w:w="0" w:type="auto"/>
            <w:tcBorders>
              <w:top w:val="single" w:sz="4" w:space="0" w:color="auto"/>
              <w:bottom w:val="single" w:sz="4" w:space="0" w:color="auto"/>
            </w:tcBorders>
            <w:shd w:val="clear" w:color="auto" w:fill="auto"/>
            <w:noWrap/>
            <w:hideMark/>
          </w:tcPr>
          <w:p w:rsidR="00D07001" w:rsidRPr="005F1F91" w:rsidRDefault="00D07001" w:rsidP="00A30439">
            <w:pPr>
              <w:rPr>
                <w:rFonts w:ascii="Arial" w:hAnsi="Arial" w:cs="Arial"/>
                <w:b/>
                <w:color w:val="FFFFFF"/>
                <w:sz w:val="22"/>
                <w:szCs w:val="22"/>
              </w:rPr>
            </w:pPr>
            <w:r w:rsidRPr="005F1F91">
              <w:rPr>
                <w:rFonts w:ascii="Arial" w:hAnsi="Arial" w:cs="Arial"/>
                <w:b/>
                <w:color w:val="000000" w:themeColor="text1"/>
                <w:sz w:val="22"/>
                <w:szCs w:val="22"/>
              </w:rPr>
              <w:t>ICD-9 Inclusion Codes</w:t>
            </w:r>
            <w:r w:rsidRPr="005F1F91">
              <w:rPr>
                <w:rFonts w:ascii="Arial" w:hAnsi="Arial" w:cs="Arial"/>
                <w:b/>
                <w:color w:val="FFFFFF"/>
                <w:sz w:val="22"/>
                <w:szCs w:val="22"/>
              </w:rPr>
              <w:t>ICD-9 Code</w:t>
            </w:r>
          </w:p>
        </w:tc>
        <w:tc>
          <w:tcPr>
            <w:tcW w:w="0" w:type="auto"/>
            <w:tcBorders>
              <w:top w:val="single" w:sz="4" w:space="0" w:color="auto"/>
              <w:bottom w:val="single" w:sz="4" w:space="0" w:color="auto"/>
            </w:tcBorders>
            <w:shd w:val="clear" w:color="auto" w:fill="auto"/>
            <w:noWrap/>
            <w:hideMark/>
          </w:tcPr>
          <w:p w:rsidR="00D07001" w:rsidRPr="005F1F91" w:rsidRDefault="00D07001" w:rsidP="00A30439">
            <w:pPr>
              <w:rPr>
                <w:rFonts w:ascii="Arial" w:hAnsi="Arial" w:cs="Arial"/>
                <w:b/>
                <w:color w:val="FFFFFF"/>
                <w:sz w:val="22"/>
                <w:szCs w:val="22"/>
              </w:rPr>
            </w:pPr>
            <w:r w:rsidRPr="005F1F91">
              <w:rPr>
                <w:rFonts w:ascii="Arial" w:hAnsi="Arial" w:cs="Arial"/>
                <w:b/>
                <w:color w:val="000000" w:themeColor="text1"/>
                <w:sz w:val="22"/>
                <w:szCs w:val="22"/>
              </w:rPr>
              <w:t>Description</w:t>
            </w:r>
            <w:r w:rsidRPr="005F1F91">
              <w:rPr>
                <w:rFonts w:ascii="Arial" w:hAnsi="Arial" w:cs="Arial"/>
                <w:b/>
                <w:color w:val="FFFFFF"/>
                <w:sz w:val="22"/>
                <w:szCs w:val="22"/>
              </w:rPr>
              <w:t> </w:t>
            </w:r>
          </w:p>
        </w:tc>
      </w:tr>
      <w:tr w:rsidR="00D07001" w:rsidRPr="005F1F91" w:rsidTr="00A30439">
        <w:trPr>
          <w:trHeight w:val="320"/>
        </w:trPr>
        <w:tc>
          <w:tcPr>
            <w:tcW w:w="0" w:type="auto"/>
            <w:tcBorders>
              <w:top w:val="single" w:sz="4" w:space="0" w:color="auto"/>
            </w:tcBorders>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719.xx</w:t>
            </w:r>
          </w:p>
        </w:tc>
        <w:tc>
          <w:tcPr>
            <w:tcW w:w="0" w:type="auto"/>
            <w:tcBorders>
              <w:top w:val="single" w:sz="4" w:space="0" w:color="auto"/>
            </w:tcBorders>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Joint Pain</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720.1</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Enthesopathy, spinal</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720.2</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Sacroiliitis NEC</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720.9</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Spondylopathy, inflammatory NOS</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721.3</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Spondylosis, lumbosacral</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721.42</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Spondylosis, lumbar w/myelopathy</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721.6</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Ankylosing vertebral hyperostosis</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721.7</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Spondylopathy, traumatic</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721.8</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Disorder, spinal NEC</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721.9</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Spondylosis NOS</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721.9</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Spondylosis NOS without myelopathy</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722</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Disorders, intervertebral disc</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722.1</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 xml:space="preserve">Displacement of thoracic/lumbar </w:t>
            </w:r>
            <w:r w:rsidRPr="005F1F91">
              <w:rPr>
                <w:rFonts w:ascii="Arial" w:eastAsia="Times New Roman" w:hAnsi="Arial" w:cs="Arial"/>
                <w:color w:val="000000"/>
                <w:sz w:val="22"/>
                <w:szCs w:val="22"/>
              </w:rPr>
              <w:t>intervertebral disc without myelopathy</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722.1</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Displacement of thoracic or lumbar intervertebral disc without myelopathy</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722.2</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Displacement of intervertebral disc, site unspecified, without myelopathy</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722.32</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Schmorl</w:t>
            </w:r>
            <w:r w:rsidRPr="005F1F91">
              <w:rPr>
                <w:rFonts w:ascii="Arial" w:eastAsia="Times New Roman" w:hAnsi="Arial" w:cs="Arial"/>
                <w:color w:val="000000"/>
                <w:sz w:val="22"/>
                <w:szCs w:val="22"/>
              </w:rPr>
              <w:t>’s nodes, lumbar region</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lastRenderedPageBreak/>
              <w:t>722.5</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Degeneration, thoracic/lumbar disc</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722.52</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Degeneration, lumbar/lumbosacral disc</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722.6</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Degeneration, disc NOS</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722.7</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Intervertebral disc disorder with myelopathy</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722.7</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 xml:space="preserve">Intervertebral disc disorder with myelopathy, </w:t>
            </w:r>
            <w:r w:rsidRPr="005F1F91">
              <w:rPr>
                <w:rFonts w:ascii="Arial" w:eastAsia="Times New Roman" w:hAnsi="Arial" w:cs="Arial"/>
                <w:color w:val="000000"/>
                <w:sz w:val="22"/>
                <w:szCs w:val="22"/>
              </w:rPr>
              <w:t>unspecified region</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722.73</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 xml:space="preserve">Intervertebral disc disorder with myelopathy, </w:t>
            </w:r>
            <w:r w:rsidRPr="005F1F91">
              <w:rPr>
                <w:rFonts w:ascii="Arial" w:eastAsia="Times New Roman" w:hAnsi="Arial" w:cs="Arial"/>
                <w:color w:val="000000"/>
                <w:sz w:val="22"/>
                <w:szCs w:val="22"/>
              </w:rPr>
              <w:t>lumbar region</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722.8</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Postlaminectomy syndrome</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722.83</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Syndrome, postlaminectomy, lumbar</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722.9</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Disorder, intervertebral disc, other and unspecified</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722.9</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 xml:space="preserve">Disorder NEC/NOS, </w:t>
            </w:r>
            <w:r w:rsidRPr="005F1F91">
              <w:rPr>
                <w:rFonts w:ascii="Arial" w:eastAsia="Times New Roman" w:hAnsi="Arial" w:cs="Arial"/>
                <w:color w:val="000000"/>
                <w:sz w:val="22"/>
                <w:szCs w:val="22"/>
              </w:rPr>
              <w:t>unspecified disc</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722.93</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Disorder NEC/NOS, lumbar disc</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724</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 xml:space="preserve">Stenosis, </w:t>
            </w:r>
            <w:r w:rsidRPr="005F1F91">
              <w:rPr>
                <w:rFonts w:ascii="Arial" w:eastAsia="Times New Roman" w:hAnsi="Arial" w:cs="Arial"/>
                <w:color w:val="000000"/>
                <w:sz w:val="22"/>
                <w:szCs w:val="22"/>
              </w:rPr>
              <w:t>spinal, other than cervical</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724</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Stenosis, spinal, unspecified region</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724</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Disorders, back, other and unspecified</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724.02</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Stenosis, spinal, lumbar</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724.09</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Stenosis, spinal, other</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724.1</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Pain in thoracic spine</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724.2</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Lumbago</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724.3</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Sciatica</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724.4</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Neuritis, lumbosacral NOS</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724.5</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Backache NOS</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724.6</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Disorders, sacrum (including lumbosacral joint instability)</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724.7</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Disorders, coccyx</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724.71</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Hypermobility, coccyx</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724.79</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Disorder, coccyx NEC</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724.8</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Symptom, back NEC</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724.9</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Disorder, back NOS</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728.2</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Atrophy, muscular disuse NEC</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728.8</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Disorders, muscle/ligament/fascia</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728.85</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Spasm, muscle</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728.9</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Disorder, muscle/ligament NOS</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729.1</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Myalgia/myositis NOS</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729.2</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Neuralgia/neuritis NOS</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729.9</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Disorder, soft tissue NEC/NOS</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733.13</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Pathologic fracture of vertebrae</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737.3</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Kyphoscoliosis and scoliosis</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737.3</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Scoliosis, idiopathic</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737.39</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Scoliosis NEC</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738.4</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Spondylolisthesis, acquired</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738.5</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 xml:space="preserve">Deformity, </w:t>
            </w:r>
            <w:r w:rsidRPr="005F1F91">
              <w:rPr>
                <w:rFonts w:ascii="Arial" w:eastAsia="Times New Roman" w:hAnsi="Arial" w:cs="Arial"/>
                <w:color w:val="000000"/>
                <w:sz w:val="22"/>
                <w:szCs w:val="22"/>
              </w:rPr>
              <w:t>acquired, back/spine NEC</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739.3</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Lesion, nonallopathic, lumbar region</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739.4</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Lesion, nonallopathic, sacral region</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756.1</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Anomaly, congenital, spine</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lastRenderedPageBreak/>
              <w:t>756.1</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Anomaly, congenital, spine NOS</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756.11</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Spondylolysis, congenital, lumbosacral</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756.12</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Spondylolisthesis, congenital</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756.15</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Fusion, spine, congenital</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793.7</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Nonspecific abnormal radiological finding, musculoskeletal system</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799.8</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Condition, ill-defined NEC</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839.2</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Dislocation, thoracic/lumbar vertebra, closed</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839.2</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 xml:space="preserve">Dislocation of </w:t>
            </w:r>
            <w:r w:rsidRPr="005F1F91">
              <w:rPr>
                <w:rFonts w:ascii="Arial" w:eastAsia="Times New Roman" w:hAnsi="Arial" w:cs="Arial"/>
                <w:color w:val="000000"/>
                <w:sz w:val="22"/>
                <w:szCs w:val="22"/>
              </w:rPr>
              <w:t>lumbar vertebra, closed</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839.42</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Dislocation, sacrum, closed</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839.69</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Dislocation site NEC, closed</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839.8</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Dislocation, multiple and ill-defined, closed</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846</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Sprain/strain, sacroiliac region</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846</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Sprain/strain, lumbosacral</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846.1</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 xml:space="preserve">Sprain/strain, </w:t>
            </w:r>
            <w:r w:rsidRPr="005F1F91">
              <w:rPr>
                <w:rFonts w:ascii="Arial" w:eastAsia="Times New Roman" w:hAnsi="Arial" w:cs="Arial"/>
                <w:color w:val="000000"/>
                <w:sz w:val="22"/>
                <w:szCs w:val="22"/>
              </w:rPr>
              <w:t>sacroiliac ligament</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846.2</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Sprain/strain, sacrospinatus</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846.3</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Sprain/strain, sacrotuberous</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846.8</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Sprain/strain, sacroiliac site NEC</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846.9</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Sprain/strain, sacroiliac site NOS</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847</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Sprains/strain other/unspecified parts back</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847.2</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Sprain/strain, lumbar region</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847.3</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Sprain/strain, sacrum</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847.4</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Sprain/strain, coccyx</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847.9</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Sprain/strain, back NOS</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848.8</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Sprain/strain NEC</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848.9</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Sprain/strain NOS</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905.7</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Late effect, sprain/strain</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922.3</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Contusion, back</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922.31</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Contusion, back</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922.32</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Contusion, buttock</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922.9</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Contusion, trunk NOS</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953.2</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Injury, lumbar root</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953.5</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Injury lumbosacral plexus</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956</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Injury sciatic nerve</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959.1</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Injury NOS, trunk</w:t>
            </w:r>
          </w:p>
        </w:tc>
      </w:tr>
      <w:tr w:rsidR="00D07001" w:rsidRPr="005F1F91" w:rsidTr="00A30439">
        <w:trPr>
          <w:trHeight w:val="300"/>
        </w:trPr>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959.19</w:t>
            </w:r>
          </w:p>
        </w:tc>
        <w:tc>
          <w:tcPr>
            <w:tcW w:w="0" w:type="auto"/>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Injury NOS, other sites trunk</w:t>
            </w:r>
          </w:p>
        </w:tc>
      </w:tr>
      <w:tr w:rsidR="00D07001" w:rsidRPr="005F1F91" w:rsidTr="00A30439">
        <w:trPr>
          <w:trHeight w:val="300"/>
        </w:trPr>
        <w:tc>
          <w:tcPr>
            <w:tcW w:w="0" w:type="auto"/>
            <w:tcBorders>
              <w:left w:val="single" w:sz="4" w:space="0" w:color="auto"/>
              <w:bottom w:val="single" w:sz="4" w:space="0" w:color="auto"/>
            </w:tcBorders>
            <w:shd w:val="clear" w:color="auto" w:fill="auto"/>
            <w:noWrap/>
            <w:vAlign w:val="bottom"/>
          </w:tcPr>
          <w:p w:rsidR="00D07001" w:rsidRPr="005F1F91" w:rsidRDefault="00D07001" w:rsidP="00A30439">
            <w:pPr>
              <w:rPr>
                <w:rFonts w:ascii="Arial" w:hAnsi="Arial" w:cs="Arial"/>
                <w:color w:val="000000"/>
                <w:sz w:val="22"/>
                <w:szCs w:val="22"/>
              </w:rPr>
            </w:pPr>
          </w:p>
        </w:tc>
        <w:tc>
          <w:tcPr>
            <w:tcW w:w="0" w:type="auto"/>
            <w:tcBorders>
              <w:bottom w:val="single" w:sz="4" w:space="0" w:color="auto"/>
              <w:right w:val="single" w:sz="4" w:space="0" w:color="auto"/>
            </w:tcBorders>
            <w:shd w:val="clear" w:color="auto" w:fill="auto"/>
            <w:noWrap/>
            <w:vAlign w:val="bottom"/>
          </w:tcPr>
          <w:p w:rsidR="00D07001" w:rsidRPr="005F1F91" w:rsidRDefault="00D07001" w:rsidP="00A30439">
            <w:pPr>
              <w:rPr>
                <w:rFonts w:ascii="Arial" w:hAnsi="Arial" w:cs="Arial"/>
                <w:color w:val="000000"/>
                <w:sz w:val="22"/>
                <w:szCs w:val="22"/>
              </w:rPr>
            </w:pPr>
          </w:p>
        </w:tc>
      </w:tr>
      <w:tr w:rsidR="00D07001" w:rsidRPr="005F1F91" w:rsidTr="00A30439">
        <w:trPr>
          <w:trHeight w:val="300"/>
        </w:trPr>
        <w:tc>
          <w:tcPr>
            <w:tcW w:w="0" w:type="auto"/>
            <w:tcBorders>
              <w:top w:val="single" w:sz="4" w:space="0" w:color="auto"/>
              <w:left w:val="single" w:sz="4" w:space="0" w:color="auto"/>
              <w:bottom w:val="single" w:sz="4" w:space="0" w:color="auto"/>
            </w:tcBorders>
            <w:shd w:val="clear" w:color="auto" w:fill="auto"/>
            <w:noWrap/>
            <w:vAlign w:val="bottom"/>
            <w:hideMark/>
          </w:tcPr>
          <w:p w:rsidR="00D07001" w:rsidRPr="005F1F91" w:rsidRDefault="00D07001" w:rsidP="00A30439">
            <w:pPr>
              <w:rPr>
                <w:rFonts w:ascii="Arial" w:hAnsi="Arial" w:cs="Arial"/>
                <w:b/>
                <w:color w:val="000000"/>
                <w:sz w:val="22"/>
                <w:szCs w:val="22"/>
              </w:rPr>
            </w:pPr>
            <w:r w:rsidRPr="005F1F91">
              <w:rPr>
                <w:rFonts w:ascii="Arial" w:hAnsi="Arial" w:cs="Arial"/>
                <w:b/>
                <w:color w:val="000000"/>
                <w:sz w:val="22"/>
                <w:szCs w:val="22"/>
              </w:rPr>
              <w:t>ICD-9 Exclusion Codes</w:t>
            </w:r>
          </w:p>
        </w:tc>
        <w:tc>
          <w:tcPr>
            <w:tcW w:w="0" w:type="auto"/>
            <w:tcBorders>
              <w:top w:val="single" w:sz="4" w:space="0" w:color="auto"/>
              <w:bottom w:val="single" w:sz="4" w:space="0" w:color="auto"/>
              <w:right w:val="single" w:sz="4" w:space="0" w:color="auto"/>
            </w:tcBorders>
            <w:shd w:val="clear" w:color="auto" w:fill="auto"/>
            <w:noWrap/>
            <w:vAlign w:val="bottom"/>
            <w:hideMark/>
          </w:tcPr>
          <w:p w:rsidR="00D07001" w:rsidRPr="005F1F91" w:rsidRDefault="00D07001" w:rsidP="00A30439">
            <w:pPr>
              <w:rPr>
                <w:rFonts w:ascii="Arial" w:hAnsi="Arial" w:cs="Arial"/>
                <w:b/>
                <w:color w:val="000000"/>
                <w:sz w:val="22"/>
                <w:szCs w:val="22"/>
              </w:rPr>
            </w:pPr>
            <w:r w:rsidRPr="005F1F91">
              <w:rPr>
                <w:rFonts w:ascii="Arial" w:hAnsi="Arial" w:cs="Arial"/>
                <w:b/>
                <w:color w:val="000000"/>
                <w:sz w:val="22"/>
                <w:szCs w:val="22"/>
              </w:rPr>
              <w:t>Description</w:t>
            </w:r>
          </w:p>
        </w:tc>
      </w:tr>
      <w:tr w:rsidR="00D07001" w:rsidRPr="005F1F91" w:rsidTr="00A30439">
        <w:trPr>
          <w:trHeight w:val="300"/>
        </w:trPr>
        <w:tc>
          <w:tcPr>
            <w:tcW w:w="0" w:type="auto"/>
            <w:tcBorders>
              <w:top w:val="single" w:sz="4" w:space="0" w:color="auto"/>
              <w:left w:val="single" w:sz="4" w:space="0" w:color="auto"/>
            </w:tcBorders>
            <w:shd w:val="clear" w:color="auto" w:fill="auto"/>
            <w:noWrap/>
            <w:vAlign w:val="bottom"/>
            <w:hideMark/>
          </w:tcPr>
          <w:p w:rsidR="00D07001" w:rsidRPr="005F1F91" w:rsidRDefault="00D07001" w:rsidP="00A30439">
            <w:pPr>
              <w:rPr>
                <w:rFonts w:ascii="Arial" w:hAnsi="Arial" w:cs="Arial"/>
                <w:color w:val="000000"/>
                <w:sz w:val="22"/>
                <w:szCs w:val="22"/>
              </w:rPr>
            </w:pPr>
          </w:p>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 xml:space="preserve"> (140.0-239.9) OR (338.3); </w:t>
            </w:r>
          </w:p>
        </w:tc>
        <w:tc>
          <w:tcPr>
            <w:tcW w:w="0" w:type="auto"/>
            <w:tcBorders>
              <w:top w:val="single" w:sz="4" w:space="0" w:color="auto"/>
              <w:right w:val="single" w:sz="4" w:space="0" w:color="auto"/>
            </w:tcBorders>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 xml:space="preserve">Patients with a cancer diagnosis during </w:t>
            </w:r>
            <w:r w:rsidRPr="005F1F91">
              <w:rPr>
                <w:rFonts w:ascii="Arial" w:eastAsia="Times New Roman" w:hAnsi="Arial" w:cs="Arial"/>
                <w:color w:val="000000"/>
                <w:sz w:val="22"/>
                <w:szCs w:val="22"/>
              </w:rPr>
              <w:t>study period, ICD-9 codes</w:t>
            </w:r>
          </w:p>
        </w:tc>
      </w:tr>
      <w:tr w:rsidR="00D07001" w:rsidRPr="005F1F91" w:rsidTr="00A30439">
        <w:trPr>
          <w:trHeight w:val="300"/>
        </w:trPr>
        <w:tc>
          <w:tcPr>
            <w:tcW w:w="0" w:type="auto"/>
            <w:tcBorders>
              <w:left w:val="single" w:sz="4" w:space="0" w:color="auto"/>
            </w:tcBorders>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(V667)</w:t>
            </w:r>
          </w:p>
        </w:tc>
        <w:tc>
          <w:tcPr>
            <w:tcW w:w="0" w:type="auto"/>
            <w:tcBorders>
              <w:right w:val="single" w:sz="4" w:space="0" w:color="auto"/>
            </w:tcBorders>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 xml:space="preserve">Patients receiving palliative care administered 6 months prior to the study period or during the study period </w:t>
            </w:r>
          </w:p>
        </w:tc>
      </w:tr>
      <w:tr w:rsidR="00D07001" w:rsidRPr="005F1F91" w:rsidTr="00A30439">
        <w:trPr>
          <w:trHeight w:val="300"/>
        </w:trPr>
        <w:tc>
          <w:tcPr>
            <w:tcW w:w="0" w:type="auto"/>
            <w:tcBorders>
              <w:left w:val="single" w:sz="4" w:space="0" w:color="auto"/>
            </w:tcBorders>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324.1</w:t>
            </w:r>
          </w:p>
        </w:tc>
        <w:tc>
          <w:tcPr>
            <w:tcW w:w="0" w:type="auto"/>
            <w:tcBorders>
              <w:right w:val="single" w:sz="4" w:space="0" w:color="auto"/>
            </w:tcBorders>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Intraspinal abscess</w:t>
            </w:r>
          </w:p>
        </w:tc>
      </w:tr>
      <w:tr w:rsidR="00D07001" w:rsidRPr="005F1F91" w:rsidTr="00A30439">
        <w:trPr>
          <w:trHeight w:val="300"/>
        </w:trPr>
        <w:tc>
          <w:tcPr>
            <w:tcW w:w="0" w:type="auto"/>
            <w:tcBorders>
              <w:left w:val="single" w:sz="4" w:space="0" w:color="auto"/>
            </w:tcBorders>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lastRenderedPageBreak/>
              <w:t>730</w:t>
            </w:r>
          </w:p>
        </w:tc>
        <w:tc>
          <w:tcPr>
            <w:tcW w:w="0" w:type="auto"/>
            <w:tcBorders>
              <w:right w:val="single" w:sz="4" w:space="0" w:color="auto"/>
            </w:tcBorders>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Osteomyelitis</w:t>
            </w:r>
          </w:p>
        </w:tc>
      </w:tr>
      <w:tr w:rsidR="00D07001" w:rsidRPr="005F1F91" w:rsidTr="00A30439">
        <w:trPr>
          <w:trHeight w:val="300"/>
        </w:trPr>
        <w:tc>
          <w:tcPr>
            <w:tcW w:w="0" w:type="auto"/>
            <w:tcBorders>
              <w:left w:val="single" w:sz="4" w:space="0" w:color="auto"/>
            </w:tcBorders>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805.1</w:t>
            </w:r>
          </w:p>
        </w:tc>
        <w:tc>
          <w:tcPr>
            <w:tcW w:w="0" w:type="auto"/>
            <w:tcBorders>
              <w:right w:val="single" w:sz="4" w:space="0" w:color="auto"/>
            </w:tcBorders>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Open vertebral fractures</w:t>
            </w:r>
          </w:p>
        </w:tc>
      </w:tr>
      <w:tr w:rsidR="00D07001" w:rsidRPr="005F1F91" w:rsidTr="00A30439">
        <w:trPr>
          <w:trHeight w:val="300"/>
        </w:trPr>
        <w:tc>
          <w:tcPr>
            <w:tcW w:w="0" w:type="auto"/>
            <w:tcBorders>
              <w:left w:val="single" w:sz="4" w:space="0" w:color="auto"/>
            </w:tcBorders>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805.3</w:t>
            </w:r>
          </w:p>
        </w:tc>
        <w:tc>
          <w:tcPr>
            <w:tcW w:w="0" w:type="auto"/>
            <w:tcBorders>
              <w:right w:val="single" w:sz="4" w:space="0" w:color="auto"/>
            </w:tcBorders>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 xml:space="preserve">Open vertebral </w:t>
            </w:r>
            <w:r w:rsidRPr="005F1F91">
              <w:rPr>
                <w:rFonts w:ascii="Arial" w:eastAsia="Times New Roman" w:hAnsi="Arial" w:cs="Arial"/>
                <w:color w:val="000000"/>
                <w:sz w:val="22"/>
                <w:szCs w:val="22"/>
              </w:rPr>
              <w:t>fractures</w:t>
            </w:r>
          </w:p>
        </w:tc>
      </w:tr>
      <w:tr w:rsidR="00D07001" w:rsidRPr="005F1F91" w:rsidTr="00A30439">
        <w:trPr>
          <w:trHeight w:val="300"/>
        </w:trPr>
        <w:tc>
          <w:tcPr>
            <w:tcW w:w="0" w:type="auto"/>
            <w:tcBorders>
              <w:left w:val="single" w:sz="4" w:space="0" w:color="auto"/>
            </w:tcBorders>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805.5</w:t>
            </w:r>
          </w:p>
        </w:tc>
        <w:tc>
          <w:tcPr>
            <w:tcW w:w="0" w:type="auto"/>
            <w:tcBorders>
              <w:right w:val="single" w:sz="4" w:space="0" w:color="auto"/>
            </w:tcBorders>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 xml:space="preserve">Open vertebral </w:t>
            </w:r>
            <w:r w:rsidRPr="005F1F91">
              <w:rPr>
                <w:rFonts w:ascii="Arial" w:eastAsia="Times New Roman" w:hAnsi="Arial" w:cs="Arial"/>
                <w:color w:val="000000"/>
                <w:sz w:val="22"/>
                <w:szCs w:val="22"/>
              </w:rPr>
              <w:t>fractures</w:t>
            </w:r>
          </w:p>
        </w:tc>
      </w:tr>
      <w:tr w:rsidR="00D07001" w:rsidRPr="005F1F91" w:rsidTr="00A30439">
        <w:trPr>
          <w:trHeight w:val="300"/>
        </w:trPr>
        <w:tc>
          <w:tcPr>
            <w:tcW w:w="0" w:type="auto"/>
            <w:tcBorders>
              <w:left w:val="single" w:sz="4" w:space="0" w:color="auto"/>
            </w:tcBorders>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805.7</w:t>
            </w:r>
          </w:p>
        </w:tc>
        <w:tc>
          <w:tcPr>
            <w:tcW w:w="0" w:type="auto"/>
            <w:tcBorders>
              <w:right w:val="single" w:sz="4" w:space="0" w:color="auto"/>
            </w:tcBorders>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Open vertebral fractures</w:t>
            </w:r>
          </w:p>
        </w:tc>
      </w:tr>
      <w:tr w:rsidR="00D07001" w:rsidRPr="005F1F91" w:rsidTr="00A30439">
        <w:trPr>
          <w:trHeight w:val="300"/>
        </w:trPr>
        <w:tc>
          <w:tcPr>
            <w:tcW w:w="0" w:type="auto"/>
            <w:tcBorders>
              <w:left w:val="single" w:sz="4" w:space="0" w:color="auto"/>
              <w:bottom w:val="single" w:sz="4" w:space="0" w:color="auto"/>
            </w:tcBorders>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805.9</w:t>
            </w:r>
          </w:p>
        </w:tc>
        <w:tc>
          <w:tcPr>
            <w:tcW w:w="0" w:type="auto"/>
            <w:tcBorders>
              <w:bottom w:val="single" w:sz="4" w:space="0" w:color="auto"/>
              <w:right w:val="single" w:sz="4" w:space="0" w:color="auto"/>
            </w:tcBorders>
            <w:shd w:val="clear" w:color="auto" w:fill="auto"/>
            <w:noWrap/>
            <w:vAlign w:val="bottom"/>
            <w:hideMark/>
          </w:tcPr>
          <w:p w:rsidR="00D07001" w:rsidRPr="005F1F91" w:rsidRDefault="00D07001" w:rsidP="00A30439">
            <w:pPr>
              <w:rPr>
                <w:rFonts w:ascii="Arial" w:hAnsi="Arial" w:cs="Arial"/>
                <w:color w:val="000000"/>
                <w:sz w:val="22"/>
                <w:szCs w:val="22"/>
              </w:rPr>
            </w:pPr>
            <w:r w:rsidRPr="005F1F91">
              <w:rPr>
                <w:rFonts w:ascii="Arial" w:hAnsi="Arial" w:cs="Arial"/>
                <w:color w:val="000000"/>
                <w:sz w:val="22"/>
                <w:szCs w:val="22"/>
              </w:rPr>
              <w:t>Open vertebral fractures</w:t>
            </w:r>
          </w:p>
        </w:tc>
      </w:tr>
    </w:tbl>
    <w:p w:rsidR="00D07001" w:rsidRPr="005F1F91" w:rsidRDefault="00D07001" w:rsidP="00D07001">
      <w:pPr>
        <w:rPr>
          <w:rFonts w:ascii="Arial" w:hAnsi="Arial" w:cs="Arial"/>
          <w:b/>
          <w:sz w:val="22"/>
          <w:szCs w:val="22"/>
        </w:rPr>
      </w:pPr>
    </w:p>
    <w:p w:rsidR="00D07001" w:rsidRPr="005F1F91" w:rsidRDefault="00D07001" w:rsidP="00D07001">
      <w:pPr>
        <w:rPr>
          <w:rFonts w:ascii="Arial" w:hAnsi="Arial" w:cs="Arial"/>
          <w:b/>
          <w:sz w:val="22"/>
          <w:szCs w:val="22"/>
        </w:rPr>
      </w:pPr>
    </w:p>
    <w:p w:rsidR="00D07001" w:rsidRPr="005F1F91" w:rsidRDefault="00D07001" w:rsidP="00D07001">
      <w:pPr>
        <w:rPr>
          <w:rFonts w:ascii="Arial" w:hAnsi="Arial" w:cs="Arial"/>
          <w:b/>
          <w:sz w:val="22"/>
          <w:szCs w:val="22"/>
        </w:rPr>
      </w:pPr>
    </w:p>
    <w:p w:rsidR="00D07001" w:rsidRPr="005F1F91" w:rsidRDefault="00D07001" w:rsidP="00D07001">
      <w:pPr>
        <w:pStyle w:val="Body"/>
        <w:rPr>
          <w:rFonts w:ascii="Arial" w:eastAsia="Century Schoolbook" w:hAnsi="Arial" w:cs="Arial"/>
          <w:b/>
          <w:bCs/>
          <w:sz w:val="22"/>
          <w:szCs w:val="22"/>
        </w:rPr>
      </w:pPr>
    </w:p>
    <w:p w:rsidR="00D07001" w:rsidRPr="005F1F91" w:rsidRDefault="00D07001" w:rsidP="00D07001">
      <w:pPr>
        <w:rPr>
          <w:rFonts w:ascii="Arial" w:hAnsi="Arial" w:cs="Arial"/>
          <w:b/>
          <w:sz w:val="22"/>
          <w:szCs w:val="22"/>
        </w:rPr>
      </w:pPr>
      <w:r w:rsidRPr="005F1F91">
        <w:rPr>
          <w:rFonts w:ascii="Arial" w:hAnsi="Arial" w:cs="Arial"/>
          <w:b/>
          <w:sz w:val="22"/>
          <w:szCs w:val="22"/>
        </w:rPr>
        <w:br w:type="page"/>
      </w:r>
    </w:p>
    <w:p w:rsidR="00D07001" w:rsidRPr="005F1F91" w:rsidRDefault="00D07001" w:rsidP="00D07001">
      <w:pPr>
        <w:spacing w:line="276" w:lineRule="auto"/>
        <w:rPr>
          <w:rFonts w:ascii="Arial" w:hAnsi="Arial" w:cs="Arial"/>
          <w:b/>
          <w:sz w:val="22"/>
          <w:szCs w:val="22"/>
        </w:rPr>
      </w:pPr>
      <w:r w:rsidRPr="005F1F91">
        <w:rPr>
          <w:rFonts w:ascii="Arial" w:hAnsi="Arial" w:cs="Arial"/>
          <w:b/>
          <w:sz w:val="22"/>
          <w:szCs w:val="22"/>
        </w:rPr>
        <w:lastRenderedPageBreak/>
        <w:t>Appendix 2: Comorbidities and Prescriptions from Office Visit and Visits 365 Days Prior</w:t>
      </w:r>
    </w:p>
    <w:p w:rsidR="00D07001" w:rsidRPr="005F1F91" w:rsidRDefault="00D07001" w:rsidP="00D07001">
      <w:pPr>
        <w:spacing w:line="276" w:lineRule="auto"/>
        <w:rPr>
          <w:rFonts w:ascii="Arial" w:hAnsi="Arial" w:cs="Arial"/>
          <w:b/>
          <w:sz w:val="22"/>
          <w:szCs w:val="22"/>
        </w:rPr>
      </w:pPr>
    </w:p>
    <w:p w:rsidR="00D07001" w:rsidRPr="005F1F91" w:rsidRDefault="00D07001" w:rsidP="00D07001">
      <w:pPr>
        <w:spacing w:line="276" w:lineRule="auto"/>
        <w:rPr>
          <w:rFonts w:ascii="Arial" w:hAnsi="Arial" w:cs="Arial"/>
          <w:sz w:val="22"/>
          <w:szCs w:val="22"/>
        </w:rPr>
      </w:pPr>
      <w:r w:rsidRPr="005F1F91">
        <w:rPr>
          <w:rFonts w:ascii="Arial" w:hAnsi="Arial" w:cs="Arial"/>
          <w:sz w:val="22"/>
          <w:szCs w:val="22"/>
        </w:rPr>
        <w:t xml:space="preserve">Below, we list the ICD-9 codes we used to categorize diagnoses during the primary care office visit and from all visits recorded in the electronic health record 365 days prior. </w:t>
      </w:r>
    </w:p>
    <w:p w:rsidR="00D07001" w:rsidRPr="005F1F91" w:rsidRDefault="00D07001" w:rsidP="00D07001">
      <w:pPr>
        <w:spacing w:line="276" w:lineRule="auto"/>
        <w:rPr>
          <w:rFonts w:ascii="Arial" w:hAnsi="Arial" w:cs="Arial"/>
          <w:b/>
          <w:sz w:val="22"/>
          <w:szCs w:val="22"/>
        </w:rPr>
      </w:pPr>
    </w:p>
    <w:p w:rsidR="00D07001" w:rsidRPr="005F1F91" w:rsidRDefault="00D07001" w:rsidP="00D07001">
      <w:pPr>
        <w:spacing w:line="276" w:lineRule="auto"/>
        <w:rPr>
          <w:rFonts w:ascii="Arial" w:hAnsi="Arial" w:cs="Arial"/>
          <w:b/>
          <w:sz w:val="22"/>
          <w:szCs w:val="22"/>
        </w:rPr>
      </w:pPr>
    </w:p>
    <w:tbl>
      <w:tblPr>
        <w:tblStyle w:val="TableGrid"/>
        <w:tblW w:w="9895" w:type="dxa"/>
        <w:tblLook w:val="04A0" w:firstRow="1" w:lastRow="0" w:firstColumn="1" w:lastColumn="0" w:noHBand="0" w:noVBand="1"/>
      </w:tblPr>
      <w:tblGrid>
        <w:gridCol w:w="3116"/>
        <w:gridCol w:w="6779"/>
      </w:tblGrid>
      <w:tr w:rsidR="00D07001" w:rsidRPr="005F1F91" w:rsidTr="00A30439">
        <w:tc>
          <w:tcPr>
            <w:tcW w:w="9895" w:type="dxa"/>
            <w:gridSpan w:val="2"/>
          </w:tcPr>
          <w:p w:rsidR="00D07001" w:rsidRPr="005F1F91" w:rsidRDefault="00D07001" w:rsidP="00A30439">
            <w:pPr>
              <w:rPr>
                <w:rFonts w:ascii="Arial" w:hAnsi="Arial" w:cs="Arial"/>
                <w:sz w:val="22"/>
                <w:szCs w:val="22"/>
              </w:rPr>
            </w:pPr>
            <w:r w:rsidRPr="005F1F91">
              <w:rPr>
                <w:rFonts w:ascii="Arial" w:hAnsi="Arial" w:cs="Arial"/>
                <w:sz w:val="22"/>
                <w:szCs w:val="22"/>
              </w:rPr>
              <w:t xml:space="preserve">Appendix Table 2. ICD-9 Codes Used to Create Comorbidity and Chronic Prescription Data at the Office Visit and From Visits 365 Days Prior </w:t>
            </w:r>
          </w:p>
        </w:tc>
      </w:tr>
      <w:tr w:rsidR="00D07001" w:rsidRPr="005F1F91" w:rsidTr="00A30439">
        <w:tc>
          <w:tcPr>
            <w:tcW w:w="3116" w:type="dxa"/>
          </w:tcPr>
          <w:p w:rsidR="00D07001" w:rsidRPr="005F1F91" w:rsidRDefault="00D07001" w:rsidP="00A30439">
            <w:pPr>
              <w:rPr>
                <w:rFonts w:ascii="Arial" w:hAnsi="Arial" w:cs="Arial"/>
                <w:sz w:val="22"/>
                <w:szCs w:val="22"/>
              </w:rPr>
            </w:pPr>
            <w:r w:rsidRPr="005F1F91">
              <w:rPr>
                <w:rFonts w:ascii="Arial" w:hAnsi="Arial" w:cs="Arial"/>
                <w:sz w:val="22"/>
                <w:szCs w:val="22"/>
              </w:rPr>
              <w:t>ICD-9 Code</w:t>
            </w:r>
          </w:p>
        </w:tc>
        <w:tc>
          <w:tcPr>
            <w:tcW w:w="6779" w:type="dxa"/>
          </w:tcPr>
          <w:p w:rsidR="00D07001" w:rsidRPr="005F1F91" w:rsidRDefault="00D07001" w:rsidP="00A30439">
            <w:pPr>
              <w:rPr>
                <w:rFonts w:ascii="Arial" w:hAnsi="Arial" w:cs="Arial"/>
                <w:sz w:val="22"/>
                <w:szCs w:val="22"/>
              </w:rPr>
            </w:pPr>
            <w:r w:rsidRPr="005F1F91">
              <w:rPr>
                <w:rFonts w:ascii="Arial" w:hAnsi="Arial" w:cs="Arial"/>
                <w:sz w:val="22"/>
                <w:szCs w:val="22"/>
              </w:rPr>
              <w:t>Description</w:t>
            </w:r>
          </w:p>
        </w:tc>
      </w:tr>
      <w:tr w:rsidR="00D07001" w:rsidRPr="005F1F91" w:rsidTr="00A30439">
        <w:tc>
          <w:tcPr>
            <w:tcW w:w="3116" w:type="dxa"/>
          </w:tcPr>
          <w:p w:rsidR="00D07001" w:rsidRPr="005F1F91" w:rsidRDefault="00D07001" w:rsidP="00A30439">
            <w:pPr>
              <w:rPr>
                <w:rFonts w:ascii="Arial" w:hAnsi="Arial" w:cs="Arial"/>
                <w:b/>
                <w:sz w:val="22"/>
                <w:szCs w:val="22"/>
              </w:rPr>
            </w:pPr>
            <w:r w:rsidRPr="005F1F91">
              <w:rPr>
                <w:rFonts w:ascii="Arial" w:hAnsi="Arial" w:cs="Arial"/>
                <w:b/>
                <w:sz w:val="22"/>
                <w:szCs w:val="22"/>
              </w:rPr>
              <w:t>GI Conditions</w:t>
            </w:r>
          </w:p>
        </w:tc>
        <w:tc>
          <w:tcPr>
            <w:tcW w:w="6779" w:type="dxa"/>
          </w:tcPr>
          <w:p w:rsidR="00D07001" w:rsidRPr="005F1F91" w:rsidRDefault="00D07001" w:rsidP="00A30439">
            <w:pPr>
              <w:rPr>
                <w:rFonts w:ascii="Arial" w:hAnsi="Arial" w:cs="Arial"/>
                <w:b/>
                <w:sz w:val="22"/>
                <w:szCs w:val="22"/>
              </w:rPr>
            </w:pPr>
          </w:p>
        </w:tc>
      </w:tr>
      <w:tr w:rsidR="00D07001" w:rsidRPr="005F1F91" w:rsidTr="00A30439">
        <w:tc>
          <w:tcPr>
            <w:tcW w:w="3116" w:type="dxa"/>
          </w:tcPr>
          <w:p w:rsidR="00D07001" w:rsidRPr="005F1F91" w:rsidRDefault="00D07001" w:rsidP="00A30439">
            <w:pPr>
              <w:rPr>
                <w:rFonts w:ascii="Arial" w:hAnsi="Arial" w:cs="Arial"/>
                <w:sz w:val="22"/>
                <w:szCs w:val="22"/>
              </w:rPr>
            </w:pPr>
            <w:r w:rsidRPr="005F1F91">
              <w:rPr>
                <w:rFonts w:ascii="Arial" w:hAnsi="Arial" w:cs="Arial"/>
                <w:sz w:val="22"/>
                <w:szCs w:val="22"/>
              </w:rPr>
              <w:t>530, 531, 578</w:t>
            </w:r>
          </w:p>
        </w:tc>
        <w:tc>
          <w:tcPr>
            <w:tcW w:w="6779" w:type="dxa"/>
          </w:tcPr>
          <w:p w:rsidR="00D07001" w:rsidRPr="005F1F91" w:rsidRDefault="00D07001" w:rsidP="00A30439">
            <w:pPr>
              <w:rPr>
                <w:rFonts w:ascii="Arial" w:hAnsi="Arial" w:cs="Arial"/>
                <w:sz w:val="22"/>
                <w:szCs w:val="22"/>
              </w:rPr>
            </w:pPr>
            <w:r w:rsidRPr="005F1F91">
              <w:rPr>
                <w:rFonts w:ascii="Arial" w:hAnsi="Arial" w:cs="Arial"/>
                <w:sz w:val="22"/>
                <w:szCs w:val="22"/>
              </w:rPr>
              <w:t>Gastroesophageal reflux disease (530), Gastrointestinal ulcer (531), Gastrointestinal bleeding (578)</w:t>
            </w:r>
          </w:p>
        </w:tc>
      </w:tr>
      <w:tr w:rsidR="00D07001" w:rsidRPr="005F1F91" w:rsidTr="00A30439">
        <w:tc>
          <w:tcPr>
            <w:tcW w:w="3116" w:type="dxa"/>
          </w:tcPr>
          <w:p w:rsidR="00D07001" w:rsidRPr="005F1F91" w:rsidRDefault="00D07001" w:rsidP="00A30439">
            <w:pPr>
              <w:rPr>
                <w:rFonts w:ascii="Arial" w:hAnsi="Arial" w:cs="Arial"/>
                <w:b/>
                <w:sz w:val="22"/>
                <w:szCs w:val="22"/>
              </w:rPr>
            </w:pPr>
            <w:r w:rsidRPr="005F1F91">
              <w:rPr>
                <w:rFonts w:ascii="Arial" w:hAnsi="Arial" w:cs="Arial"/>
                <w:b/>
                <w:sz w:val="22"/>
                <w:szCs w:val="22"/>
              </w:rPr>
              <w:t>Kidney Conditions</w:t>
            </w:r>
          </w:p>
        </w:tc>
        <w:tc>
          <w:tcPr>
            <w:tcW w:w="6779" w:type="dxa"/>
          </w:tcPr>
          <w:p w:rsidR="00D07001" w:rsidRPr="005F1F91" w:rsidRDefault="00D07001" w:rsidP="00A30439">
            <w:pPr>
              <w:rPr>
                <w:rFonts w:ascii="Arial" w:hAnsi="Arial" w:cs="Arial"/>
                <w:sz w:val="22"/>
                <w:szCs w:val="22"/>
              </w:rPr>
            </w:pPr>
          </w:p>
        </w:tc>
      </w:tr>
      <w:tr w:rsidR="00D07001" w:rsidRPr="005F1F91" w:rsidTr="00A30439">
        <w:tc>
          <w:tcPr>
            <w:tcW w:w="3116" w:type="dxa"/>
          </w:tcPr>
          <w:p w:rsidR="00D07001" w:rsidRPr="005F1F91" w:rsidRDefault="00D07001" w:rsidP="00A30439">
            <w:pPr>
              <w:rPr>
                <w:rFonts w:ascii="Arial" w:hAnsi="Arial" w:cs="Arial"/>
                <w:sz w:val="22"/>
                <w:szCs w:val="22"/>
              </w:rPr>
            </w:pPr>
            <w:r w:rsidRPr="005F1F91">
              <w:rPr>
                <w:rFonts w:ascii="Arial" w:hAnsi="Arial" w:cs="Arial"/>
                <w:sz w:val="22"/>
                <w:szCs w:val="22"/>
              </w:rPr>
              <w:t>584, 585, 584* 585* 586* 593* 403* V4511 V4512 V56*</w:t>
            </w:r>
          </w:p>
        </w:tc>
        <w:tc>
          <w:tcPr>
            <w:tcW w:w="6779" w:type="dxa"/>
          </w:tcPr>
          <w:p w:rsidR="00D07001" w:rsidRPr="005F1F91" w:rsidRDefault="00D07001" w:rsidP="00A30439">
            <w:pPr>
              <w:rPr>
                <w:rFonts w:ascii="Arial" w:hAnsi="Arial" w:cs="Arial"/>
                <w:sz w:val="22"/>
                <w:szCs w:val="22"/>
              </w:rPr>
            </w:pPr>
            <w:r w:rsidRPr="005F1F91">
              <w:rPr>
                <w:rFonts w:ascii="Arial" w:hAnsi="Arial" w:cs="Arial"/>
                <w:sz w:val="22"/>
                <w:szCs w:val="22"/>
              </w:rPr>
              <w:t>kidney disease (585), renal failure (586), unspecified kidney disease (593), hypertensive chronic kidney disease (403), dialysis</w:t>
            </w:r>
          </w:p>
        </w:tc>
      </w:tr>
      <w:tr w:rsidR="00D07001" w:rsidRPr="005F1F91" w:rsidTr="00A30439">
        <w:tc>
          <w:tcPr>
            <w:tcW w:w="3116" w:type="dxa"/>
          </w:tcPr>
          <w:p w:rsidR="00D07001" w:rsidRPr="005F1F91" w:rsidRDefault="00D07001" w:rsidP="00A30439">
            <w:pPr>
              <w:rPr>
                <w:rFonts w:ascii="Arial" w:hAnsi="Arial" w:cs="Arial"/>
                <w:b/>
                <w:sz w:val="22"/>
                <w:szCs w:val="22"/>
              </w:rPr>
            </w:pPr>
            <w:r w:rsidRPr="005F1F91">
              <w:rPr>
                <w:rFonts w:ascii="Arial" w:hAnsi="Arial" w:cs="Arial"/>
                <w:b/>
                <w:sz w:val="22"/>
                <w:szCs w:val="22"/>
              </w:rPr>
              <w:t>Inflammatory Bowel Disease</w:t>
            </w:r>
          </w:p>
        </w:tc>
        <w:tc>
          <w:tcPr>
            <w:tcW w:w="6779" w:type="dxa"/>
          </w:tcPr>
          <w:p w:rsidR="00D07001" w:rsidRPr="005F1F91" w:rsidRDefault="00D07001" w:rsidP="00A30439">
            <w:pPr>
              <w:rPr>
                <w:rFonts w:ascii="Arial" w:hAnsi="Arial" w:cs="Arial"/>
                <w:sz w:val="22"/>
                <w:szCs w:val="22"/>
              </w:rPr>
            </w:pPr>
          </w:p>
        </w:tc>
      </w:tr>
      <w:tr w:rsidR="00D07001" w:rsidRPr="005F1F91" w:rsidTr="00A30439">
        <w:tc>
          <w:tcPr>
            <w:tcW w:w="3116" w:type="dxa"/>
          </w:tcPr>
          <w:p w:rsidR="00D07001" w:rsidRPr="005F1F91" w:rsidRDefault="00D07001" w:rsidP="00A30439">
            <w:pPr>
              <w:rPr>
                <w:rFonts w:ascii="Arial" w:hAnsi="Arial" w:cs="Arial"/>
                <w:sz w:val="22"/>
                <w:szCs w:val="22"/>
              </w:rPr>
            </w:pPr>
            <w:r w:rsidRPr="005F1F91">
              <w:rPr>
                <w:rFonts w:ascii="Arial" w:hAnsi="Arial" w:cs="Arial"/>
                <w:sz w:val="22"/>
                <w:szCs w:val="22"/>
              </w:rPr>
              <w:t>555*, 556*</w:t>
            </w:r>
          </w:p>
        </w:tc>
        <w:tc>
          <w:tcPr>
            <w:tcW w:w="6779" w:type="dxa"/>
          </w:tcPr>
          <w:p w:rsidR="00D07001" w:rsidRPr="005F1F91" w:rsidRDefault="00D07001" w:rsidP="00A30439">
            <w:pPr>
              <w:rPr>
                <w:rFonts w:ascii="Arial" w:hAnsi="Arial" w:cs="Arial"/>
                <w:sz w:val="22"/>
                <w:szCs w:val="22"/>
              </w:rPr>
            </w:pPr>
            <w:r w:rsidRPr="005F1F91">
              <w:rPr>
                <w:rFonts w:ascii="Arial" w:hAnsi="Arial" w:cs="Arial"/>
                <w:sz w:val="22"/>
                <w:szCs w:val="22"/>
              </w:rPr>
              <w:t>Crohn’s Disease (555), UC (556)</w:t>
            </w:r>
          </w:p>
        </w:tc>
      </w:tr>
      <w:tr w:rsidR="00D07001" w:rsidRPr="005F1F91" w:rsidTr="00A30439">
        <w:tc>
          <w:tcPr>
            <w:tcW w:w="3116" w:type="dxa"/>
          </w:tcPr>
          <w:p w:rsidR="00D07001" w:rsidRPr="005F1F91" w:rsidRDefault="00D07001" w:rsidP="00A30439">
            <w:pPr>
              <w:rPr>
                <w:rFonts w:ascii="Arial" w:hAnsi="Arial" w:cs="Arial"/>
                <w:b/>
                <w:sz w:val="22"/>
                <w:szCs w:val="22"/>
              </w:rPr>
            </w:pPr>
            <w:r w:rsidRPr="005F1F91">
              <w:rPr>
                <w:rFonts w:ascii="Arial" w:hAnsi="Arial" w:cs="Arial"/>
                <w:b/>
                <w:sz w:val="22"/>
                <w:szCs w:val="22"/>
              </w:rPr>
              <w:t>Liver Conditions</w:t>
            </w:r>
          </w:p>
        </w:tc>
        <w:tc>
          <w:tcPr>
            <w:tcW w:w="6779" w:type="dxa"/>
          </w:tcPr>
          <w:p w:rsidR="00D07001" w:rsidRPr="005F1F91" w:rsidRDefault="00D07001" w:rsidP="00A30439">
            <w:pPr>
              <w:rPr>
                <w:rFonts w:ascii="Arial" w:hAnsi="Arial" w:cs="Arial"/>
                <w:sz w:val="22"/>
                <w:szCs w:val="22"/>
              </w:rPr>
            </w:pPr>
          </w:p>
        </w:tc>
      </w:tr>
      <w:tr w:rsidR="00D07001" w:rsidRPr="005F1F91" w:rsidTr="00A30439">
        <w:tc>
          <w:tcPr>
            <w:tcW w:w="3116" w:type="dxa"/>
          </w:tcPr>
          <w:p w:rsidR="00D07001" w:rsidRPr="005F1F91" w:rsidRDefault="00D07001" w:rsidP="00A30439">
            <w:pPr>
              <w:rPr>
                <w:rFonts w:ascii="Arial" w:hAnsi="Arial" w:cs="Arial"/>
                <w:sz w:val="22"/>
                <w:szCs w:val="22"/>
              </w:rPr>
            </w:pPr>
            <w:r w:rsidRPr="005F1F91">
              <w:rPr>
                <w:rFonts w:ascii="Arial" w:hAnsi="Arial" w:cs="Arial"/>
                <w:sz w:val="22"/>
                <w:szCs w:val="22"/>
              </w:rPr>
              <w:t>571*</w:t>
            </w:r>
          </w:p>
        </w:tc>
        <w:tc>
          <w:tcPr>
            <w:tcW w:w="6779" w:type="dxa"/>
          </w:tcPr>
          <w:p w:rsidR="00D07001" w:rsidRPr="005F1F91" w:rsidRDefault="00D07001" w:rsidP="00A30439">
            <w:pPr>
              <w:rPr>
                <w:rFonts w:ascii="Arial" w:hAnsi="Arial" w:cs="Arial"/>
                <w:sz w:val="22"/>
                <w:szCs w:val="22"/>
              </w:rPr>
            </w:pPr>
            <w:r w:rsidRPr="005F1F91">
              <w:rPr>
                <w:rFonts w:ascii="Arial" w:hAnsi="Arial" w:cs="Arial"/>
                <w:sz w:val="22"/>
                <w:szCs w:val="22"/>
              </w:rPr>
              <w:t>Liver Disease (571)</w:t>
            </w:r>
          </w:p>
        </w:tc>
      </w:tr>
      <w:tr w:rsidR="00D07001" w:rsidRPr="005F1F91" w:rsidTr="00A30439">
        <w:tc>
          <w:tcPr>
            <w:tcW w:w="3116" w:type="dxa"/>
          </w:tcPr>
          <w:p w:rsidR="00D07001" w:rsidRPr="005F1F91" w:rsidRDefault="00D07001" w:rsidP="00A30439">
            <w:pPr>
              <w:rPr>
                <w:rFonts w:ascii="Arial" w:hAnsi="Arial" w:cs="Arial"/>
                <w:b/>
                <w:sz w:val="22"/>
                <w:szCs w:val="22"/>
              </w:rPr>
            </w:pPr>
            <w:r w:rsidRPr="005F1F91">
              <w:rPr>
                <w:rFonts w:ascii="Arial" w:hAnsi="Arial" w:cs="Arial"/>
                <w:b/>
                <w:sz w:val="22"/>
                <w:szCs w:val="22"/>
              </w:rPr>
              <w:t>Gastric bypass or gastroplasty</w:t>
            </w:r>
          </w:p>
        </w:tc>
        <w:tc>
          <w:tcPr>
            <w:tcW w:w="6779" w:type="dxa"/>
          </w:tcPr>
          <w:p w:rsidR="00D07001" w:rsidRPr="005F1F91" w:rsidRDefault="00D07001" w:rsidP="00A30439">
            <w:pPr>
              <w:rPr>
                <w:rFonts w:ascii="Arial" w:hAnsi="Arial" w:cs="Arial"/>
                <w:sz w:val="22"/>
                <w:szCs w:val="22"/>
              </w:rPr>
            </w:pPr>
          </w:p>
        </w:tc>
      </w:tr>
      <w:tr w:rsidR="00D07001" w:rsidRPr="005F1F91" w:rsidTr="00A30439">
        <w:tc>
          <w:tcPr>
            <w:tcW w:w="3116" w:type="dxa"/>
          </w:tcPr>
          <w:p w:rsidR="00D07001" w:rsidRPr="005F1F91" w:rsidRDefault="00D07001" w:rsidP="00A30439">
            <w:pPr>
              <w:rPr>
                <w:rFonts w:ascii="Arial" w:hAnsi="Arial" w:cs="Arial"/>
                <w:sz w:val="22"/>
                <w:szCs w:val="22"/>
              </w:rPr>
            </w:pPr>
            <w:r w:rsidRPr="005F1F91">
              <w:rPr>
                <w:rFonts w:ascii="Arial" w:hAnsi="Arial" w:cs="Arial"/>
                <w:sz w:val="22"/>
                <w:szCs w:val="22"/>
              </w:rPr>
              <w:t>V45.86</w:t>
            </w:r>
          </w:p>
        </w:tc>
        <w:tc>
          <w:tcPr>
            <w:tcW w:w="6779" w:type="dxa"/>
          </w:tcPr>
          <w:p w:rsidR="00D07001" w:rsidRPr="005F1F91" w:rsidRDefault="00D07001" w:rsidP="00A30439">
            <w:pPr>
              <w:rPr>
                <w:rFonts w:ascii="Arial" w:hAnsi="Arial" w:cs="Arial"/>
                <w:sz w:val="22"/>
                <w:szCs w:val="22"/>
              </w:rPr>
            </w:pPr>
            <w:r w:rsidRPr="005F1F91">
              <w:rPr>
                <w:rFonts w:ascii="Arial" w:hAnsi="Arial" w:cs="Arial"/>
                <w:sz w:val="22"/>
                <w:szCs w:val="22"/>
              </w:rPr>
              <w:t>Bariatric surgery status (V45.86)</w:t>
            </w:r>
          </w:p>
        </w:tc>
      </w:tr>
      <w:tr w:rsidR="00D07001" w:rsidRPr="005F1F91" w:rsidTr="00A30439">
        <w:tc>
          <w:tcPr>
            <w:tcW w:w="3116" w:type="dxa"/>
          </w:tcPr>
          <w:p w:rsidR="00D07001" w:rsidRPr="005F1F91" w:rsidRDefault="00D07001" w:rsidP="00A30439">
            <w:pPr>
              <w:rPr>
                <w:rFonts w:ascii="Arial" w:hAnsi="Arial" w:cs="Arial"/>
                <w:b/>
                <w:sz w:val="22"/>
                <w:szCs w:val="22"/>
              </w:rPr>
            </w:pPr>
            <w:r w:rsidRPr="005F1F91">
              <w:rPr>
                <w:rFonts w:ascii="Arial" w:hAnsi="Arial" w:cs="Arial"/>
                <w:b/>
                <w:sz w:val="22"/>
                <w:szCs w:val="22"/>
              </w:rPr>
              <w:t>Pregnancy</w:t>
            </w:r>
          </w:p>
        </w:tc>
        <w:tc>
          <w:tcPr>
            <w:tcW w:w="6779" w:type="dxa"/>
          </w:tcPr>
          <w:p w:rsidR="00D07001" w:rsidRPr="005F1F91" w:rsidRDefault="00D07001" w:rsidP="00A30439">
            <w:pPr>
              <w:rPr>
                <w:rFonts w:ascii="Arial" w:hAnsi="Arial" w:cs="Arial"/>
                <w:b/>
                <w:sz w:val="22"/>
                <w:szCs w:val="22"/>
              </w:rPr>
            </w:pPr>
          </w:p>
        </w:tc>
      </w:tr>
      <w:tr w:rsidR="00D07001" w:rsidRPr="005F1F91" w:rsidTr="00A30439">
        <w:tc>
          <w:tcPr>
            <w:tcW w:w="3116" w:type="dxa"/>
          </w:tcPr>
          <w:p w:rsidR="00D07001" w:rsidRPr="005F1F91" w:rsidRDefault="00D07001" w:rsidP="00A30439">
            <w:pPr>
              <w:rPr>
                <w:rFonts w:ascii="Arial" w:hAnsi="Arial" w:cs="Arial"/>
                <w:sz w:val="22"/>
                <w:szCs w:val="22"/>
              </w:rPr>
            </w:pPr>
            <w:r w:rsidRPr="005F1F91">
              <w:rPr>
                <w:rFonts w:ascii="Arial" w:hAnsi="Arial" w:cs="Arial"/>
                <w:sz w:val="22"/>
                <w:szCs w:val="22"/>
              </w:rPr>
              <w:t>V22*</w:t>
            </w:r>
          </w:p>
        </w:tc>
        <w:tc>
          <w:tcPr>
            <w:tcW w:w="6779" w:type="dxa"/>
          </w:tcPr>
          <w:p w:rsidR="00D07001" w:rsidRPr="005F1F91" w:rsidRDefault="00D07001" w:rsidP="00A30439">
            <w:pPr>
              <w:rPr>
                <w:rFonts w:ascii="Arial" w:hAnsi="Arial" w:cs="Arial"/>
                <w:sz w:val="22"/>
                <w:szCs w:val="22"/>
              </w:rPr>
            </w:pPr>
            <w:r w:rsidRPr="005F1F91">
              <w:rPr>
                <w:rFonts w:ascii="Arial" w:hAnsi="Arial" w:cs="Arial"/>
                <w:sz w:val="22"/>
                <w:szCs w:val="22"/>
              </w:rPr>
              <w:t>Pregnancy (V22*)</w:t>
            </w:r>
          </w:p>
        </w:tc>
      </w:tr>
      <w:tr w:rsidR="00D07001" w:rsidRPr="005F1F91" w:rsidTr="00A30439">
        <w:tc>
          <w:tcPr>
            <w:tcW w:w="3116" w:type="dxa"/>
          </w:tcPr>
          <w:p w:rsidR="00D07001" w:rsidRPr="005F1F91" w:rsidRDefault="00D07001" w:rsidP="00A30439">
            <w:pPr>
              <w:rPr>
                <w:rFonts w:ascii="Arial" w:hAnsi="Arial" w:cs="Arial"/>
                <w:b/>
                <w:sz w:val="22"/>
                <w:szCs w:val="22"/>
              </w:rPr>
            </w:pPr>
            <w:r w:rsidRPr="005F1F91">
              <w:rPr>
                <w:rFonts w:ascii="Arial" w:hAnsi="Arial" w:cs="Arial"/>
                <w:b/>
                <w:sz w:val="22"/>
                <w:szCs w:val="22"/>
              </w:rPr>
              <w:t>Cardiovascular disease</w:t>
            </w:r>
          </w:p>
        </w:tc>
        <w:tc>
          <w:tcPr>
            <w:tcW w:w="6779" w:type="dxa"/>
          </w:tcPr>
          <w:p w:rsidR="00D07001" w:rsidRPr="005F1F91" w:rsidRDefault="00D07001" w:rsidP="00A30439">
            <w:pPr>
              <w:rPr>
                <w:rFonts w:ascii="Arial" w:hAnsi="Arial" w:cs="Arial"/>
                <w:sz w:val="22"/>
                <w:szCs w:val="22"/>
              </w:rPr>
            </w:pPr>
          </w:p>
        </w:tc>
      </w:tr>
      <w:tr w:rsidR="00D07001" w:rsidRPr="005F1F91" w:rsidTr="00A30439">
        <w:tc>
          <w:tcPr>
            <w:tcW w:w="3116" w:type="dxa"/>
          </w:tcPr>
          <w:p w:rsidR="00D07001" w:rsidRPr="005F1F91" w:rsidRDefault="00D07001" w:rsidP="00A30439">
            <w:pPr>
              <w:rPr>
                <w:rFonts w:ascii="Arial" w:hAnsi="Arial" w:cs="Arial"/>
                <w:sz w:val="22"/>
                <w:szCs w:val="22"/>
              </w:rPr>
            </w:pPr>
            <w:r w:rsidRPr="005F1F91">
              <w:rPr>
                <w:rFonts w:ascii="Arial" w:hAnsi="Arial" w:cs="Arial"/>
                <w:sz w:val="22"/>
                <w:szCs w:val="22"/>
              </w:rPr>
              <w:t>410* 411* 412* 413* 414* 428* 430* 431* 432* 433* 434* 435* 436* 437* 438* 443.9 433.10 440.9</w:t>
            </w:r>
          </w:p>
        </w:tc>
        <w:tc>
          <w:tcPr>
            <w:tcW w:w="6779" w:type="dxa"/>
          </w:tcPr>
          <w:p w:rsidR="00D07001" w:rsidRPr="005F1F91" w:rsidRDefault="00D07001" w:rsidP="00A30439">
            <w:pPr>
              <w:rPr>
                <w:rFonts w:ascii="Arial" w:hAnsi="Arial" w:cs="Arial"/>
                <w:sz w:val="22"/>
                <w:szCs w:val="22"/>
              </w:rPr>
            </w:pPr>
            <w:r w:rsidRPr="005F1F91">
              <w:rPr>
                <w:rFonts w:ascii="Arial" w:hAnsi="Arial" w:cs="Arial"/>
                <w:sz w:val="22"/>
                <w:szCs w:val="22"/>
              </w:rPr>
              <w:t>acute myocardial infarction 410</w:t>
            </w:r>
          </w:p>
          <w:p w:rsidR="00D07001" w:rsidRPr="005F1F91" w:rsidRDefault="00D07001" w:rsidP="00A30439">
            <w:pPr>
              <w:rPr>
                <w:rFonts w:ascii="Arial" w:hAnsi="Arial" w:cs="Arial"/>
                <w:sz w:val="22"/>
                <w:szCs w:val="22"/>
              </w:rPr>
            </w:pPr>
            <w:r w:rsidRPr="005F1F91">
              <w:rPr>
                <w:rFonts w:ascii="Arial" w:hAnsi="Arial" w:cs="Arial"/>
                <w:sz w:val="22"/>
                <w:szCs w:val="22"/>
              </w:rPr>
              <w:t>other acute and subacute forms of ischemic heart disease 411</w:t>
            </w:r>
          </w:p>
          <w:p w:rsidR="00D07001" w:rsidRPr="005F1F91" w:rsidRDefault="00D07001" w:rsidP="00A30439">
            <w:pPr>
              <w:rPr>
                <w:rFonts w:ascii="Arial" w:hAnsi="Arial" w:cs="Arial"/>
                <w:sz w:val="22"/>
                <w:szCs w:val="22"/>
              </w:rPr>
            </w:pPr>
            <w:r w:rsidRPr="005F1F91">
              <w:rPr>
                <w:rFonts w:ascii="Arial" w:hAnsi="Arial" w:cs="Arial"/>
                <w:sz w:val="22"/>
                <w:szCs w:val="22"/>
              </w:rPr>
              <w:t>intermediate coronary syndrome 411.1</w:t>
            </w:r>
          </w:p>
          <w:p w:rsidR="00D07001" w:rsidRPr="005F1F91" w:rsidRDefault="00D07001" w:rsidP="00A30439">
            <w:pPr>
              <w:rPr>
                <w:rFonts w:ascii="Arial" w:hAnsi="Arial" w:cs="Arial"/>
                <w:sz w:val="22"/>
                <w:szCs w:val="22"/>
              </w:rPr>
            </w:pPr>
            <w:r w:rsidRPr="005F1F91">
              <w:rPr>
                <w:rFonts w:ascii="Arial" w:hAnsi="Arial" w:cs="Arial"/>
                <w:sz w:val="22"/>
                <w:szCs w:val="22"/>
              </w:rPr>
              <w:t>old myocardial infarction 412</w:t>
            </w:r>
          </w:p>
          <w:p w:rsidR="00D07001" w:rsidRPr="005F1F91" w:rsidRDefault="00D07001" w:rsidP="00A30439">
            <w:pPr>
              <w:rPr>
                <w:rFonts w:ascii="Arial" w:hAnsi="Arial" w:cs="Arial"/>
                <w:sz w:val="22"/>
                <w:szCs w:val="22"/>
              </w:rPr>
            </w:pPr>
            <w:r w:rsidRPr="005F1F91">
              <w:rPr>
                <w:rFonts w:ascii="Arial" w:hAnsi="Arial" w:cs="Arial"/>
                <w:sz w:val="22"/>
                <w:szCs w:val="22"/>
              </w:rPr>
              <w:t>angina* 413.0</w:t>
            </w:r>
          </w:p>
          <w:p w:rsidR="00D07001" w:rsidRPr="005F1F91" w:rsidRDefault="00D07001" w:rsidP="00A30439">
            <w:pPr>
              <w:rPr>
                <w:rFonts w:ascii="Arial" w:hAnsi="Arial" w:cs="Arial"/>
                <w:sz w:val="22"/>
                <w:szCs w:val="22"/>
              </w:rPr>
            </w:pPr>
            <w:r w:rsidRPr="005F1F91">
              <w:rPr>
                <w:rFonts w:ascii="Arial" w:hAnsi="Arial" w:cs="Arial"/>
                <w:sz w:val="22"/>
                <w:szCs w:val="22"/>
              </w:rPr>
              <w:t>coronary atherosclerosis 414.00</w:t>
            </w:r>
          </w:p>
          <w:p w:rsidR="00D07001" w:rsidRPr="005F1F91" w:rsidRDefault="00D07001" w:rsidP="00A30439">
            <w:pPr>
              <w:rPr>
                <w:rFonts w:ascii="Arial" w:hAnsi="Arial" w:cs="Arial"/>
                <w:sz w:val="22"/>
                <w:szCs w:val="22"/>
              </w:rPr>
            </w:pPr>
            <w:r w:rsidRPr="005F1F91">
              <w:rPr>
                <w:rFonts w:ascii="Arial" w:hAnsi="Arial" w:cs="Arial"/>
                <w:sz w:val="22"/>
                <w:szCs w:val="22"/>
              </w:rPr>
              <w:t>Congestive heart failure, unspecified 428.0</w:t>
            </w:r>
          </w:p>
          <w:p w:rsidR="00D07001" w:rsidRPr="005F1F91" w:rsidRDefault="00D07001" w:rsidP="00A30439">
            <w:pPr>
              <w:rPr>
                <w:rFonts w:ascii="Arial" w:hAnsi="Arial" w:cs="Arial"/>
                <w:sz w:val="22"/>
                <w:szCs w:val="22"/>
              </w:rPr>
            </w:pPr>
            <w:r w:rsidRPr="005F1F91">
              <w:rPr>
                <w:rFonts w:ascii="Arial" w:hAnsi="Arial" w:cs="Arial"/>
                <w:sz w:val="22"/>
                <w:szCs w:val="22"/>
              </w:rPr>
              <w:t>Cerebrovascular Disease 430-438</w:t>
            </w:r>
          </w:p>
          <w:p w:rsidR="00D07001" w:rsidRPr="005F1F91" w:rsidRDefault="00D07001" w:rsidP="00A30439">
            <w:pPr>
              <w:rPr>
                <w:rFonts w:ascii="Arial" w:hAnsi="Arial" w:cs="Arial"/>
                <w:sz w:val="22"/>
                <w:szCs w:val="22"/>
              </w:rPr>
            </w:pPr>
            <w:r w:rsidRPr="005F1F91">
              <w:rPr>
                <w:rFonts w:ascii="Arial" w:hAnsi="Arial" w:cs="Arial"/>
                <w:sz w:val="22"/>
                <w:szCs w:val="22"/>
              </w:rPr>
              <w:t>Peripheral vascular disease, unspecified 443.9</w:t>
            </w:r>
          </w:p>
          <w:p w:rsidR="00D07001" w:rsidRPr="005F1F91" w:rsidRDefault="00D07001" w:rsidP="00A30439">
            <w:pPr>
              <w:rPr>
                <w:rFonts w:ascii="Arial" w:hAnsi="Arial" w:cs="Arial"/>
                <w:sz w:val="22"/>
                <w:szCs w:val="22"/>
              </w:rPr>
            </w:pPr>
            <w:r w:rsidRPr="005F1F91">
              <w:rPr>
                <w:rFonts w:ascii="Arial" w:hAnsi="Arial" w:cs="Arial"/>
                <w:sz w:val="22"/>
                <w:szCs w:val="22"/>
              </w:rPr>
              <w:t>Occlusion and stenosis of carotid artery without</w:t>
            </w:r>
          </w:p>
          <w:p w:rsidR="00D07001" w:rsidRPr="005F1F91" w:rsidRDefault="00D07001" w:rsidP="00A30439">
            <w:pPr>
              <w:rPr>
                <w:rFonts w:ascii="Arial" w:hAnsi="Arial" w:cs="Arial"/>
                <w:sz w:val="22"/>
                <w:szCs w:val="22"/>
              </w:rPr>
            </w:pPr>
            <w:r w:rsidRPr="005F1F91">
              <w:rPr>
                <w:rFonts w:ascii="Arial" w:hAnsi="Arial" w:cs="Arial"/>
                <w:sz w:val="22"/>
                <w:szCs w:val="22"/>
              </w:rPr>
              <w:t>mention of cerebral infarction 433.10</w:t>
            </w:r>
          </w:p>
          <w:p w:rsidR="00D07001" w:rsidRPr="005F1F91" w:rsidRDefault="00D07001" w:rsidP="00A30439">
            <w:pPr>
              <w:rPr>
                <w:rFonts w:ascii="Arial" w:hAnsi="Arial" w:cs="Arial"/>
                <w:sz w:val="22"/>
                <w:szCs w:val="22"/>
              </w:rPr>
            </w:pPr>
            <w:r w:rsidRPr="005F1F91">
              <w:rPr>
                <w:rFonts w:ascii="Arial" w:hAnsi="Arial" w:cs="Arial"/>
                <w:sz w:val="22"/>
                <w:szCs w:val="22"/>
              </w:rPr>
              <w:t>Generalized and unspecified atherosclerosis 440.9</w:t>
            </w:r>
          </w:p>
        </w:tc>
      </w:tr>
      <w:tr w:rsidR="00D07001" w:rsidRPr="005F1F91" w:rsidTr="00A30439">
        <w:tc>
          <w:tcPr>
            <w:tcW w:w="3116" w:type="dxa"/>
          </w:tcPr>
          <w:p w:rsidR="00D07001" w:rsidRPr="005F1F91" w:rsidRDefault="00D07001" w:rsidP="00A30439">
            <w:pPr>
              <w:rPr>
                <w:rFonts w:ascii="Arial" w:hAnsi="Arial" w:cs="Arial"/>
                <w:b/>
                <w:sz w:val="22"/>
                <w:szCs w:val="22"/>
              </w:rPr>
            </w:pPr>
            <w:r w:rsidRPr="005F1F91">
              <w:rPr>
                <w:rFonts w:ascii="Arial" w:hAnsi="Arial" w:cs="Arial"/>
                <w:b/>
                <w:sz w:val="22"/>
                <w:szCs w:val="22"/>
              </w:rPr>
              <w:t>Long-Term Use of Aspirin</w:t>
            </w:r>
          </w:p>
        </w:tc>
        <w:tc>
          <w:tcPr>
            <w:tcW w:w="6779" w:type="dxa"/>
          </w:tcPr>
          <w:p w:rsidR="00D07001" w:rsidRPr="005F1F91" w:rsidRDefault="00D07001" w:rsidP="00A30439">
            <w:pPr>
              <w:rPr>
                <w:rFonts w:ascii="Arial" w:hAnsi="Arial" w:cs="Arial"/>
                <w:sz w:val="22"/>
                <w:szCs w:val="22"/>
              </w:rPr>
            </w:pPr>
          </w:p>
        </w:tc>
      </w:tr>
      <w:tr w:rsidR="00D07001" w:rsidRPr="005F1F91" w:rsidTr="00A30439">
        <w:tc>
          <w:tcPr>
            <w:tcW w:w="3116" w:type="dxa"/>
          </w:tcPr>
          <w:p w:rsidR="00D07001" w:rsidRPr="005F1F91" w:rsidRDefault="00D07001" w:rsidP="00A30439">
            <w:pPr>
              <w:rPr>
                <w:rFonts w:ascii="Arial" w:hAnsi="Arial" w:cs="Arial"/>
                <w:sz w:val="22"/>
                <w:szCs w:val="22"/>
              </w:rPr>
            </w:pPr>
            <w:r w:rsidRPr="005F1F91">
              <w:rPr>
                <w:rFonts w:ascii="Arial" w:hAnsi="Arial" w:cs="Arial"/>
                <w:sz w:val="22"/>
                <w:szCs w:val="22"/>
              </w:rPr>
              <w:t>V5869</w:t>
            </w:r>
          </w:p>
        </w:tc>
        <w:tc>
          <w:tcPr>
            <w:tcW w:w="6779" w:type="dxa"/>
          </w:tcPr>
          <w:p w:rsidR="00D07001" w:rsidRPr="005F1F91" w:rsidRDefault="00D07001" w:rsidP="00A30439">
            <w:pPr>
              <w:rPr>
                <w:rFonts w:ascii="Arial" w:hAnsi="Arial" w:cs="Arial"/>
                <w:sz w:val="22"/>
                <w:szCs w:val="22"/>
              </w:rPr>
            </w:pPr>
            <w:r w:rsidRPr="005F1F91">
              <w:rPr>
                <w:rFonts w:ascii="Arial" w:hAnsi="Arial" w:cs="Arial"/>
                <w:sz w:val="22"/>
                <w:szCs w:val="22"/>
              </w:rPr>
              <w:t>Long-term aspirin use</w:t>
            </w:r>
          </w:p>
        </w:tc>
      </w:tr>
      <w:tr w:rsidR="00D07001" w:rsidRPr="005F1F91" w:rsidTr="00A30439">
        <w:tc>
          <w:tcPr>
            <w:tcW w:w="3116" w:type="dxa"/>
          </w:tcPr>
          <w:p w:rsidR="00D07001" w:rsidRPr="005F1F91" w:rsidRDefault="00D07001" w:rsidP="00A30439">
            <w:pPr>
              <w:rPr>
                <w:rFonts w:ascii="Arial" w:hAnsi="Arial" w:cs="Arial"/>
                <w:b/>
                <w:sz w:val="22"/>
                <w:szCs w:val="22"/>
              </w:rPr>
            </w:pPr>
            <w:r w:rsidRPr="005F1F91">
              <w:rPr>
                <w:rFonts w:ascii="Arial" w:hAnsi="Arial" w:cs="Arial"/>
                <w:b/>
                <w:sz w:val="22"/>
                <w:szCs w:val="22"/>
              </w:rPr>
              <w:t>Long-Term Anticoagulant Use</w:t>
            </w:r>
          </w:p>
        </w:tc>
        <w:tc>
          <w:tcPr>
            <w:tcW w:w="6779" w:type="dxa"/>
          </w:tcPr>
          <w:p w:rsidR="00D07001" w:rsidRPr="005F1F91" w:rsidRDefault="00D07001" w:rsidP="00A30439">
            <w:pPr>
              <w:rPr>
                <w:rFonts w:ascii="Arial" w:hAnsi="Arial" w:cs="Arial"/>
                <w:sz w:val="22"/>
                <w:szCs w:val="22"/>
              </w:rPr>
            </w:pPr>
          </w:p>
        </w:tc>
      </w:tr>
      <w:tr w:rsidR="00D07001" w:rsidRPr="005F1F91" w:rsidTr="00A30439">
        <w:tc>
          <w:tcPr>
            <w:tcW w:w="3116" w:type="dxa"/>
          </w:tcPr>
          <w:p w:rsidR="00D07001" w:rsidRPr="005F1F91" w:rsidRDefault="00D07001" w:rsidP="00A30439">
            <w:pPr>
              <w:rPr>
                <w:rFonts w:ascii="Arial" w:hAnsi="Arial" w:cs="Arial"/>
                <w:sz w:val="22"/>
                <w:szCs w:val="22"/>
              </w:rPr>
            </w:pPr>
            <w:r w:rsidRPr="005F1F91">
              <w:rPr>
                <w:rFonts w:ascii="Arial" w:hAnsi="Arial" w:cs="Arial"/>
                <w:sz w:val="22"/>
                <w:szCs w:val="22"/>
              </w:rPr>
              <w:t>V5862</w:t>
            </w:r>
          </w:p>
        </w:tc>
        <w:tc>
          <w:tcPr>
            <w:tcW w:w="6779" w:type="dxa"/>
          </w:tcPr>
          <w:p w:rsidR="00D07001" w:rsidRPr="005F1F91" w:rsidRDefault="00D07001" w:rsidP="00A30439">
            <w:pPr>
              <w:rPr>
                <w:rFonts w:ascii="Arial" w:hAnsi="Arial" w:cs="Arial"/>
                <w:sz w:val="22"/>
                <w:szCs w:val="22"/>
              </w:rPr>
            </w:pPr>
            <w:r w:rsidRPr="005F1F91">
              <w:rPr>
                <w:rFonts w:ascii="Arial" w:hAnsi="Arial" w:cs="Arial"/>
                <w:sz w:val="22"/>
                <w:szCs w:val="22"/>
              </w:rPr>
              <w:t>Long-term anticoagulant use</w:t>
            </w:r>
          </w:p>
        </w:tc>
      </w:tr>
    </w:tbl>
    <w:p w:rsidR="00D07001" w:rsidRPr="005F1F91" w:rsidRDefault="00D07001" w:rsidP="00D07001">
      <w:pPr>
        <w:spacing w:line="276" w:lineRule="auto"/>
        <w:rPr>
          <w:rFonts w:ascii="Arial" w:hAnsi="Arial" w:cs="Arial"/>
          <w:sz w:val="22"/>
          <w:szCs w:val="22"/>
        </w:rPr>
      </w:pPr>
    </w:p>
    <w:p w:rsidR="00D07001" w:rsidRPr="005F1F91" w:rsidRDefault="00D07001" w:rsidP="00D07001">
      <w:pPr>
        <w:pStyle w:val="Body"/>
        <w:spacing w:line="276" w:lineRule="auto"/>
        <w:rPr>
          <w:rFonts w:ascii="Arial" w:eastAsia="Century Schoolbook" w:hAnsi="Arial" w:cs="Arial"/>
          <w:sz w:val="22"/>
          <w:szCs w:val="22"/>
        </w:rPr>
      </w:pPr>
    </w:p>
    <w:p w:rsidR="00D07001" w:rsidRPr="005F1F91" w:rsidRDefault="00D07001" w:rsidP="00D07001">
      <w:pPr>
        <w:rPr>
          <w:rFonts w:ascii="Arial" w:hAnsi="Arial" w:cs="Arial"/>
          <w:b/>
          <w:sz w:val="22"/>
          <w:szCs w:val="22"/>
        </w:rPr>
      </w:pPr>
      <w:r w:rsidRPr="005F1F91">
        <w:rPr>
          <w:rFonts w:ascii="Arial" w:hAnsi="Arial" w:cs="Arial"/>
          <w:b/>
          <w:sz w:val="22"/>
          <w:szCs w:val="22"/>
        </w:rPr>
        <w:br w:type="page"/>
      </w:r>
    </w:p>
    <w:p w:rsidR="00D07001" w:rsidRPr="005F1F91" w:rsidRDefault="00D07001" w:rsidP="00D07001">
      <w:pPr>
        <w:spacing w:line="276" w:lineRule="auto"/>
        <w:rPr>
          <w:rFonts w:ascii="Arial" w:hAnsi="Arial" w:cs="Arial"/>
          <w:b/>
          <w:sz w:val="22"/>
          <w:szCs w:val="22"/>
        </w:rPr>
      </w:pPr>
      <w:r w:rsidRPr="005F1F91">
        <w:rPr>
          <w:rFonts w:ascii="Arial" w:hAnsi="Arial" w:cs="Arial"/>
          <w:b/>
          <w:sz w:val="22"/>
          <w:szCs w:val="22"/>
        </w:rPr>
        <w:lastRenderedPageBreak/>
        <w:t>Appendix 3. Office Visit and Prior Visit Medication Use</w:t>
      </w:r>
    </w:p>
    <w:p w:rsidR="00D07001" w:rsidRPr="005F1F91" w:rsidRDefault="00D07001" w:rsidP="00D07001">
      <w:pPr>
        <w:spacing w:line="276" w:lineRule="auto"/>
        <w:rPr>
          <w:rFonts w:ascii="Arial" w:hAnsi="Arial" w:cs="Arial"/>
          <w:sz w:val="22"/>
          <w:szCs w:val="22"/>
        </w:rPr>
      </w:pPr>
    </w:p>
    <w:p w:rsidR="00D07001" w:rsidRPr="005F1F91" w:rsidRDefault="00D07001" w:rsidP="00D07001">
      <w:pPr>
        <w:spacing w:line="276" w:lineRule="auto"/>
        <w:rPr>
          <w:rFonts w:ascii="Arial" w:hAnsi="Arial" w:cs="Arial"/>
          <w:sz w:val="22"/>
          <w:szCs w:val="22"/>
        </w:rPr>
      </w:pPr>
      <w:r w:rsidRPr="005F1F91">
        <w:rPr>
          <w:rFonts w:ascii="Arial" w:hAnsi="Arial" w:cs="Arial"/>
          <w:sz w:val="22"/>
          <w:szCs w:val="22"/>
        </w:rPr>
        <w:t xml:space="preserve">We used two sources of medication data to create the indicators in our final models. We used prescriptions from 365 days prior to the office visit and medications concurrently prescribed at the visit. We excluded medications labeled “suspend.” We included medications that were not ordered but entered into the chart as “provider historical,” as these were entered in the record during the medication reconciliation. </w:t>
      </w:r>
    </w:p>
    <w:p w:rsidR="00D07001" w:rsidRPr="005F1F91" w:rsidRDefault="00D07001" w:rsidP="00D07001">
      <w:pPr>
        <w:spacing w:line="276" w:lineRule="auto"/>
        <w:rPr>
          <w:rFonts w:ascii="Arial" w:hAnsi="Arial" w:cs="Arial"/>
          <w:sz w:val="22"/>
          <w:szCs w:val="22"/>
        </w:rPr>
      </w:pPr>
    </w:p>
    <w:tbl>
      <w:tblPr>
        <w:tblStyle w:val="TableGrid"/>
        <w:tblW w:w="9895" w:type="dxa"/>
        <w:tblLook w:val="04A0" w:firstRow="1" w:lastRow="0" w:firstColumn="1" w:lastColumn="0" w:noHBand="0" w:noVBand="1"/>
      </w:tblPr>
      <w:tblGrid>
        <w:gridCol w:w="3116"/>
        <w:gridCol w:w="6779"/>
      </w:tblGrid>
      <w:tr w:rsidR="00D07001" w:rsidRPr="005F1F91" w:rsidTr="00A30439">
        <w:tc>
          <w:tcPr>
            <w:tcW w:w="9895" w:type="dxa"/>
            <w:gridSpan w:val="2"/>
          </w:tcPr>
          <w:p w:rsidR="00D07001" w:rsidRPr="005F1F91" w:rsidRDefault="00D07001" w:rsidP="00A30439">
            <w:pPr>
              <w:rPr>
                <w:rFonts w:ascii="Arial" w:hAnsi="Arial" w:cs="Arial"/>
                <w:sz w:val="22"/>
                <w:szCs w:val="22"/>
              </w:rPr>
            </w:pPr>
            <w:r w:rsidRPr="005F1F91">
              <w:rPr>
                <w:rFonts w:ascii="Arial" w:hAnsi="Arial" w:cs="Arial"/>
                <w:sz w:val="22"/>
                <w:szCs w:val="22"/>
              </w:rPr>
              <w:t>Appendix Table 3. Medication classes used to identify medications co-prescribed during the office visit and from outpatient visits 365 days prior</w:t>
            </w:r>
          </w:p>
        </w:tc>
      </w:tr>
      <w:tr w:rsidR="00D07001" w:rsidRPr="005F1F91" w:rsidTr="00A30439">
        <w:tc>
          <w:tcPr>
            <w:tcW w:w="3116" w:type="dxa"/>
          </w:tcPr>
          <w:p w:rsidR="00D07001" w:rsidRPr="005F1F91" w:rsidRDefault="00D07001" w:rsidP="00A30439">
            <w:pPr>
              <w:rPr>
                <w:rFonts w:ascii="Arial" w:hAnsi="Arial" w:cs="Arial"/>
                <w:sz w:val="22"/>
                <w:szCs w:val="22"/>
              </w:rPr>
            </w:pPr>
            <w:r w:rsidRPr="005F1F91">
              <w:rPr>
                <w:rFonts w:ascii="Arial" w:hAnsi="Arial" w:cs="Arial"/>
                <w:sz w:val="22"/>
                <w:szCs w:val="22"/>
              </w:rPr>
              <w:t>Medication Class</w:t>
            </w:r>
          </w:p>
        </w:tc>
        <w:tc>
          <w:tcPr>
            <w:tcW w:w="6779" w:type="dxa"/>
          </w:tcPr>
          <w:p w:rsidR="00D07001" w:rsidRPr="005F1F91" w:rsidRDefault="00D07001" w:rsidP="00A30439">
            <w:pPr>
              <w:rPr>
                <w:rFonts w:ascii="Arial" w:hAnsi="Arial" w:cs="Arial"/>
                <w:sz w:val="22"/>
                <w:szCs w:val="22"/>
              </w:rPr>
            </w:pPr>
            <w:r w:rsidRPr="005F1F91">
              <w:rPr>
                <w:rFonts w:ascii="Arial" w:hAnsi="Arial" w:cs="Arial"/>
                <w:sz w:val="22"/>
                <w:szCs w:val="22"/>
              </w:rPr>
              <w:t>Examples</w:t>
            </w:r>
          </w:p>
        </w:tc>
      </w:tr>
      <w:tr w:rsidR="00D07001" w:rsidRPr="005F1F91" w:rsidTr="00A30439">
        <w:tc>
          <w:tcPr>
            <w:tcW w:w="3116" w:type="dxa"/>
          </w:tcPr>
          <w:p w:rsidR="00D07001" w:rsidRPr="005F1F91" w:rsidRDefault="00D07001" w:rsidP="00A30439">
            <w:pPr>
              <w:rPr>
                <w:rFonts w:ascii="Arial" w:hAnsi="Arial" w:cs="Arial"/>
                <w:sz w:val="22"/>
                <w:szCs w:val="22"/>
              </w:rPr>
            </w:pPr>
            <w:r w:rsidRPr="005F1F91">
              <w:rPr>
                <w:rFonts w:ascii="Arial" w:hAnsi="Arial" w:cs="Arial"/>
                <w:sz w:val="22"/>
                <w:szCs w:val="22"/>
              </w:rPr>
              <w:t>NSAIDs</w:t>
            </w:r>
          </w:p>
        </w:tc>
        <w:tc>
          <w:tcPr>
            <w:tcW w:w="6779" w:type="dxa"/>
          </w:tcPr>
          <w:p w:rsidR="00D07001" w:rsidRPr="005F1F91" w:rsidRDefault="00D07001" w:rsidP="00A30439">
            <w:pPr>
              <w:rPr>
                <w:rFonts w:ascii="Arial" w:hAnsi="Arial" w:cs="Arial"/>
                <w:sz w:val="22"/>
                <w:szCs w:val="22"/>
              </w:rPr>
            </w:pPr>
            <w:r w:rsidRPr="005F1F91">
              <w:rPr>
                <w:rFonts w:ascii="Arial" w:hAnsi="Arial" w:cs="Arial"/>
                <w:sz w:val="22"/>
                <w:szCs w:val="22"/>
              </w:rPr>
              <w:t>Ibuprofen, celecoxib</w:t>
            </w:r>
          </w:p>
        </w:tc>
      </w:tr>
      <w:tr w:rsidR="00D07001" w:rsidRPr="005F1F91" w:rsidTr="00A30439">
        <w:tc>
          <w:tcPr>
            <w:tcW w:w="3116" w:type="dxa"/>
          </w:tcPr>
          <w:p w:rsidR="00D07001" w:rsidRPr="005F1F91" w:rsidRDefault="00D07001" w:rsidP="00A30439">
            <w:pPr>
              <w:rPr>
                <w:rFonts w:ascii="Arial" w:hAnsi="Arial" w:cs="Arial"/>
                <w:sz w:val="22"/>
                <w:szCs w:val="22"/>
              </w:rPr>
            </w:pPr>
            <w:r w:rsidRPr="005F1F91">
              <w:rPr>
                <w:rFonts w:ascii="Arial" w:hAnsi="Arial" w:cs="Arial"/>
                <w:sz w:val="22"/>
                <w:szCs w:val="22"/>
              </w:rPr>
              <w:t>Antiplatelets</w:t>
            </w:r>
          </w:p>
        </w:tc>
        <w:tc>
          <w:tcPr>
            <w:tcW w:w="6779" w:type="dxa"/>
          </w:tcPr>
          <w:p w:rsidR="00D07001" w:rsidRPr="005F1F91" w:rsidRDefault="00D07001" w:rsidP="00A30439">
            <w:pPr>
              <w:rPr>
                <w:rFonts w:ascii="Arial" w:hAnsi="Arial" w:cs="Arial"/>
                <w:sz w:val="22"/>
                <w:szCs w:val="22"/>
              </w:rPr>
            </w:pPr>
            <w:r w:rsidRPr="005F1F91">
              <w:rPr>
                <w:rFonts w:ascii="Arial" w:hAnsi="Arial" w:cs="Arial"/>
                <w:sz w:val="22"/>
                <w:szCs w:val="22"/>
              </w:rPr>
              <w:t>Clopidogrel, ticagrelor</w:t>
            </w:r>
          </w:p>
        </w:tc>
      </w:tr>
      <w:tr w:rsidR="00D07001" w:rsidRPr="005F1F91" w:rsidTr="00A30439">
        <w:tc>
          <w:tcPr>
            <w:tcW w:w="3116" w:type="dxa"/>
          </w:tcPr>
          <w:p w:rsidR="00D07001" w:rsidRPr="005F1F91" w:rsidRDefault="00D07001" w:rsidP="00A30439">
            <w:pPr>
              <w:rPr>
                <w:rFonts w:ascii="Arial" w:hAnsi="Arial" w:cs="Arial"/>
                <w:sz w:val="22"/>
                <w:szCs w:val="22"/>
              </w:rPr>
            </w:pPr>
            <w:r w:rsidRPr="005F1F91">
              <w:rPr>
                <w:rFonts w:ascii="Arial" w:hAnsi="Arial" w:cs="Arial"/>
                <w:sz w:val="22"/>
                <w:szCs w:val="22"/>
              </w:rPr>
              <w:t>Anticoagulants</w:t>
            </w:r>
          </w:p>
        </w:tc>
        <w:tc>
          <w:tcPr>
            <w:tcW w:w="6779" w:type="dxa"/>
          </w:tcPr>
          <w:p w:rsidR="00D07001" w:rsidRPr="005F1F91" w:rsidRDefault="00D07001" w:rsidP="00A30439">
            <w:pPr>
              <w:rPr>
                <w:rFonts w:ascii="Arial" w:hAnsi="Arial" w:cs="Arial"/>
                <w:sz w:val="22"/>
                <w:szCs w:val="22"/>
              </w:rPr>
            </w:pPr>
            <w:r w:rsidRPr="005F1F91">
              <w:rPr>
                <w:rFonts w:ascii="Arial" w:hAnsi="Arial" w:cs="Arial"/>
                <w:sz w:val="22"/>
                <w:szCs w:val="22"/>
              </w:rPr>
              <w:t>Heparin, warfarin</w:t>
            </w:r>
          </w:p>
        </w:tc>
      </w:tr>
      <w:tr w:rsidR="00D07001" w:rsidRPr="005F1F91" w:rsidTr="00A30439">
        <w:tc>
          <w:tcPr>
            <w:tcW w:w="3116" w:type="dxa"/>
          </w:tcPr>
          <w:p w:rsidR="00D07001" w:rsidRPr="005F1F91" w:rsidRDefault="00D07001" w:rsidP="00A30439">
            <w:pPr>
              <w:rPr>
                <w:rFonts w:ascii="Arial" w:hAnsi="Arial" w:cs="Arial"/>
                <w:sz w:val="22"/>
                <w:szCs w:val="22"/>
              </w:rPr>
            </w:pPr>
            <w:r w:rsidRPr="005F1F91">
              <w:rPr>
                <w:rFonts w:ascii="Arial" w:hAnsi="Arial" w:cs="Arial"/>
                <w:sz w:val="22"/>
                <w:szCs w:val="22"/>
              </w:rPr>
              <w:t>Systemic Corticosteroids</w:t>
            </w:r>
          </w:p>
        </w:tc>
        <w:tc>
          <w:tcPr>
            <w:tcW w:w="6779" w:type="dxa"/>
          </w:tcPr>
          <w:p w:rsidR="00D07001" w:rsidRPr="005F1F91" w:rsidRDefault="00D07001" w:rsidP="00A30439">
            <w:pPr>
              <w:rPr>
                <w:rFonts w:ascii="Arial" w:hAnsi="Arial" w:cs="Arial"/>
                <w:sz w:val="22"/>
                <w:szCs w:val="22"/>
              </w:rPr>
            </w:pPr>
            <w:r w:rsidRPr="005F1F91">
              <w:rPr>
                <w:rFonts w:ascii="Arial" w:hAnsi="Arial" w:cs="Arial"/>
                <w:sz w:val="22"/>
                <w:szCs w:val="22"/>
              </w:rPr>
              <w:t>Prednisone, prednisolone</w:t>
            </w:r>
          </w:p>
        </w:tc>
      </w:tr>
    </w:tbl>
    <w:p w:rsidR="00D07001" w:rsidRPr="005F1F91" w:rsidRDefault="00D07001" w:rsidP="00D07001">
      <w:pPr>
        <w:spacing w:line="276" w:lineRule="auto"/>
        <w:rPr>
          <w:rFonts w:ascii="Arial" w:hAnsi="Arial" w:cs="Arial"/>
          <w:sz w:val="22"/>
          <w:szCs w:val="22"/>
        </w:rPr>
      </w:pPr>
    </w:p>
    <w:p w:rsidR="00D07001" w:rsidRPr="005F1F91" w:rsidRDefault="00D07001" w:rsidP="00D07001">
      <w:pPr>
        <w:pStyle w:val="Body"/>
        <w:spacing w:line="276" w:lineRule="auto"/>
        <w:rPr>
          <w:rFonts w:ascii="Arial" w:eastAsia="Century Schoolbook" w:hAnsi="Arial" w:cs="Arial"/>
          <w:sz w:val="22"/>
          <w:szCs w:val="22"/>
        </w:rPr>
      </w:pPr>
    </w:p>
    <w:p w:rsidR="00D07001" w:rsidRPr="005F1F91" w:rsidRDefault="00D07001" w:rsidP="00D07001">
      <w:pPr>
        <w:rPr>
          <w:rFonts w:ascii="Arial" w:hAnsi="Arial" w:cs="Arial"/>
          <w:sz w:val="22"/>
          <w:szCs w:val="22"/>
        </w:rPr>
      </w:pPr>
      <w:r w:rsidRPr="005F1F91">
        <w:rPr>
          <w:rFonts w:ascii="Arial" w:hAnsi="Arial" w:cs="Arial"/>
          <w:sz w:val="22"/>
          <w:szCs w:val="22"/>
        </w:rPr>
        <w:br w:type="page"/>
      </w:r>
    </w:p>
    <w:p w:rsidR="00D07001" w:rsidRPr="005F1F91" w:rsidRDefault="00D07001" w:rsidP="00D07001">
      <w:pPr>
        <w:rPr>
          <w:rFonts w:ascii="Arial" w:eastAsia="Calibri" w:hAnsi="Arial" w:cs="Arial"/>
          <w:sz w:val="22"/>
          <w:szCs w:val="22"/>
        </w:rPr>
      </w:pPr>
    </w:p>
    <w:p w:rsidR="00D07001" w:rsidRPr="005F1F91" w:rsidRDefault="00D07001" w:rsidP="00D07001">
      <w:pPr>
        <w:rPr>
          <w:rFonts w:ascii="Arial" w:hAnsi="Arial" w:cs="Arial"/>
          <w:b/>
          <w:sz w:val="22"/>
          <w:szCs w:val="22"/>
        </w:rPr>
      </w:pPr>
      <w:r w:rsidRPr="005F1F91">
        <w:rPr>
          <w:rFonts w:ascii="Arial" w:hAnsi="Arial" w:cs="Arial"/>
          <w:b/>
          <w:sz w:val="22"/>
          <w:szCs w:val="22"/>
        </w:rPr>
        <w:t>Appendix 4. Opioid Prescription Calculation Assumptions</w:t>
      </w:r>
    </w:p>
    <w:p w:rsidR="00D07001" w:rsidRPr="005F1F91" w:rsidRDefault="00D07001" w:rsidP="00D07001">
      <w:pPr>
        <w:rPr>
          <w:rFonts w:ascii="Arial" w:hAnsi="Arial" w:cs="Arial"/>
          <w:sz w:val="22"/>
          <w:szCs w:val="22"/>
        </w:rPr>
      </w:pPr>
      <w:r w:rsidRPr="005F1F91">
        <w:rPr>
          <w:rFonts w:ascii="Arial" w:eastAsia="Calibri" w:hAnsi="Arial" w:cs="Arial"/>
          <w:sz w:val="22"/>
          <w:szCs w:val="22"/>
        </w:rPr>
        <w:t xml:space="preserve"> </w:t>
      </w:r>
    </w:p>
    <w:p w:rsidR="00D07001" w:rsidRPr="005F1F91" w:rsidRDefault="00D07001" w:rsidP="00D07001">
      <w:pPr>
        <w:rPr>
          <w:rFonts w:ascii="Arial" w:hAnsi="Arial" w:cs="Arial"/>
          <w:sz w:val="22"/>
          <w:szCs w:val="22"/>
        </w:rPr>
      </w:pPr>
      <w:r w:rsidRPr="005F1F91">
        <w:rPr>
          <w:rFonts w:ascii="Arial" w:hAnsi="Arial" w:cs="Arial"/>
          <w:b/>
          <w:sz w:val="22"/>
          <w:szCs w:val="22"/>
          <w:u w:val="single"/>
        </w:rPr>
        <w:t>Data Source</w:t>
      </w:r>
    </w:p>
    <w:p w:rsidR="00D07001" w:rsidRPr="005F1F91" w:rsidRDefault="00D07001" w:rsidP="00D07001">
      <w:pPr>
        <w:rPr>
          <w:rFonts w:ascii="Arial" w:hAnsi="Arial" w:cs="Arial"/>
          <w:sz w:val="22"/>
          <w:szCs w:val="22"/>
        </w:rPr>
      </w:pPr>
      <w:r w:rsidRPr="005F1F91">
        <w:rPr>
          <w:rFonts w:ascii="Arial" w:eastAsia="Calibri" w:hAnsi="Arial" w:cs="Arial"/>
          <w:sz w:val="22"/>
          <w:szCs w:val="22"/>
        </w:rPr>
        <w:t xml:space="preserve">To construct a master list of opioid medications, we used the Centers for Disease Control and Prevention (CDC) Opioid Data Files, which contain morphine equivalent conversion factors (MECF), the strength per medication unit, and a National Drug Code for non-IV opioid medications based on formulation [13 15]. For methadone, the CDC table provides a morphine equivalency for the lowest dose. However, methadone’s morphine equivalency must be adjusted based on the total daily dose: the higher the daily dose, the higher the conversion factor. We developed logic to calculate the daily dose and then applied the appropriate conversion factor. For buprenorphine films, we used a regular expression to extract the strength per unit from the medication name and assigned a morphine equivalency conversion factor of 12.6 based on </w:t>
      </w:r>
      <w:r w:rsidRPr="005F1F91">
        <w:rPr>
          <w:rFonts w:ascii="Arial" w:hAnsi="Arial" w:cs="Arial"/>
          <w:color w:val="222222"/>
          <w:sz w:val="22"/>
          <w:szCs w:val="22"/>
        </w:rPr>
        <w:t>Centers for Medicare &amp; Medicaid Services</w:t>
      </w:r>
      <w:r w:rsidRPr="005F1F91">
        <w:rPr>
          <w:rFonts w:ascii="Arial" w:eastAsia="Calibri" w:hAnsi="Arial" w:cs="Arial"/>
          <w:sz w:val="22"/>
          <w:szCs w:val="22"/>
        </w:rPr>
        <w:t xml:space="preserve"> (CMS) conversion factors [16]. </w:t>
      </w:r>
    </w:p>
    <w:p w:rsidR="00D07001" w:rsidRPr="005F1F91" w:rsidRDefault="00D07001" w:rsidP="00D07001">
      <w:pPr>
        <w:rPr>
          <w:rFonts w:ascii="Arial" w:hAnsi="Arial" w:cs="Arial"/>
          <w:sz w:val="22"/>
          <w:szCs w:val="22"/>
        </w:rPr>
      </w:pPr>
      <w:r w:rsidRPr="005F1F91">
        <w:rPr>
          <w:rFonts w:ascii="Arial" w:eastAsia="Calibri" w:hAnsi="Arial" w:cs="Arial"/>
          <w:sz w:val="22"/>
          <w:szCs w:val="22"/>
        </w:rPr>
        <w:t xml:space="preserve"> </w:t>
      </w:r>
    </w:p>
    <w:p w:rsidR="00D07001" w:rsidRPr="005F1F91" w:rsidRDefault="00D07001" w:rsidP="00D07001">
      <w:pPr>
        <w:rPr>
          <w:rFonts w:ascii="Arial" w:eastAsia="Calibri" w:hAnsi="Arial" w:cs="Arial"/>
          <w:sz w:val="22"/>
          <w:szCs w:val="22"/>
        </w:rPr>
      </w:pPr>
      <w:r w:rsidRPr="005F1F91">
        <w:rPr>
          <w:rFonts w:ascii="Arial" w:eastAsia="Calibri" w:hAnsi="Arial" w:cs="Arial"/>
          <w:sz w:val="22"/>
          <w:szCs w:val="22"/>
        </w:rPr>
        <w:t>Medication data for each of the cohorts was extracted from the Clarity database, including the prescription Sig (i.e. the prescription administration instructions), quantity prescribed, units per dose, doses per day, start date of the prescription, and the authorizing provider. To calculate the opioid use prior to the visit, we included all outpatient opioid prescriptions, either discharge medications from an inpatient stay, an emergency department (ED) visit, or any ambulatory setting. We excluded intravenous (IV) medications from our analysis. We also excluded medications that were discontinued within 3 days of ordering, which we assumed had been ordered in error and then cancelled.</w:t>
      </w:r>
    </w:p>
    <w:p w:rsidR="00D07001" w:rsidRPr="005F1F91" w:rsidRDefault="00D07001" w:rsidP="00D07001">
      <w:pPr>
        <w:rPr>
          <w:rFonts w:ascii="Arial" w:eastAsia="Calibri" w:hAnsi="Arial" w:cs="Arial"/>
          <w:sz w:val="22"/>
          <w:szCs w:val="22"/>
        </w:rPr>
      </w:pPr>
      <w:r w:rsidRPr="005F1F91">
        <w:rPr>
          <w:rFonts w:ascii="Arial" w:eastAsia="Calibri" w:hAnsi="Arial" w:cs="Arial"/>
          <w:sz w:val="22"/>
          <w:szCs w:val="22"/>
        </w:rPr>
        <w:t xml:space="preserve"> </w:t>
      </w:r>
    </w:p>
    <w:p w:rsidR="00D07001" w:rsidRPr="005F1F91" w:rsidRDefault="00D07001" w:rsidP="00D07001">
      <w:pPr>
        <w:rPr>
          <w:rFonts w:ascii="Arial" w:eastAsia="Calibri" w:hAnsi="Arial" w:cs="Arial"/>
          <w:sz w:val="22"/>
          <w:szCs w:val="22"/>
        </w:rPr>
      </w:pPr>
      <w:r w:rsidRPr="005F1F91">
        <w:rPr>
          <w:rFonts w:ascii="Arial" w:eastAsia="Calibri" w:hAnsi="Arial" w:cs="Arial"/>
          <w:sz w:val="22"/>
          <w:szCs w:val="22"/>
        </w:rPr>
        <w:t>Calculating Days’ Supply</w:t>
      </w:r>
    </w:p>
    <w:p w:rsidR="00D07001" w:rsidRPr="005F1F91" w:rsidRDefault="00D07001" w:rsidP="00D07001">
      <w:pPr>
        <w:rPr>
          <w:rFonts w:ascii="Arial" w:eastAsia="Calibri" w:hAnsi="Arial" w:cs="Arial"/>
          <w:sz w:val="22"/>
          <w:szCs w:val="22"/>
        </w:rPr>
      </w:pPr>
      <w:r w:rsidRPr="005F1F91">
        <w:rPr>
          <w:rFonts w:ascii="Arial" w:eastAsia="Calibri" w:hAnsi="Arial" w:cs="Arial"/>
          <w:sz w:val="22"/>
          <w:szCs w:val="22"/>
        </w:rPr>
        <w:t xml:space="preserve">The days’ supply for the opioid prescription was calculated using the formula below:  </w:t>
      </w:r>
    </w:p>
    <w:p w:rsidR="00D07001" w:rsidRPr="005F1F91" w:rsidRDefault="00D07001" w:rsidP="00D07001">
      <w:pPr>
        <w:rPr>
          <w:rFonts w:ascii="Arial" w:eastAsia="Calibri" w:hAnsi="Arial" w:cs="Arial"/>
          <w:sz w:val="22"/>
          <w:szCs w:val="22"/>
        </w:rPr>
      </w:pPr>
      <w:r w:rsidRPr="005F1F91">
        <w:rPr>
          <w:rFonts w:ascii="Arial" w:eastAsia="Calibri" w:hAnsi="Arial" w:cs="Arial"/>
          <w:sz w:val="22"/>
          <w:szCs w:val="22"/>
        </w:rPr>
        <w:t xml:space="preserve"> </w:t>
      </w:r>
    </w:p>
    <w:p w:rsidR="00D07001" w:rsidRPr="005F1F91" w:rsidRDefault="00D07001" w:rsidP="00D07001">
      <w:pPr>
        <w:pStyle w:val="Body"/>
        <w:jc w:val="center"/>
        <w:rPr>
          <w:rFonts w:ascii="Arial" w:hAnsi="Arial" w:cs="Arial"/>
          <w:color w:val="auto"/>
          <w:sz w:val="22"/>
          <w:szCs w:val="22"/>
        </w:rPr>
      </w:pPr>
      <w:r w:rsidRPr="005F1F91">
        <w:rPr>
          <w:rFonts w:ascii="Arial" w:hAnsi="Arial" w:cs="Arial"/>
          <w:noProof/>
          <w:color w:val="auto"/>
          <w:sz w:val="22"/>
          <w:szCs w:val="22"/>
        </w:rPr>
        <w:drawing>
          <wp:inline distT="0" distB="0" distL="0" distR="0" wp14:anchorId="6A93C131" wp14:editId="41677142">
            <wp:extent cx="4457700" cy="419100"/>
            <wp:effectExtent l="0" t="0" r="0" b="0"/>
            <wp:docPr id="1073741826" name="officeArt object" descr="Picture"/>
            <wp:cNvGraphicFramePr/>
            <a:graphic xmlns:a="http://schemas.openxmlformats.org/drawingml/2006/main">
              <a:graphicData uri="http://schemas.openxmlformats.org/drawingml/2006/picture">
                <pic:pic xmlns:pic="http://schemas.openxmlformats.org/drawingml/2006/picture">
                  <pic:nvPicPr>
                    <pic:cNvPr id="1073741826" name="Picture" descr="Picture"/>
                    <pic:cNvPicPr>
                      <a:picLocks noChangeAspect="1"/>
                    </pic:cNvPicPr>
                  </pic:nvPicPr>
                  <pic:blipFill>
                    <a:blip r:embed="rId5"/>
                    <a:stretch>
                      <a:fillRect/>
                    </a:stretch>
                  </pic:blipFill>
                  <pic:spPr>
                    <a:xfrm>
                      <a:off x="0" y="0"/>
                      <a:ext cx="4457700" cy="419100"/>
                    </a:xfrm>
                    <a:prstGeom prst="rect">
                      <a:avLst/>
                    </a:prstGeom>
                    <a:ln w="12700" cap="flat">
                      <a:noFill/>
                      <a:miter lim="400000"/>
                    </a:ln>
                    <a:effectLst/>
                  </pic:spPr>
                </pic:pic>
              </a:graphicData>
            </a:graphic>
          </wp:inline>
        </w:drawing>
      </w:r>
    </w:p>
    <w:p w:rsidR="00D07001" w:rsidRPr="005F1F91" w:rsidRDefault="00D07001" w:rsidP="00D07001">
      <w:pPr>
        <w:rPr>
          <w:rFonts w:ascii="Arial" w:eastAsia="Calibri" w:hAnsi="Arial" w:cs="Arial"/>
          <w:sz w:val="22"/>
          <w:szCs w:val="22"/>
        </w:rPr>
      </w:pPr>
      <w:r w:rsidRPr="005F1F91">
        <w:rPr>
          <w:rFonts w:ascii="Arial" w:eastAsia="Calibri" w:hAnsi="Arial" w:cs="Arial"/>
          <w:sz w:val="22"/>
          <w:szCs w:val="22"/>
        </w:rPr>
        <w:t>We used this formula to calculate the number of days for each prescription, which was then used to create the categories of pre-visit opioid use:</w:t>
      </w:r>
    </w:p>
    <w:p w:rsidR="00D07001" w:rsidRPr="005F1F91" w:rsidRDefault="00D07001" w:rsidP="00D07001">
      <w:pPr>
        <w:rPr>
          <w:rFonts w:ascii="Arial" w:eastAsia="Calibri" w:hAnsi="Arial" w:cs="Arial"/>
          <w:sz w:val="22"/>
          <w:szCs w:val="22"/>
        </w:rPr>
      </w:pPr>
    </w:p>
    <w:p w:rsidR="00D07001" w:rsidRPr="005F1F91" w:rsidRDefault="00D07001" w:rsidP="00D07001">
      <w:pPr>
        <w:pStyle w:val="ListParagraph"/>
        <w:numPr>
          <w:ilvl w:val="0"/>
          <w:numId w:val="1"/>
        </w:numPr>
        <w:spacing w:line="276" w:lineRule="auto"/>
        <w:rPr>
          <w:rFonts w:ascii="Arial" w:hAnsi="Arial" w:cs="Arial"/>
          <w:color w:val="auto"/>
          <w:sz w:val="22"/>
          <w:szCs w:val="22"/>
        </w:rPr>
      </w:pPr>
      <w:r w:rsidRPr="005F1F91">
        <w:rPr>
          <w:rFonts w:ascii="Arial" w:hAnsi="Arial" w:cs="Arial"/>
          <w:color w:val="auto"/>
          <w:sz w:val="22"/>
          <w:szCs w:val="22"/>
        </w:rPr>
        <w:t>No known opioid use in 45 days prior to the visit;</w:t>
      </w:r>
      <w:bookmarkStart w:id="0" w:name="_GoBack"/>
      <w:bookmarkEnd w:id="0"/>
    </w:p>
    <w:p w:rsidR="00D07001" w:rsidRPr="005F1F91" w:rsidRDefault="00D07001" w:rsidP="00D07001">
      <w:pPr>
        <w:pStyle w:val="ListParagraph"/>
        <w:numPr>
          <w:ilvl w:val="0"/>
          <w:numId w:val="1"/>
        </w:numPr>
        <w:spacing w:line="276" w:lineRule="auto"/>
        <w:rPr>
          <w:rFonts w:ascii="Arial" w:hAnsi="Arial" w:cs="Arial"/>
          <w:color w:val="auto"/>
          <w:sz w:val="22"/>
          <w:szCs w:val="22"/>
        </w:rPr>
      </w:pPr>
      <w:r w:rsidRPr="005F1F91">
        <w:rPr>
          <w:rFonts w:ascii="Arial" w:hAnsi="Arial" w:cs="Arial"/>
          <w:color w:val="auto"/>
          <w:sz w:val="22"/>
          <w:szCs w:val="22"/>
        </w:rPr>
        <w:t>Intermittent opioid use, or opioid use 45 days or fewer prior to the visit but not on long-term opioids;</w:t>
      </w:r>
    </w:p>
    <w:p w:rsidR="00D07001" w:rsidRPr="005F1F91" w:rsidRDefault="00D07001" w:rsidP="00D07001">
      <w:pPr>
        <w:pStyle w:val="ListParagraph"/>
        <w:numPr>
          <w:ilvl w:val="0"/>
          <w:numId w:val="1"/>
        </w:numPr>
        <w:spacing w:line="276" w:lineRule="auto"/>
        <w:rPr>
          <w:rFonts w:ascii="Arial" w:hAnsi="Arial" w:cs="Arial"/>
          <w:color w:val="auto"/>
          <w:sz w:val="22"/>
          <w:szCs w:val="22"/>
        </w:rPr>
      </w:pPr>
      <w:r w:rsidRPr="005F1F91">
        <w:rPr>
          <w:rFonts w:ascii="Arial" w:hAnsi="Arial" w:cs="Arial"/>
          <w:color w:val="auto"/>
          <w:sz w:val="22"/>
          <w:szCs w:val="22"/>
        </w:rPr>
        <w:t xml:space="preserve">Long-term opioid use, or 60 or more opioid days in the 90 days prior to the visit) </w:t>
      </w:r>
      <w:r w:rsidRPr="005F1F91">
        <w:rPr>
          <w:rFonts w:ascii="Arial" w:hAnsi="Arial" w:cs="Arial"/>
          <w:color w:val="auto"/>
          <w:sz w:val="22"/>
          <w:szCs w:val="22"/>
        </w:rPr>
        <w:fldChar w:fldCharType="begin"/>
      </w:r>
      <w:r>
        <w:rPr>
          <w:rFonts w:ascii="Arial" w:hAnsi="Arial" w:cs="Arial"/>
          <w:color w:val="auto"/>
          <w:sz w:val="22"/>
          <w:szCs w:val="22"/>
        </w:rPr>
        <w:instrText xml:space="preserve"> ADDIN EN.CITE &lt;EndNote&gt;&lt;Cite&gt;&lt;Author&gt;Centers for Disease Control and Prevention&lt;/Author&gt;&lt;Year&gt;2018&lt;/Year&gt;&lt;RecNum&gt;3965&lt;/RecNum&gt;&lt;DisplayText&gt;[17]&lt;/DisplayText&gt;&lt;record&gt;&lt;rec-number&gt;3965&lt;/rec-number&gt;&lt;foreign-keys&gt;&lt;key app="EN" db-id="vvdxppv5i2sdabe5a555atv9t0959pzafv0p" timestamp="1571935725" guid="bca2e058-985e-4cca-add8-74e9e823bce3"&gt;3965&lt;/key&gt;&lt;/foreign-keys&gt;&lt;ref-type name="Report"&gt;27&lt;/ref-type&gt;&lt;contributors&gt;&lt;authors&gt;&lt;author&gt;Centers for Disease Control and Prevention,&lt;/author&gt;&lt;/authors&gt;&lt;/contributors&gt;&lt;titles&gt;&lt;title&gt;Quality Improvement and Care Coordination: Implementing the CDC Guideline for Prescribing Opioids for Chronic Pain&lt;/title&gt;&lt;/titles&gt;&lt;dates&gt;&lt;year&gt;2018&lt;/year&gt;&lt;/dates&gt;&lt;pub-location&gt;Atlanta, GA&lt;/pub-location&gt;&lt;publisher&gt;National Center for Injury Prevention and Control, Division of Unintentional Injury Prevention&lt;/publisher&gt;&lt;urls&gt;&lt;/urls&gt;&lt;/record&gt;&lt;/Cite&gt;&lt;/EndNote&gt;</w:instrText>
      </w:r>
      <w:r w:rsidRPr="005F1F91">
        <w:rPr>
          <w:rFonts w:ascii="Arial" w:hAnsi="Arial" w:cs="Arial"/>
          <w:color w:val="auto"/>
          <w:sz w:val="22"/>
          <w:szCs w:val="22"/>
        </w:rPr>
        <w:fldChar w:fldCharType="separate"/>
      </w:r>
      <w:r>
        <w:rPr>
          <w:rFonts w:ascii="Arial" w:hAnsi="Arial" w:cs="Arial"/>
          <w:noProof/>
          <w:color w:val="auto"/>
          <w:sz w:val="22"/>
          <w:szCs w:val="22"/>
        </w:rPr>
        <w:t>[17]</w:t>
      </w:r>
      <w:r w:rsidRPr="005F1F91">
        <w:rPr>
          <w:rFonts w:ascii="Arial" w:hAnsi="Arial" w:cs="Arial"/>
          <w:color w:val="auto"/>
          <w:sz w:val="22"/>
          <w:szCs w:val="22"/>
        </w:rPr>
        <w:fldChar w:fldCharType="end"/>
      </w:r>
      <w:r w:rsidRPr="005F1F91">
        <w:rPr>
          <w:rFonts w:ascii="Arial" w:hAnsi="Arial" w:cs="Arial"/>
          <w:color w:val="auto"/>
          <w:sz w:val="22"/>
          <w:szCs w:val="22"/>
        </w:rPr>
        <w:t xml:space="preserve">. </w:t>
      </w:r>
    </w:p>
    <w:p w:rsidR="00D07001" w:rsidRPr="005F1F91" w:rsidRDefault="00D07001" w:rsidP="00D07001">
      <w:pPr>
        <w:rPr>
          <w:rFonts w:ascii="Arial" w:eastAsia="Calibri" w:hAnsi="Arial" w:cs="Arial"/>
          <w:sz w:val="22"/>
          <w:szCs w:val="22"/>
        </w:rPr>
      </w:pPr>
    </w:p>
    <w:p w:rsidR="00D07001" w:rsidRPr="005F1F91" w:rsidRDefault="00D07001" w:rsidP="00D07001">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p>
    <w:p w:rsidR="00D07001" w:rsidRPr="005F1F91" w:rsidRDefault="00D07001" w:rsidP="00D07001">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p>
    <w:p w:rsidR="00D07001" w:rsidRPr="005F1F91" w:rsidRDefault="00D07001" w:rsidP="00D07001">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p>
    <w:p w:rsidR="00936933" w:rsidRPr="00D07001" w:rsidRDefault="00936933">
      <w:pPr>
        <w:rPr>
          <w:rFonts w:ascii="Arial" w:eastAsia="Calibri" w:hAnsi="Arial" w:cs="Arial"/>
          <w:sz w:val="22"/>
          <w:szCs w:val="22"/>
        </w:rPr>
      </w:pPr>
    </w:p>
    <w:sectPr w:rsidR="00936933" w:rsidRPr="00D07001" w:rsidSect="005435A0">
      <w:footerReference w:type="even" r:id="rId6"/>
      <w:footerReference w:type="default" r:id="rId7"/>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43"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548030696"/>
      <w:docPartObj>
        <w:docPartGallery w:val="Page Numbers (Bottom of Page)"/>
        <w:docPartUnique/>
      </w:docPartObj>
    </w:sdtPr>
    <w:sdtEndPr>
      <w:rPr>
        <w:rStyle w:val="PageNumber"/>
      </w:rPr>
    </w:sdtEndPr>
    <w:sdtContent>
      <w:p w:rsidR="00DC45EF" w:rsidRDefault="00D07001" w:rsidP="00DC45E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DC45EF" w:rsidRDefault="00D07001" w:rsidP="005435A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652567123"/>
      <w:docPartObj>
        <w:docPartGallery w:val="Page Numbers (Bottom of Page)"/>
        <w:docPartUnique/>
      </w:docPartObj>
    </w:sdtPr>
    <w:sdtEndPr>
      <w:rPr>
        <w:rStyle w:val="PageNumber"/>
      </w:rPr>
    </w:sdtEndPr>
    <w:sdtContent>
      <w:p w:rsidR="00DC45EF" w:rsidRDefault="00D07001" w:rsidP="00DC45E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8</w:t>
        </w:r>
        <w:r>
          <w:rPr>
            <w:rStyle w:val="PageNumber"/>
          </w:rPr>
          <w:fldChar w:fldCharType="end"/>
        </w:r>
      </w:p>
    </w:sdtContent>
  </w:sdt>
  <w:p w:rsidR="00DC45EF" w:rsidRDefault="00D07001" w:rsidP="005435A0">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A011A1E"/>
    <w:multiLevelType w:val="hybridMultilevel"/>
    <w:tmpl w:val="D53E67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7001"/>
    <w:rsid w:val="00936933"/>
    <w:rsid w:val="00D070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EFFCDA"/>
  <w15:chartTrackingRefBased/>
  <w15:docId w15:val="{FE78BCB5-9D98-4A59-8914-5178E3125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7001"/>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uiPriority w:val="34"/>
    <w:qFormat/>
    <w:rsid w:val="00D07001"/>
    <w:pPr>
      <w:pBdr>
        <w:top w:val="nil"/>
        <w:left w:val="nil"/>
        <w:bottom w:val="nil"/>
        <w:right w:val="nil"/>
        <w:between w:val="nil"/>
        <w:bar w:val="nil"/>
      </w:pBdr>
      <w:spacing w:after="0" w:line="240" w:lineRule="auto"/>
      <w:ind w:left="720"/>
    </w:pPr>
    <w:rPr>
      <w:rFonts w:ascii="Calibri" w:eastAsia="Calibri" w:hAnsi="Calibri" w:cs="Calibri"/>
      <w:color w:val="000000"/>
      <w:sz w:val="24"/>
      <w:szCs w:val="24"/>
      <w:u w:color="000000"/>
      <w:bdr w:val="nil"/>
    </w:rPr>
  </w:style>
  <w:style w:type="paragraph" w:styleId="Footer">
    <w:name w:val="footer"/>
    <w:link w:val="FooterChar"/>
    <w:uiPriority w:val="99"/>
    <w:rsid w:val="00D07001"/>
    <w:pPr>
      <w:pBdr>
        <w:top w:val="nil"/>
        <w:left w:val="nil"/>
        <w:bottom w:val="nil"/>
        <w:right w:val="nil"/>
        <w:between w:val="nil"/>
        <w:bar w:val="nil"/>
      </w:pBdr>
      <w:tabs>
        <w:tab w:val="center" w:pos="4680"/>
        <w:tab w:val="right" w:pos="9360"/>
      </w:tabs>
      <w:spacing w:after="0" w:line="240" w:lineRule="auto"/>
    </w:pPr>
    <w:rPr>
      <w:rFonts w:ascii="Calibri" w:eastAsia="Calibri" w:hAnsi="Calibri" w:cs="Calibri"/>
      <w:color w:val="000000"/>
      <w:sz w:val="24"/>
      <w:szCs w:val="24"/>
      <w:u w:color="000000"/>
      <w:bdr w:val="nil"/>
    </w:rPr>
  </w:style>
  <w:style w:type="character" w:customStyle="1" w:styleId="FooterChar">
    <w:name w:val="Footer Char"/>
    <w:basedOn w:val="DefaultParagraphFont"/>
    <w:link w:val="Footer"/>
    <w:uiPriority w:val="99"/>
    <w:rsid w:val="00D07001"/>
    <w:rPr>
      <w:rFonts w:ascii="Calibri" w:eastAsia="Calibri" w:hAnsi="Calibri" w:cs="Calibri"/>
      <w:color w:val="000000"/>
      <w:sz w:val="24"/>
      <w:szCs w:val="24"/>
      <w:u w:color="000000"/>
      <w:bdr w:val="nil"/>
    </w:rPr>
  </w:style>
  <w:style w:type="character" w:styleId="PageNumber">
    <w:name w:val="page number"/>
    <w:basedOn w:val="DefaultParagraphFont"/>
    <w:uiPriority w:val="99"/>
    <w:semiHidden/>
    <w:unhideWhenUsed/>
    <w:rsid w:val="00D07001"/>
  </w:style>
  <w:style w:type="table" w:styleId="TableGrid">
    <w:name w:val="Table Grid"/>
    <w:basedOn w:val="TableNormal"/>
    <w:uiPriority w:val="39"/>
    <w:rsid w:val="00D07001"/>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D07001"/>
    <w:pPr>
      <w:pBdr>
        <w:top w:val="nil"/>
        <w:left w:val="nil"/>
        <w:bottom w:val="nil"/>
        <w:right w:val="nil"/>
        <w:between w:val="nil"/>
        <w:bar w:val="nil"/>
      </w:pBdr>
      <w:spacing w:after="0" w:line="240" w:lineRule="auto"/>
    </w:pPr>
    <w:rPr>
      <w:rFonts w:ascii="Calibri" w:eastAsia="Calibri" w:hAnsi="Calibri" w:cs="Calibri"/>
      <w:color w:val="000000"/>
      <w:sz w:val="24"/>
      <w:szCs w:val="24"/>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1692</Words>
  <Characters>9649</Characters>
  <Application>Microsoft Office Word</Application>
  <DocSecurity>0</DocSecurity>
  <Lines>80</Lines>
  <Paragraphs>22</Paragraphs>
  <ScaleCrop>false</ScaleCrop>
  <Company>Springer Nature</Company>
  <LinksUpToDate>false</LinksUpToDate>
  <CharactersWithSpaces>11319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2020-09-14T10:24:00Z</dcterms:created>
  <dcterms:modified xsi:type="dcterms:W3CDTF">2020-09-14T10:24:00Z</dcterms:modified>
</cp:coreProperties>
</file>