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  <w:rtl w:val="0"/>
        </w:rPr>
        <w:t xml:space="preserve">Supplementary Material</w:t>
      </w:r>
    </w:p>
    <w:p w:rsidR="00000000" w:rsidDel="00000000" w:rsidP="00000000" w:rsidRDefault="00000000" w:rsidRPr="00000000" w14:paraId="00000002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</w:rPr>
        <w:drawing>
          <wp:inline distB="114300" distT="114300" distL="114300" distR="114300">
            <wp:extent cx="5943600" cy="33401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  <w:rtl w:val="0"/>
        </w:rPr>
        <w:t xml:space="preserve">Fig 1 </w:t>
      </w: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  <w:rtl w:val="0"/>
        </w:rPr>
        <w:t xml:space="preserve">Comparison of right and left hippocampal gradients and systems.</w:t>
      </w:r>
    </w:p>
    <w:p w:rsidR="00000000" w:rsidDel="00000000" w:rsidP="00000000" w:rsidRDefault="00000000" w:rsidRPr="00000000" w14:paraId="00000009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</w:rPr>
        <w:drawing>
          <wp:inline distB="114300" distT="114300" distL="114300" distR="114300">
            <wp:extent cx="4260682" cy="6062663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0682" cy="6062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  <w:rtl w:val="0"/>
        </w:rPr>
        <w:t xml:space="preserve">Fig 2 </w:t>
      </w: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  <w:rtl w:val="0"/>
        </w:rPr>
        <w:t xml:space="preserve">Mean neocortical-connectivity (±SD) across subjects for each hippocampal system, along with odds-ratios from the one-versus-rest logistic regression models trained to classify each hippocampal system from all others.</w:t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</w:rPr>
        <w:drawing>
          <wp:inline distB="114300" distT="114300" distL="114300" distR="114300">
            <wp:extent cx="5943600" cy="3340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  <w:rtl w:val="0"/>
        </w:rPr>
        <w:t xml:space="preserve">Fig 3 </w:t>
      </w: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  <w:rtl w:val="0"/>
        </w:rPr>
        <w:t xml:space="preserve">Correlations between age and: surface-area, segregation, and boundary-sharpness for the anterior and body hippocampal systems.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</w:rPr>
        <w:drawing>
          <wp:inline distB="114300" distT="114300" distL="114300" distR="114300">
            <wp:extent cx="5943600" cy="42291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  <w:rtl w:val="0"/>
        </w:rPr>
        <w:t xml:space="preserve">Fig 4 </w:t>
      </w: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  <w:rtl w:val="0"/>
        </w:rPr>
        <w:t xml:space="preserve">Scatterplot illustrating the correlation between segregation and surface-area. Larger networks show lower segregation.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</w:rPr>
        <w:drawing>
          <wp:inline distB="114300" distT="114300" distL="114300" distR="114300">
            <wp:extent cx="2148194" cy="219665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8194" cy="2196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</w:rPr>
        <w:drawing>
          <wp:inline distB="114300" distT="114300" distL="114300" distR="114300">
            <wp:extent cx="2161979" cy="2210746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1979" cy="22107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</w:rPr>
        <w:drawing>
          <wp:inline distB="114300" distT="114300" distL="114300" distR="114300">
            <wp:extent cx="2166628" cy="2215317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8" cy="2215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  <w:rtl w:val="0"/>
        </w:rPr>
        <w:t xml:space="preserve">Fig 5</w:t>
      </w: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  <w:rtl w:val="0"/>
        </w:rPr>
        <w:t xml:space="preserve"> Exact odds-ratios from the one-versus-rest logistic regression models trained to classify each hippocampal system from all others.</w:t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</w:rPr>
        <w:drawing>
          <wp:inline distB="114300" distT="114300" distL="114300" distR="114300">
            <wp:extent cx="5943600" cy="28067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5"/>
          <w:szCs w:val="25"/>
          <w:rtl w:val="0"/>
        </w:rPr>
        <w:t xml:space="preserve">Fig 6 </w:t>
      </w:r>
      <w:r w:rsidDel="00000000" w:rsidR="00000000" w:rsidRPr="00000000">
        <w:rPr>
          <w:rFonts w:ascii="Times New Roman" w:cs="Times New Roman" w:eastAsia="Times New Roman" w:hAnsi="Times New Roman"/>
          <w:sz w:val="25"/>
          <w:szCs w:val="25"/>
          <w:rtl w:val="0"/>
        </w:rPr>
        <w:t xml:space="preserve">Portion of subjects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which each vertex on the hippocampal surface was assigned to the anterior system (left) and body system (right) following precision mapping, overlaid as a heatmap on the right and left template hippocampi. Each hippocampal system (posterior, body. anterior) is shown as an outline on the group-average heatmap.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