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6191D" w14:textId="77777777" w:rsidR="0086176A" w:rsidRPr="0086176A" w:rsidRDefault="0086176A" w:rsidP="0086176A">
      <w:pPr>
        <w:rPr>
          <w:b/>
          <w:bCs/>
          <w:u w:val="single"/>
          <w:lang w:val="en-GB"/>
        </w:rPr>
      </w:pPr>
      <w:r w:rsidRPr="0086176A">
        <w:rPr>
          <w:b/>
          <w:bCs/>
          <w:u w:val="single"/>
          <w:lang w:val="en-GB"/>
        </w:rPr>
        <w:t xml:space="preserve">Supplementary Data: Figures 1 and 2  </w:t>
      </w:r>
    </w:p>
    <w:p w14:paraId="0F7E1F97" w14:textId="77A4F126" w:rsidR="0086176A" w:rsidRPr="0086176A" w:rsidRDefault="0086176A" w:rsidP="0086176A">
      <w:pPr>
        <w:rPr>
          <w:b/>
          <w:bCs/>
          <w:u w:val="single"/>
          <w:lang w:val="en-GB"/>
        </w:rPr>
      </w:pPr>
      <w:r w:rsidRPr="0086176A">
        <w:rPr>
          <w:lang w:val="en-GB"/>
        </w:rPr>
        <w:drawing>
          <wp:anchor distT="0" distB="0" distL="114300" distR="114300" simplePos="0" relativeHeight="251660288" behindDoc="0" locked="0" layoutInCell="1" allowOverlap="1" wp14:anchorId="5E2DBF2C" wp14:editId="4064D750">
            <wp:simplePos x="0" y="0"/>
            <wp:positionH relativeFrom="margin">
              <wp:align>right</wp:align>
            </wp:positionH>
            <wp:positionV relativeFrom="paragraph">
              <wp:posOffset>220980</wp:posOffset>
            </wp:positionV>
            <wp:extent cx="5731510" cy="4518025"/>
            <wp:effectExtent l="0" t="0" r="2540" b="0"/>
            <wp:wrapSquare wrapText="bothSides"/>
            <wp:docPr id="1094240077" name="Picture 4" descr="A collage of graphs and ch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collage of graphs and char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" t="2438" r="2548" b="22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8EA437" w14:textId="77777777" w:rsidR="0086176A" w:rsidRPr="0086176A" w:rsidRDefault="0086176A" w:rsidP="0086176A">
      <w:pPr>
        <w:rPr>
          <w:b/>
          <w:bCs/>
          <w:lang w:val="en-GB"/>
        </w:rPr>
      </w:pPr>
    </w:p>
    <w:p w14:paraId="1F3ED34F" w14:textId="77777777" w:rsidR="0086176A" w:rsidRPr="0086176A" w:rsidRDefault="0086176A" w:rsidP="0086176A">
      <w:pPr>
        <w:rPr>
          <w:lang w:val="en-GB"/>
        </w:rPr>
      </w:pPr>
      <w:r w:rsidRPr="0086176A">
        <w:rPr>
          <w:b/>
          <w:bCs/>
          <w:lang w:val="en-GB"/>
        </w:rPr>
        <w:t xml:space="preserve">Supplementary Figure 1: Concentration- and time-dependent effects of GPCR modulators on human neutrophil shape change. </w:t>
      </w:r>
      <w:r w:rsidRPr="0086176A">
        <w:rPr>
          <w:lang w:val="en-GB"/>
        </w:rPr>
        <w:t xml:space="preserve">(A) An initial concentration-response curve for </w:t>
      </w:r>
      <w:proofErr w:type="spellStart"/>
      <w:r w:rsidRPr="0086176A">
        <w:rPr>
          <w:lang w:val="en-GB"/>
        </w:rPr>
        <w:t>fMLF</w:t>
      </w:r>
      <w:proofErr w:type="spellEnd"/>
      <w:r w:rsidRPr="0086176A">
        <w:rPr>
          <w:lang w:val="en-GB"/>
        </w:rPr>
        <w:t xml:space="preserve"> (an FPR1 agonist) on human neutrophils from one donor, identifying 100nM as an appropriate test concentration for subsequent experiments. (B) Time-course analysis indicating that a 30min pre-incubation with 10µM </w:t>
      </w:r>
      <w:proofErr w:type="spellStart"/>
      <w:r w:rsidRPr="0086176A">
        <w:rPr>
          <w:lang w:val="en-GB"/>
        </w:rPr>
        <w:t>CsH</w:t>
      </w:r>
      <w:proofErr w:type="spellEnd"/>
      <w:r w:rsidRPr="0086176A">
        <w:rPr>
          <w:lang w:val="en-GB"/>
        </w:rPr>
        <w:t xml:space="preserve"> is sufficient to inhibit the </w:t>
      </w:r>
      <w:proofErr w:type="spellStart"/>
      <w:r w:rsidRPr="0086176A">
        <w:rPr>
          <w:lang w:val="en-GB"/>
        </w:rPr>
        <w:t>fMLF</w:t>
      </w:r>
      <w:proofErr w:type="spellEnd"/>
      <w:r w:rsidRPr="0086176A">
        <w:rPr>
          <w:lang w:val="en-GB"/>
        </w:rPr>
        <w:t>-induced shape change response (n=2). (C) Concentration-response and (C) time-course analyses were performed using LTB</w:t>
      </w:r>
      <w:r w:rsidRPr="0086176A">
        <w:rPr>
          <w:vertAlign w:val="subscript"/>
          <w:lang w:val="en-GB"/>
        </w:rPr>
        <w:t>4</w:t>
      </w:r>
      <w:r w:rsidRPr="0086176A">
        <w:rPr>
          <w:lang w:val="en-GB"/>
        </w:rPr>
        <w:t xml:space="preserve"> (1nM and 100nM) to identify the optimal concentration and incubation period for BLT1 activation. The conditions selected for subsequent experiments is indicated with a red </w:t>
      </w:r>
      <w:proofErr w:type="spellStart"/>
      <w:r w:rsidRPr="0086176A">
        <w:rPr>
          <w:lang w:val="en-GB"/>
        </w:rPr>
        <w:t>asterix</w:t>
      </w:r>
      <w:proofErr w:type="spellEnd"/>
      <w:r w:rsidRPr="0086176A">
        <w:rPr>
          <w:lang w:val="en-GB"/>
        </w:rPr>
        <w:t xml:space="preserve"> (*). </w:t>
      </w:r>
    </w:p>
    <w:p w14:paraId="483D44F5" w14:textId="77777777" w:rsidR="0086176A" w:rsidRPr="0086176A" w:rsidRDefault="0086176A" w:rsidP="0086176A">
      <w:pPr>
        <w:rPr>
          <w:b/>
          <w:bCs/>
          <w:lang w:val="en-GB"/>
        </w:rPr>
      </w:pPr>
    </w:p>
    <w:p w14:paraId="718B3AE0" w14:textId="73F0FE70" w:rsidR="0086176A" w:rsidRPr="0086176A" w:rsidRDefault="0086176A" w:rsidP="0086176A">
      <w:pPr>
        <w:rPr>
          <w:b/>
          <w:bCs/>
          <w:lang w:val="en-GB"/>
        </w:rPr>
      </w:pPr>
      <w:r w:rsidRPr="0086176A">
        <w:rPr>
          <w:lang w:val="en-GB"/>
        </w:rPr>
        <w:lastRenderedPageBreak/>
        <w:drawing>
          <wp:anchor distT="0" distB="0" distL="114300" distR="114300" simplePos="0" relativeHeight="251659264" behindDoc="0" locked="0" layoutInCell="1" allowOverlap="1" wp14:anchorId="1C0BD20E" wp14:editId="0C88B769">
            <wp:simplePos x="0" y="0"/>
            <wp:positionH relativeFrom="margin">
              <wp:align>right</wp:align>
            </wp:positionH>
            <wp:positionV relativeFrom="paragraph">
              <wp:posOffset>104775</wp:posOffset>
            </wp:positionV>
            <wp:extent cx="5731510" cy="5947410"/>
            <wp:effectExtent l="0" t="0" r="2540" b="0"/>
            <wp:wrapSquare wrapText="bothSides"/>
            <wp:docPr id="491133667" name="Picture 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" t="499" r="2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47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5E9558" w14:textId="77777777" w:rsidR="0086176A" w:rsidRPr="0086176A" w:rsidRDefault="0086176A" w:rsidP="0086176A">
      <w:pPr>
        <w:rPr>
          <w:b/>
          <w:bCs/>
          <w:lang w:val="en-GB"/>
        </w:rPr>
      </w:pPr>
      <w:r w:rsidRPr="0086176A">
        <w:rPr>
          <w:b/>
          <w:bCs/>
          <w:lang w:val="en-GB"/>
        </w:rPr>
        <w:t xml:space="preserve">Supplementary Figure 2: 5-oxo-ETE triggers rapid, concentration-dependent activation of both human neutrophils and eosinophils.  </w:t>
      </w:r>
      <w:r w:rsidRPr="0086176A">
        <w:rPr>
          <w:lang w:val="en-GB"/>
        </w:rPr>
        <w:t xml:space="preserve">(A) Time-course data of neutrophil (left) and eosinophil (right) shape change following stimulation with 5-oxo-ETE at 1nM, 10nM and 100nM doses, quantified using the FSC-A SD with measurements taken from 2 to 30 minutes post-stimulation. A rapid, concentration-dependent increase in shape change was observed in both cell types at early time points. (B) Representative flow cytometry histograms showing FSC-A shifts in human eosinophils stimulated for 2min with PBS (black), 100nM </w:t>
      </w:r>
      <w:proofErr w:type="spellStart"/>
      <w:r w:rsidRPr="0086176A">
        <w:rPr>
          <w:lang w:val="en-GB"/>
        </w:rPr>
        <w:t>fMLF</w:t>
      </w:r>
      <w:proofErr w:type="spellEnd"/>
      <w:r w:rsidRPr="0086176A">
        <w:rPr>
          <w:lang w:val="en-GB"/>
        </w:rPr>
        <w:t xml:space="preserve"> (red), or 100nM 5-oxo-ETE (blue) indicating a clear increase in shape change with 5-oxo-ETE stimulation. (C) FSC-A histogram plots of eosinophils following 2 minutes stimulation with 1nM, 10nM, and </w:t>
      </w:r>
      <w:r w:rsidRPr="0086176A">
        <w:rPr>
          <w:lang w:val="en-GB"/>
        </w:rPr>
        <w:lastRenderedPageBreak/>
        <w:t xml:space="preserve">100nM 5-oxo-ETE, depicting a concentration-dependent shift in FSC-A consistent with shape change. </w:t>
      </w:r>
    </w:p>
    <w:p w14:paraId="18940F16" w14:textId="77777777" w:rsidR="0086176A" w:rsidRPr="0086176A" w:rsidRDefault="0086176A" w:rsidP="0086176A">
      <w:pPr>
        <w:rPr>
          <w:b/>
          <w:bCs/>
          <w:lang w:val="en-GB"/>
        </w:rPr>
      </w:pPr>
    </w:p>
    <w:p w14:paraId="031388BA" w14:textId="77777777" w:rsidR="0086176A" w:rsidRPr="0086176A" w:rsidRDefault="0086176A" w:rsidP="0086176A">
      <w:pPr>
        <w:rPr>
          <w:b/>
          <w:bCs/>
          <w:lang w:val="en-GB"/>
        </w:rPr>
      </w:pPr>
    </w:p>
    <w:p w14:paraId="1F70F0DC" w14:textId="77777777" w:rsidR="0086176A" w:rsidRPr="0086176A" w:rsidRDefault="0086176A" w:rsidP="0086176A">
      <w:pPr>
        <w:rPr>
          <w:b/>
          <w:bCs/>
          <w:lang w:val="en-GB"/>
        </w:rPr>
      </w:pPr>
    </w:p>
    <w:p w14:paraId="4AD4DE9F" w14:textId="77777777" w:rsidR="0086176A" w:rsidRPr="0086176A" w:rsidRDefault="0086176A" w:rsidP="0086176A">
      <w:pPr>
        <w:rPr>
          <w:b/>
          <w:bCs/>
          <w:lang w:val="en-GB"/>
        </w:rPr>
      </w:pPr>
    </w:p>
    <w:p w14:paraId="5F12704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76A"/>
    <w:rsid w:val="00767E38"/>
    <w:rsid w:val="0086176A"/>
    <w:rsid w:val="00862E35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4E045"/>
  <w15:chartTrackingRefBased/>
  <w15:docId w15:val="{B5A36604-BEAB-4E4E-B313-F1F7E20DF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1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7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7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7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7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7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7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1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1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17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7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17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7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7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2025-09-08T06:55:00Z</dcterms:created>
  <dcterms:modified xsi:type="dcterms:W3CDTF">2025-09-08T06:55:00Z</dcterms:modified>
</cp:coreProperties>
</file>