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114" w:rsidRPr="00547EE3" w:rsidRDefault="00686962" w:rsidP="00A70114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547EE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Development</w:t>
      </w:r>
      <w:r w:rsidR="00A70114" w:rsidRPr="00547EE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of Ni/HTA/Hβ alkane isomerization catalyst with improved selectivity for multi branched isoparaffins</w:t>
      </w:r>
    </w:p>
    <w:p w:rsidR="00A70114" w:rsidRPr="00653EFF" w:rsidRDefault="00A70114" w:rsidP="00A70114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0114" w:rsidRPr="00653EFF" w:rsidRDefault="00A70114" w:rsidP="00A70114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Lijun Zhu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a*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Guosheng</w:t>
      </w:r>
      <w:proofErr w:type="spellEnd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Huang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Shuo</w:t>
      </w:r>
      <w:proofErr w:type="spellEnd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Liu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Xiaohui</w:t>
      </w:r>
      <w:proofErr w:type="spellEnd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Jing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Junwei</w:t>
      </w:r>
      <w:proofErr w:type="spellEnd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Yang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a*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Daohong</w:t>
      </w:r>
      <w:proofErr w:type="spellEnd"/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Xia 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a</w:t>
      </w:r>
    </w:p>
    <w:p w:rsidR="00A70114" w:rsidRPr="00653EFF" w:rsidRDefault="00A70114" w:rsidP="00A70114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a State Key Laboratory of Heavy Oil Processing, College of Chemistry and Chemical Engineering, China University of Petroleum (East China), 66 </w:t>
      </w:r>
      <w:proofErr w:type="spellStart"/>
      <w:r w:rsidRPr="00653EFF">
        <w:rPr>
          <w:rFonts w:ascii="Times New Roman" w:hAnsi="Times New Roman" w:cs="Times New Roman"/>
          <w:color w:val="000000" w:themeColor="text1"/>
          <w:sz w:val="22"/>
          <w:szCs w:val="24"/>
        </w:rPr>
        <w:t>Changjiang</w:t>
      </w:r>
      <w:proofErr w:type="spellEnd"/>
      <w:r w:rsidRPr="00653EFF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West Road, Qingdao, Shandong 266580, China</w:t>
      </w:r>
    </w:p>
    <w:p w:rsidR="00A70114" w:rsidRPr="00653EFF" w:rsidRDefault="00A70114" w:rsidP="00A7011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653EFF">
        <w:rPr>
          <w:rFonts w:ascii="Times New Roman" w:hAnsi="Times New Roman" w:cs="Times New Roman"/>
          <w:color w:val="000000" w:themeColor="text1"/>
        </w:rPr>
        <w:t>* Corresponding author. E-mail address: zhulijun@upc.edu.cn (L. Zhu</w:t>
      </w:r>
      <w:proofErr w:type="gramStart"/>
      <w:r w:rsidRPr="00653EFF">
        <w:rPr>
          <w:rFonts w:ascii="Times New Roman" w:hAnsi="Times New Roman" w:cs="Times New Roman"/>
          <w:color w:val="000000" w:themeColor="text1"/>
        </w:rPr>
        <w:t>) ,</w:t>
      </w:r>
      <w:proofErr w:type="gramEnd"/>
      <w:r w:rsidRPr="00653EFF">
        <w:rPr>
          <w:rFonts w:ascii="Times New Roman" w:hAnsi="Times New Roman" w:cs="Times New Roman"/>
          <w:color w:val="000000" w:themeColor="text1"/>
        </w:rPr>
        <w:t xml:space="preserve"> </w:t>
      </w:r>
      <w:hyperlink r:id="rId6" w:history="1">
        <w:r w:rsidRPr="00653EFF">
          <w:rPr>
            <w:rStyle w:val="a7"/>
            <w:rFonts w:ascii="Times New Roman" w:hAnsi="Times New Roman" w:cs="Times New Roman"/>
            <w:color w:val="000000" w:themeColor="text1"/>
          </w:rPr>
          <w:t>yangjwupc@126.com</w:t>
        </w:r>
      </w:hyperlink>
      <w:r w:rsidRPr="00653EFF">
        <w:rPr>
          <w:rFonts w:ascii="Times New Roman" w:hAnsi="Times New Roman" w:cs="Times New Roman"/>
          <w:color w:val="000000" w:themeColor="text1"/>
        </w:rPr>
        <w:t xml:space="preserve">  (J. Yang).</w:t>
      </w:r>
    </w:p>
    <w:p w:rsidR="00A70114" w:rsidRPr="00653EFF" w:rsidRDefault="00BE18BF" w:rsidP="00A7011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414E5F" w:rsidRPr="00653EFF" w:rsidRDefault="003A4102" w:rsidP="00414E5F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1. </w:t>
      </w:r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Characterization and evaluation methods for samples</w:t>
      </w:r>
    </w:p>
    <w:p w:rsidR="00414E5F" w:rsidRPr="00653EFF" w:rsidRDefault="003A4102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（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1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）</w:t>
      </w:r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The catalyst samples were analyzed by XRD</w:t>
      </w:r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using a D/max IIIA X-ray diffractometer from Japan. The sample was ground fine in an agate mortar, and then pressed into a sample rack for characterization. The Fourier transform infrared spectra (FT-IR) of sample was analyzed using Nicolet 6700 Fourier transform infrared spectrometer with a DTGS </w:t>
      </w:r>
      <w:proofErr w:type="spellStart"/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>KBr</w:t>
      </w:r>
      <w:proofErr w:type="spellEnd"/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detector.</w:t>
      </w:r>
    </w:p>
    <w:p w:rsidR="00414E5F" w:rsidRPr="00653EFF" w:rsidRDefault="003A4102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（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2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）</w:t>
      </w:r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The pyridine adsorbed Fourier transformed infrared (</w:t>
      </w:r>
      <w:proofErr w:type="spellStart"/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Py</w:t>
      </w:r>
      <w:proofErr w:type="spellEnd"/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-FTIR)s</w:t>
      </w:r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pectroscopy was used to determine the surface acidity of the samples by A Nicolet 6700 FTIR Fourier. The sample was contacted with gaseous pyridine at ambient temperature via a separate cell containing pyridine under vacuum for 24 h. Subsequently, the samples were outgassed for 2 h under vacuum conditions to remove </w:t>
      </w:r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lastRenderedPageBreak/>
        <w:t xml:space="preserve">the physically adsorbed pyridine. The transform infrared (FTIR) spectra at different temperature was measured and the </w:t>
      </w:r>
      <w:proofErr w:type="spellStart"/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>KBr</w:t>
      </w:r>
      <w:proofErr w:type="spellEnd"/>
      <w:r w:rsidR="00414E5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technique was used to confirm the structure of the catalyst.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Programmed Temperature Reduction (H2-TPR)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The reduction performance of the catalyst was investigated using a NH3-TPD-TPR experimental device in a nitrogen atmosphere containing 10% hydrogen gas. The 50 mg sample was loaded into a quartz reaction tube with an inner diameter of 4.0mm, and the thermocouple was placed at the location of the sample. The sample was pretreated for 30 minutes at 200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in a helium flow (30mL/min). Then reduce the temperature to below 70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, switch to a mixture of hydrogen and nitrogen, and operate at 70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to stabilize the baseline. Then, the temperature is programmed at a rate of 10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/min, and the current of the thermal conductivity detector is 100mA. The temperature range is 70~700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</w:rPr>
        <w:t>o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>.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Temperature programmed desorption (TPD)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>The NH3-TPD experimental device was used to investigate the acid and acid strength distribution of the catalyst. 50mg samples are installed in a quartz reaction tube with a diameter of 4.0mm. The thermocouple is placed in the position of the sample. Among the 30ml/min, under the condition of 200 degrees, the sample was pre -processed for 30 minutes. Then reduce the temperature to 70 °C, turn into ammonia several times to reach the sample adsorption saturation. And then continue to sweep the sample with helium to the baseline. Then start heating at a rate of 10 ° C/min, 100mA thermal current, and the range of temperature testing is 150-700 ° C.</w:t>
      </w:r>
    </w:p>
    <w:p w:rsidR="00414E5F" w:rsidRPr="00653EFF" w:rsidRDefault="003A4102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lastRenderedPageBreak/>
        <w:t>（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3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）</w:t>
      </w:r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 xml:space="preserve">Nitrogen adsorption-desorption isotherms 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nitrogen adsorption-desorption isotherms were measured to characterize the surface areas and porosity, using a </w:t>
      </w:r>
      <w:proofErr w:type="spellStart"/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>Quantachrome</w:t>
      </w:r>
      <w:proofErr w:type="spellEnd"/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Autosorb-1MP volumetric adsorption analyzer (USA) at −196 ◦C (77 K) with nitrogen as the analysis gas. Samples were degassed at 150 ◦C overnight, followed by 200 ◦C for 6 h before sorption measurements. The surface area was calculated using the </w:t>
      </w:r>
      <w:proofErr w:type="spellStart"/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>Brunauer</w:t>
      </w:r>
      <w:proofErr w:type="spellEnd"/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-Emmett-Teller (BET) method. And the pore size distributions and cumulative pore volumes were obtained using the Density Functional Theory (DFT) methods. </w:t>
      </w:r>
    </w:p>
    <w:p w:rsidR="00414E5F" w:rsidRPr="00653EFF" w:rsidRDefault="003A4102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（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4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）</w:t>
      </w:r>
      <w:r w:rsidR="00414E5F"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Topography analysis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The morphology of catalyst surface was studied by S-4800 SEM (Hitachi Company, Japan). The state of aggregation and diameters of </w:t>
      </w: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catalyst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nanoparticles of catalysts were confirmed by transmission electron microscopy (TEM) micrographs. And a JEM-2100UHR electron microscopy (Japan) with an acceleration voltage of 200 kV was used to record the micrographs.</w:t>
      </w:r>
    </w:p>
    <w:p w:rsidR="00414E5F" w:rsidRPr="00653EFF" w:rsidRDefault="003A4102" w:rsidP="00414E5F">
      <w:pPr>
        <w:spacing w:line="480" w:lineRule="auto"/>
        <w:ind w:firstLineChars="100" w:firstLine="2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（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）</w:t>
      </w:r>
      <w:r w:rsidR="00414E5F"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X-ray photoelectron spectroscopy (XPS)</w:t>
      </w:r>
    </w:p>
    <w:p w:rsidR="00414E5F" w:rsidRPr="00653EFF" w:rsidRDefault="00414E5F" w:rsidP="00414E5F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XPS analysis is analyzed using the Escalab250 X -ray optoelectronics spectrum analyzer from THERMO Scientific. The excitation source is AL K αX rays, with 1486.6 EV energy, and the power is 150 W.</w:t>
      </w:r>
      <w:bookmarkStart w:id="0" w:name="_Toc449742677"/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binding energies correction was performed by assigning a value of 284.6 eV for the C1s line.</w:t>
      </w:r>
    </w:p>
    <w:bookmarkEnd w:id="0"/>
    <w:p w:rsidR="00815D99" w:rsidRPr="00653EFF" w:rsidRDefault="003A4102" w:rsidP="003A4102">
      <w:pPr>
        <w:widowControl/>
        <w:spacing w:line="480" w:lineRule="auto"/>
        <w:ind w:firstLineChars="100" w:firstLine="24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（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）</w:t>
      </w:r>
      <w:r w:rsidR="00815D99"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Catalyst perfor</w:t>
      </w:r>
      <w:r w:rsidR="00815D99" w:rsidRPr="00653EF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x-none" w:eastAsia="x-none"/>
        </w:rPr>
        <w:t>mance evaluation process</w:t>
      </w:r>
    </w:p>
    <w:p w:rsidR="00815D99" w:rsidRPr="00653EFF" w:rsidRDefault="00815D99" w:rsidP="00815D99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</w:pP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The reaction tube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placed in the heating furnace, and the thermocouple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placed in the reaction tube. The reaction pressure of the whole system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controlled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lastRenderedPageBreak/>
        <w:t xml:space="preserve">by the pressure regulator and the back pressure valve, and the hydrogen flow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controlled by the gas mass flowmeter. The reaction material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>s pumped into the reactor by a pulseless plunger pump at a set flow rate. The liquid raw material and gas contact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ed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 on the catalyst in the reaction tube, and the isomerization reaction </w:t>
      </w:r>
      <w:proofErr w:type="spellStart"/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>occur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ed</w:t>
      </w:r>
      <w:proofErr w:type="spellEnd"/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 in the hydrogen atmosphere. The reaction product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>s carried out of the catalyst bed with hydrogen, cooled and separated by a gas-liquid separator, and then the liquid phase is obtained.</w:t>
      </w:r>
    </w:p>
    <w:p w:rsidR="003A4102" w:rsidRPr="00653EFF" w:rsidRDefault="003A4102" w:rsidP="003A4102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x-none"/>
        </w:rPr>
        <w:t>(7) Analysis methods for catalytic reaction products</w:t>
      </w:r>
    </w:p>
    <w:p w:rsidR="00815D99" w:rsidRPr="00653EFF" w:rsidRDefault="00815D99" w:rsidP="00815D99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</w:pP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The products were analyzed by a 6820 GC equipped with a FID and a dimethyl poly siloxane column (column length: 100m, inner diameter: 0.25mm, film thickness: 0.50 μ m). The relative retention was used as qualitative analysis, and the area normalization method was used as the quantitative analysis.</w:t>
      </w:r>
    </w:p>
    <w:p w:rsidR="00815D99" w:rsidRPr="00653EFF" w:rsidRDefault="00815D99" w:rsidP="00815D99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</w:pPr>
      <w:bookmarkStart w:id="1" w:name="OLE_LINK43"/>
      <w:bookmarkStart w:id="2" w:name="OLE_LINK44"/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When a single alkane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used as raw material, the catalytic performance of the catalyst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evaluated by the conversion X of the raw material, the yield Yi of isoparaffins, and the selectivity Si of isoparaffins. The calculation method 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wa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s given in formulas (1), (2) and (3). </w:t>
      </w:r>
    </w:p>
    <w:p w:rsidR="00815D99" w:rsidRPr="00653EFF" w:rsidRDefault="00815D99" w:rsidP="00815D99">
      <w:pPr>
        <w:widowControl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</w:pP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>Specifically, ∑Ai represent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>ed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 the total area of all peaks in the chromatogram, An-C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x-none" w:eastAsia="x-none"/>
        </w:rPr>
        <w:t>6</w:t>
      </w:r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 w:eastAsia="x-none"/>
        </w:rPr>
        <w:t xml:space="preserve"> represented the area of n-hexane, and Ai represented the area of isoparaffins.</w:t>
      </w:r>
    </w:p>
    <w:p w:rsidR="00815D99" w:rsidRPr="00653EFF" w:rsidRDefault="00815D99" w:rsidP="00815D99">
      <w:pPr>
        <w:widowControl/>
        <w:spacing w:line="48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</w:pPr>
      <m:oMath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X=(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kern w:val="0"/>
                <w:sz w:val="24"/>
                <w:szCs w:val="24"/>
                <w:lang w:val="x-none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lang w:val="x-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lang w:val="x-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n-C6</m:t>
                </m:r>
              </m:sub>
            </m:sSub>
          </m:e>
        </m:nary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)/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kern w:val="0"/>
                <w:sz w:val="24"/>
                <w:szCs w:val="24"/>
                <w:lang w:val="x-none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lang w:val="x-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×100%</m:t>
            </m:r>
          </m:e>
        </m:nary>
      </m:oMath>
      <w:r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    (1)</w:t>
      </w:r>
    </w:p>
    <w:p w:rsidR="00815D99" w:rsidRPr="00653EFF" w:rsidRDefault="00522A74" w:rsidP="00815D99">
      <w:pPr>
        <w:widowControl/>
        <w:spacing w:line="48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</w:pPr>
      <m:oMath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S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i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=</m:t>
        </m:r>
        <m:f>
          <m:fPr>
            <m:ctrlP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lang w:val="x-none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i</m:t>
                </m:r>
              </m:sub>
            </m:sSub>
            <m:ctrlPr>
              <w:rPr>
                <w:rFonts w:ascii="Cambria Math" w:hAnsi="Cambria Math" w:cs="Times New Roman"/>
                <w:i/>
                <w:color w:val="000000" w:themeColor="text1"/>
                <w:kern w:val="0"/>
                <w:sz w:val="24"/>
                <w:szCs w:val="24"/>
                <w:lang w:val="x-none"/>
              </w:rPr>
            </m:ctrlP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lang w:val="x-none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kern w:val="0"/>
                    <w:sz w:val="24"/>
                    <w:szCs w:val="24"/>
                    <w:lang w:val="x-non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kern w:val="0"/>
                        <w:sz w:val="24"/>
                        <w:szCs w:val="24"/>
                        <w:lang w:val="x-none"/>
                      </w:rPr>
                      <m:t>n-C6</m:t>
                    </m:r>
                  </m:sub>
                </m:sSub>
              </m:e>
            </m:nary>
          </m:den>
        </m:f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×100%</m:t>
        </m:r>
      </m:oMath>
      <w:r w:rsidR="00815D99"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             (2)</w:t>
      </w:r>
    </w:p>
    <w:p w:rsidR="00815D99" w:rsidRPr="00653EFF" w:rsidRDefault="00522A74" w:rsidP="00815D99">
      <w:pPr>
        <w:widowControl/>
        <w:spacing w:line="48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</w:pPr>
      <m:oMath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Y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i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=X×</m:t>
        </m:r>
        <m:sSub>
          <m:sSubPr>
            <m:ctrlP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S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  <w:kern w:val="0"/>
                <w:sz w:val="24"/>
                <w:szCs w:val="24"/>
                <w:lang w:val="x-none"/>
              </w:rPr>
              <m:t>i</m:t>
            </m:r>
          </m:sub>
        </m:sSub>
        <m:r>
          <m:rPr>
            <m:sty m:val="p"/>
          </m:rPr>
          <w:rPr>
            <w:rFonts w:ascii="Cambria Math" w:eastAsia="宋体" w:hAnsi="Cambria Math" w:cs="Times New Roman"/>
            <w:color w:val="000000" w:themeColor="text1"/>
            <w:kern w:val="0"/>
            <w:sz w:val="24"/>
            <w:szCs w:val="24"/>
            <w:lang w:val="x-none"/>
          </w:rPr>
          <m:t>×100%</m:t>
        </m:r>
      </m:oMath>
      <w:r w:rsidR="00815D99" w:rsidRPr="00653EF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x-none"/>
        </w:rPr>
        <w:t xml:space="preserve">                 (3)</w:t>
      </w:r>
    </w:p>
    <w:bookmarkEnd w:id="1"/>
    <w:bookmarkEnd w:id="2"/>
    <w:p w:rsidR="00E20BE5" w:rsidRPr="00653EFF" w:rsidRDefault="003A4102" w:rsidP="003A4102">
      <w:pPr>
        <w:widowControl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x-none" w:eastAsia="x-none"/>
        </w:rPr>
      </w:pPr>
      <w:r w:rsidRPr="00653EF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x-none" w:eastAsia="x-none"/>
        </w:rPr>
        <w:t xml:space="preserve">2. Characterization of catalyst by </w:t>
      </w:r>
      <w:r w:rsidR="00E20BE5" w:rsidRPr="00653EF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x-none" w:eastAsia="x-none"/>
        </w:rPr>
        <w:t xml:space="preserve">XRD </w:t>
      </w:r>
    </w:p>
    <w:p w:rsidR="00E20BE5" w:rsidRPr="00653EFF" w:rsidRDefault="00E20BE5" w:rsidP="00E20BE5">
      <w:pPr>
        <w:spacing w:line="480" w:lineRule="auto"/>
        <w:ind w:firstLineChars="50" w:firstLine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After evaluating the performance of multiple series of catalysts, it was found that catalysts with 20% heteropoly acid and 2% nickel addition had the best conversion rate and multi branched isoparaffins selectivity. The prepared catalyst Ni-HTA/Hβ (HTA 20%, Ni 2%.) was subjected to phase analysis by XRD. In order to compare the catalyst structure, the XRD of the β zeolite, heteropoly acid and precursor of Ni-HTA/Hβ (Before hydrogen reduction) were also tested. The results are shown in Fig. 1.</w:t>
      </w:r>
    </w:p>
    <w:p w:rsidR="00E20BE5" w:rsidRPr="00653EFF" w:rsidRDefault="00E20BE5" w:rsidP="00E20BE5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object w:dxaOrig="4918" w:dyaOrig="3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35pt;height:172.15pt" o:ole="">
            <v:imagedata r:id="rId7" o:title="" croptop="5476f"/>
          </v:shape>
          <o:OLEObject Type="Embed" ProgID="Origin95.Graph" ShapeID="_x0000_i1025" DrawAspect="Content" ObjectID="_1814876186" r:id="rId8"/>
        </w:object>
      </w:r>
    </w:p>
    <w:p w:rsidR="00E20BE5" w:rsidRPr="00653EFF" w:rsidRDefault="00E20BE5" w:rsidP="00E20BE5">
      <w:pPr>
        <w:pStyle w:val="3"/>
      </w:pPr>
      <w:r w:rsidRPr="00653EFF">
        <w:t xml:space="preserve">Fig. </w:t>
      </w:r>
      <w:r w:rsidR="003A4102" w:rsidRPr="00653EFF">
        <w:t>S</w:t>
      </w:r>
      <w:r w:rsidRPr="00653EFF">
        <w:t xml:space="preserve">1 </w:t>
      </w:r>
      <w:proofErr w:type="gramStart"/>
      <w:r w:rsidRPr="00653EFF">
        <w:t>The</w:t>
      </w:r>
      <w:proofErr w:type="gramEnd"/>
      <w:r w:rsidRPr="00653EFF">
        <w:t xml:space="preserve"> comparison chart of XRD of Hβ and Ni-HTA/Hβ</w:t>
      </w:r>
    </w:p>
    <w:p w:rsidR="00E20BE5" w:rsidRPr="00653EFF" w:rsidRDefault="00E20BE5" w:rsidP="00D2455A">
      <w:pPr>
        <w:autoSpaceDE w:val="0"/>
        <w:autoSpaceDN w:val="0"/>
        <w:adjustRightInd w:val="0"/>
        <w:spacing w:line="480" w:lineRule="auto"/>
        <w:ind w:firstLineChars="100" w:firstLine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can be seen from Fig. 1, the HTA has strong diffraction peaks in the 4 ranges of 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9°~11°, 15°~ 23°, 26°~ 30°, and 35°~ 38°, which is consistent with the characterization of heteropoly acids in literature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 [</w:t>
      </w:r>
      <w:r w:rsidR="00653EFF"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indicating that this compound has the skeleton characteristics of Keggin structure. The XRD patterns of oxidation state and reduction state of Ni-HTA/Hβ and the Hβ are compared, and no obvious diffraction peaks of HTA and </w:t>
      </w:r>
      <w:proofErr w:type="spellStart"/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NiO</w:t>
      </w:r>
      <w:proofErr w:type="spellEnd"/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are found in the XRD patterns of the Ni-HTA/Hβ, which indicates that the nickel active components and HTA are uniformly dispersed on the surface of the carrier, rather than existing in the form of crystals.</w:t>
      </w:r>
    </w:p>
    <w:p w:rsidR="00414E5F" w:rsidRPr="00653EFF" w:rsidRDefault="003A4102" w:rsidP="003A4102">
      <w:pPr>
        <w:widowControl/>
        <w:spacing w:line="480" w:lineRule="auto"/>
        <w:ind w:firstLineChars="100" w:firstLine="2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3E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Supplement Figures of SEM and TEM</w:t>
      </w:r>
    </w:p>
    <w:p w:rsidR="00A70114" w:rsidRPr="00653EFF" w:rsidRDefault="00A70114">
      <w:pPr>
        <w:rPr>
          <w:rFonts w:ascii="Times New Roman" w:hAnsi="Times New Roman" w:cs="Times New Roman"/>
        </w:rPr>
      </w:pPr>
    </w:p>
    <w:p w:rsidR="00A70114" w:rsidRPr="00653EFF" w:rsidRDefault="00A70114">
      <w:pPr>
        <w:rPr>
          <w:rFonts w:ascii="Times New Roman" w:hAnsi="Times New Roman" w:cs="Times New Roman"/>
        </w:rPr>
      </w:pPr>
      <w:r w:rsidRPr="00653EFF">
        <w:rPr>
          <w:rFonts w:ascii="Times New Roman" w:hAnsi="Times New Roman" w:cs="Times New Roman"/>
          <w:noProof/>
        </w:rPr>
        <w:drawing>
          <wp:inline distT="0" distB="0" distL="0" distR="0">
            <wp:extent cx="4960882" cy="3720662"/>
            <wp:effectExtent l="0" t="0" r="0" b="0"/>
            <wp:docPr id="1" name="图片 1" descr="F:\B3随身文档\论文撰写\杂多酸异构化催化剂\SEM\1807276586\1807276586\zhu li jun\A-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3随身文档\论文撰写\杂多酸异构化催化剂\SEM\1807276586\1807276586\zhu li jun\A-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54" cy="37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2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SEM of image of Ni-HTA/Hβ with scale of 100 nm</w:t>
      </w:r>
    </w:p>
    <w:p w:rsidR="00585C70" w:rsidRPr="00653EFF" w:rsidRDefault="00585C70">
      <w:pPr>
        <w:rPr>
          <w:rFonts w:ascii="Times New Roman" w:hAnsi="Times New Roman" w:cs="Times New Roman"/>
        </w:rPr>
      </w:pPr>
    </w:p>
    <w:p w:rsidR="00A70114" w:rsidRPr="00653EFF" w:rsidRDefault="00A70114">
      <w:pPr>
        <w:rPr>
          <w:rFonts w:ascii="Times New Roman" w:hAnsi="Times New Roman" w:cs="Times New Roman"/>
        </w:rPr>
      </w:pPr>
      <w:r w:rsidRPr="00653EFF">
        <w:rPr>
          <w:rFonts w:ascii="Times New Roman" w:hAnsi="Times New Roman" w:cs="Times New Roman"/>
          <w:noProof/>
        </w:rPr>
        <w:drawing>
          <wp:inline distT="0" distB="0" distL="0" distR="0">
            <wp:extent cx="4792717" cy="3594538"/>
            <wp:effectExtent l="0" t="0" r="8255" b="6350"/>
            <wp:docPr id="2" name="图片 2" descr="F:\B3随身文档\论文撰写\杂多酸异构化催化剂\SEM\1807276586\1807276586\zhu li jun\A-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3随身文档\论文撰写\杂多酸异构化催化剂\SEM\1807276586\1807276586\zhu li jun\A-0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88" cy="35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3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SEM of image of Ni-HTA/Hβ with scale of 1 μm</w:t>
      </w:r>
    </w:p>
    <w:p w:rsidR="00A70114" w:rsidRPr="00653EFF" w:rsidRDefault="00A70114">
      <w:pPr>
        <w:rPr>
          <w:rFonts w:ascii="Times New Roman" w:hAnsi="Times New Roman" w:cs="Times New Roman"/>
        </w:rPr>
      </w:pPr>
      <w:r w:rsidRPr="00653EF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09849" cy="3909849"/>
            <wp:effectExtent l="0" t="0" r="0" b="0"/>
            <wp:docPr id="3" name="图片 3" descr="F:\B3随身文档\论文撰写\杂多酸异构化催化剂\TEM 电镜分析\1805075719\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3随身文档\论文撰写\杂多酸异构化催化剂\TEM 电镜分析\1805075719\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22" cy="39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4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TEM of image of Ni-HTA/Hβ with scale of 1 μm</w:t>
      </w:r>
    </w:p>
    <w:p w:rsidR="00585C70" w:rsidRPr="00653EFF" w:rsidRDefault="00585C70">
      <w:pPr>
        <w:rPr>
          <w:rFonts w:ascii="Times New Roman" w:hAnsi="Times New Roman" w:cs="Times New Roman"/>
        </w:rPr>
      </w:pPr>
    </w:p>
    <w:p w:rsidR="00A70114" w:rsidRPr="00653EFF" w:rsidRDefault="00A70114">
      <w:pPr>
        <w:rPr>
          <w:rFonts w:ascii="Times New Roman" w:hAnsi="Times New Roman" w:cs="Times New Roman"/>
        </w:rPr>
      </w:pPr>
      <w:r w:rsidRPr="00653EFF">
        <w:rPr>
          <w:rFonts w:ascii="Times New Roman" w:hAnsi="Times New Roman" w:cs="Times New Roman"/>
          <w:noProof/>
        </w:rPr>
        <w:drawing>
          <wp:inline distT="0" distB="0" distL="0" distR="0">
            <wp:extent cx="3846786" cy="3846786"/>
            <wp:effectExtent l="0" t="0" r="1905" b="1905"/>
            <wp:docPr id="4" name="图片 4" descr="F:\B3随身文档\论文撰写\杂多酸异构化催化剂\TEM 电镜分析\1805075719\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3随身文档\论文撰写\杂多酸异构化催化剂\TEM 电镜分析\1805075719\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78" cy="38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5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TEM of image of Ni-HTA/Hβ with scale of 0.2 μm</w:t>
      </w:r>
    </w:p>
    <w:p w:rsidR="00585C70" w:rsidRPr="00653EFF" w:rsidRDefault="00585C70">
      <w:pPr>
        <w:rPr>
          <w:rFonts w:ascii="Times New Roman" w:hAnsi="Times New Roman" w:cs="Times New Roman"/>
        </w:rPr>
      </w:pPr>
    </w:p>
    <w:p w:rsidR="00585C70" w:rsidRPr="00653EFF" w:rsidRDefault="00A70114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3EFF">
        <w:rPr>
          <w:rFonts w:ascii="Times New Roman" w:hAnsi="Times New Roman" w:cs="Times New Roman"/>
          <w:noProof/>
        </w:rPr>
        <w:drawing>
          <wp:inline distT="0" distB="0" distL="0" distR="0">
            <wp:extent cx="3909849" cy="3909849"/>
            <wp:effectExtent l="0" t="0" r="0" b="0"/>
            <wp:docPr id="5" name="图片 5" descr="F:\B3随身文档\论文撰写\杂多酸异构化催化剂\TEM 电镜分析\1805075719\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3随身文档\论文撰写\杂多酸异构化催化剂\TEM 电镜分析\1805075719\1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26" cy="39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6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TEM of image of Ni-HTA/Hβ with scale of 50 nm</w:t>
      </w:r>
    </w:p>
    <w:p w:rsidR="00585C70" w:rsidRPr="00653EFF" w:rsidRDefault="00A70114" w:rsidP="00585C70">
      <w:pPr>
        <w:ind w:left="630" w:hangingChars="300" w:hanging="63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3EFF">
        <w:rPr>
          <w:rFonts w:ascii="Times New Roman" w:hAnsi="Times New Roman" w:cs="Times New Roman"/>
          <w:noProof/>
        </w:rPr>
        <w:drawing>
          <wp:inline distT="0" distB="0" distL="0" distR="0">
            <wp:extent cx="3815255" cy="3815255"/>
            <wp:effectExtent l="0" t="0" r="0" b="0"/>
            <wp:docPr id="6" name="图片 6" descr="F:\B3随身文档\论文撰写\杂多酸异构化催化剂\TEM 电镜分析\1805075719\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3随身文档\论文撰写\杂多酸异构化催化剂\TEM 电镜分析\1805075719\1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65" cy="38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7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TEM of image of Ni-HTA/Hβ with scale of 20 nm</w:t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:rsidR="00585C70" w:rsidRPr="00653EFF" w:rsidRDefault="00A70114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3E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5274310"/>
            <wp:effectExtent l="0" t="0" r="2540" b="2540"/>
            <wp:docPr id="7" name="图片 7" descr="F:\B3随身文档\论文撰写\杂多酸异构化催化剂\TEM 电镜分析\1805075719\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3随身文档\论文撰写\杂多酸异构化催化剂\TEM 电镜分析\1805075719\1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E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C70" w:rsidRPr="00653EFF" w:rsidRDefault="00585C70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Fig S</w:t>
      </w:r>
      <w:r w:rsidR="003A4102"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8</w:t>
      </w:r>
      <w:r w:rsidRPr="00653EFF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. The TEM of image of Ni-HTA/Hβ with scale of 10 nm</w:t>
      </w:r>
    </w:p>
    <w:p w:rsidR="003A4102" w:rsidRPr="00653EFF" w:rsidRDefault="003A4102" w:rsidP="003A410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32"/>
        </w:rPr>
      </w:pPr>
      <w:r w:rsidRPr="00653EFF">
        <w:rPr>
          <w:rFonts w:ascii="Times New Roman" w:hAnsi="Times New Roman" w:cs="Times New Roman"/>
          <w:b/>
          <w:color w:val="000000" w:themeColor="text1"/>
          <w:sz w:val="32"/>
        </w:rPr>
        <w:t xml:space="preserve">4. Supplement tables </w:t>
      </w:r>
    </w:p>
    <w:p w:rsidR="00797107" w:rsidRPr="00653EFF" w:rsidRDefault="00797107" w:rsidP="00797107">
      <w:pPr>
        <w:pStyle w:val="3"/>
      </w:pPr>
      <w:r w:rsidRPr="00653EFF">
        <w:t xml:space="preserve">Table </w:t>
      </w:r>
      <w:r w:rsidR="003A4102" w:rsidRPr="00653EFF">
        <w:rPr>
          <w:rFonts w:hint="eastAsia"/>
        </w:rPr>
        <w:t>S</w:t>
      </w:r>
      <w:r w:rsidRPr="00653EFF">
        <w:t xml:space="preserve">1 </w:t>
      </w:r>
      <w:proofErr w:type="gramStart"/>
      <w:r w:rsidRPr="00653EFF">
        <w:t>The</w:t>
      </w:r>
      <w:proofErr w:type="gramEnd"/>
      <w:r w:rsidRPr="00653EFF">
        <w:t xml:space="preserve"> research Octane Number (RON) of typical hydrocarbons</w:t>
      </w:r>
    </w:p>
    <w:tbl>
      <w:tblPr>
        <w:tblW w:w="769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731"/>
        <w:gridCol w:w="2528"/>
        <w:gridCol w:w="2155"/>
      </w:tblGrid>
      <w:tr w:rsidR="00797107" w:rsidRPr="00653EFF" w:rsidTr="0010273E">
        <w:trPr>
          <w:trHeight w:val="320"/>
          <w:jc w:val="center"/>
        </w:trPr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Carbon number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hydrocarbon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RON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Alkane</w:t>
            </w:r>
          </w:p>
        </w:tc>
        <w:tc>
          <w:tcPr>
            <w:tcW w:w="2528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N-pentane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2-Methylbutane</w:t>
            </w:r>
          </w:p>
        </w:tc>
        <w:tc>
          <w:tcPr>
            <w:tcW w:w="2155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2,2-dimethylpropane</w:t>
            </w: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Olefin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1-Pentene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Alkane</w:t>
            </w:r>
          </w:p>
        </w:tc>
        <w:tc>
          <w:tcPr>
            <w:tcW w:w="2528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hexane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797107" w:rsidRPr="00653EFF" w:rsidTr="0010273E">
        <w:trPr>
          <w:trHeight w:val="320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2-methylpentane</w:t>
            </w:r>
          </w:p>
        </w:tc>
        <w:tc>
          <w:tcPr>
            <w:tcW w:w="2155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2,2-dimethylbutane</w:t>
            </w: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 w:val="restart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Olefin</w:t>
            </w:r>
          </w:p>
        </w:tc>
        <w:tc>
          <w:tcPr>
            <w:tcW w:w="2528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1-hexene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4-Methyl-2-pentene</w:t>
            </w:r>
          </w:p>
        </w:tc>
        <w:tc>
          <w:tcPr>
            <w:tcW w:w="2155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Aromatics</w:t>
            </w: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benzene</w:t>
            </w: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&gt;100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Alkane</w:t>
            </w:r>
          </w:p>
        </w:tc>
        <w:tc>
          <w:tcPr>
            <w:tcW w:w="2528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heptane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2,2-dimethylpentane</w:t>
            </w:r>
          </w:p>
        </w:tc>
        <w:tc>
          <w:tcPr>
            <w:tcW w:w="2155" w:type="dxa"/>
            <w:tcBorders>
              <w:top w:val="nil"/>
              <w:bottom w:val="nil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2,2,3-dimethylbutane</w:t>
            </w: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Olefin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heptene</w:t>
            </w:r>
          </w:p>
        </w:tc>
        <w:tc>
          <w:tcPr>
            <w:tcW w:w="2155" w:type="dxa"/>
            <w:tcBorders>
              <w:top w:val="single" w:sz="4" w:space="0" w:color="auto"/>
            </w:tcBorders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</w:tr>
      <w:tr w:rsidR="00797107" w:rsidRPr="00653EFF" w:rsidTr="0010273E">
        <w:trPr>
          <w:trHeight w:val="332"/>
          <w:jc w:val="center"/>
        </w:trPr>
        <w:tc>
          <w:tcPr>
            <w:tcW w:w="1278" w:type="dxa"/>
            <w:vMerge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Aromatics</w:t>
            </w:r>
          </w:p>
        </w:tc>
        <w:tc>
          <w:tcPr>
            <w:tcW w:w="2528" w:type="dxa"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toluene</w:t>
            </w:r>
          </w:p>
        </w:tc>
        <w:tc>
          <w:tcPr>
            <w:tcW w:w="2155" w:type="dxa"/>
            <w:vAlign w:val="center"/>
          </w:tcPr>
          <w:p w:rsidR="00797107" w:rsidRPr="00653EFF" w:rsidRDefault="00797107" w:rsidP="001027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&gt;100</w:t>
            </w:r>
          </w:p>
        </w:tc>
      </w:tr>
    </w:tbl>
    <w:p w:rsidR="005A54D7" w:rsidRPr="00653EFF" w:rsidRDefault="005A54D7" w:rsidP="005A54D7">
      <w:pPr>
        <w:pStyle w:val="3"/>
      </w:pPr>
    </w:p>
    <w:p w:rsidR="005A54D7" w:rsidRPr="00653EFF" w:rsidRDefault="005A54D7" w:rsidP="005A54D7">
      <w:pPr>
        <w:pStyle w:val="3"/>
      </w:pPr>
      <w:r w:rsidRPr="00653EFF">
        <w:t xml:space="preserve">Table </w:t>
      </w:r>
      <w:r w:rsidR="003A4102" w:rsidRPr="00653EFF">
        <w:rPr>
          <w:rFonts w:hint="eastAsia"/>
        </w:rPr>
        <w:t>S</w:t>
      </w:r>
      <w:r w:rsidRPr="00653EFF">
        <w:t>2 Texture analysis results</w:t>
      </w:r>
    </w:p>
    <w:tbl>
      <w:tblPr>
        <w:tblStyle w:val="1"/>
        <w:tblW w:w="5160" w:type="pct"/>
        <w:jc w:val="center"/>
        <w:tblLook w:val="04A0" w:firstRow="1" w:lastRow="0" w:firstColumn="1" w:lastColumn="0" w:noHBand="0" w:noVBand="1"/>
      </w:tblPr>
      <w:tblGrid>
        <w:gridCol w:w="1397"/>
        <w:gridCol w:w="1394"/>
        <w:gridCol w:w="1795"/>
        <w:gridCol w:w="1492"/>
        <w:gridCol w:w="2494"/>
      </w:tblGrid>
      <w:tr w:rsidR="005A54D7" w:rsidRPr="00653EFF" w:rsidTr="00102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  <w:jc w:val="center"/>
        </w:trPr>
        <w:tc>
          <w:tcPr>
            <w:tcW w:w="815" w:type="pct"/>
            <w:vAlign w:val="center"/>
          </w:tcPr>
          <w:p w:rsidR="005A54D7" w:rsidRPr="00653EFF" w:rsidRDefault="005A54D7" w:rsidP="005A54D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sample</w:t>
            </w:r>
          </w:p>
        </w:tc>
        <w:tc>
          <w:tcPr>
            <w:tcW w:w="813" w:type="pct"/>
            <w:vAlign w:val="center"/>
          </w:tcPr>
          <w:p w:rsidR="005A54D7" w:rsidRPr="00653EFF" w:rsidRDefault="005A54D7" w:rsidP="005A54D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BET/(m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/g)</w:t>
            </w:r>
          </w:p>
        </w:tc>
        <w:tc>
          <w:tcPr>
            <w:tcW w:w="1047" w:type="pct"/>
            <w:vAlign w:val="center"/>
          </w:tcPr>
          <w:p w:rsidR="005A54D7" w:rsidRPr="00653EFF" w:rsidRDefault="005A54D7" w:rsidP="005A54D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Vmp.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  <w:proofErr w:type="spellEnd"/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/(cm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/g) 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70" w:type="pct"/>
            <w:vAlign w:val="center"/>
          </w:tcPr>
          <w:p w:rsidR="005A54D7" w:rsidRPr="00653EFF" w:rsidRDefault="005A54D7" w:rsidP="005A54D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VT.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b</w:t>
            </w:r>
            <w:proofErr w:type="spellEnd"/>
            <w:proofErr w:type="gramEnd"/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/(cm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/g)</w:t>
            </w:r>
          </w:p>
        </w:tc>
        <w:tc>
          <w:tcPr>
            <w:tcW w:w="1455" w:type="pct"/>
            <w:vAlign w:val="center"/>
          </w:tcPr>
          <w:p w:rsidR="005A54D7" w:rsidRPr="00653EFF" w:rsidRDefault="005A54D7" w:rsidP="005A54D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Median pore width /nm</w:t>
            </w:r>
          </w:p>
        </w:tc>
      </w:tr>
      <w:tr w:rsidR="005A54D7" w:rsidRPr="00653EFF" w:rsidTr="0010273E">
        <w:trPr>
          <w:trHeight w:val="193"/>
          <w:jc w:val="center"/>
        </w:trPr>
        <w:tc>
          <w:tcPr>
            <w:tcW w:w="81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bCs/>
                <w:color w:val="000000" w:themeColor="text1"/>
                <w:sz w:val="24"/>
                <w:szCs w:val="24"/>
              </w:rPr>
              <w:t>Hβ</w:t>
            </w:r>
          </w:p>
        </w:tc>
        <w:tc>
          <w:tcPr>
            <w:tcW w:w="813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645.29</w:t>
            </w:r>
          </w:p>
        </w:tc>
        <w:tc>
          <w:tcPr>
            <w:tcW w:w="1047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0.23</w:t>
            </w:r>
          </w:p>
        </w:tc>
        <w:tc>
          <w:tcPr>
            <w:tcW w:w="870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0.39</w:t>
            </w:r>
          </w:p>
        </w:tc>
        <w:tc>
          <w:tcPr>
            <w:tcW w:w="145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0.880</w:t>
            </w:r>
          </w:p>
        </w:tc>
      </w:tr>
      <w:tr w:rsidR="005A54D7" w:rsidRPr="00653EFF" w:rsidTr="0010273E">
        <w:trPr>
          <w:trHeight w:val="223"/>
          <w:jc w:val="center"/>
        </w:trPr>
        <w:tc>
          <w:tcPr>
            <w:tcW w:w="81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bCs/>
                <w:color w:val="000000" w:themeColor="text1"/>
                <w:sz w:val="24"/>
                <w:szCs w:val="24"/>
              </w:rPr>
              <w:t>Ni/Hβ</w:t>
            </w:r>
          </w:p>
        </w:tc>
        <w:tc>
          <w:tcPr>
            <w:tcW w:w="813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490.74</w:t>
            </w:r>
          </w:p>
        </w:tc>
        <w:tc>
          <w:tcPr>
            <w:tcW w:w="1047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0.18</w:t>
            </w:r>
          </w:p>
        </w:tc>
        <w:tc>
          <w:tcPr>
            <w:tcW w:w="870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0.33</w:t>
            </w:r>
          </w:p>
        </w:tc>
        <w:tc>
          <w:tcPr>
            <w:tcW w:w="145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0.823</w:t>
            </w:r>
          </w:p>
        </w:tc>
      </w:tr>
      <w:tr w:rsidR="005A54D7" w:rsidRPr="00653EFF" w:rsidTr="0010273E">
        <w:trPr>
          <w:trHeight w:val="224"/>
          <w:jc w:val="center"/>
        </w:trPr>
        <w:tc>
          <w:tcPr>
            <w:tcW w:w="81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653EF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Ni-HTA/H</w:t>
            </w:r>
            <w:r w:rsidRPr="00653EF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l-GR"/>
              </w:rPr>
              <w:t>β</w:t>
            </w:r>
          </w:p>
        </w:tc>
        <w:tc>
          <w:tcPr>
            <w:tcW w:w="813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311.53</w:t>
            </w:r>
          </w:p>
        </w:tc>
        <w:tc>
          <w:tcPr>
            <w:tcW w:w="1047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0.12</w:t>
            </w:r>
          </w:p>
        </w:tc>
        <w:tc>
          <w:tcPr>
            <w:tcW w:w="870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0.21</w:t>
            </w:r>
          </w:p>
        </w:tc>
        <w:tc>
          <w:tcPr>
            <w:tcW w:w="1455" w:type="pct"/>
            <w:vAlign w:val="center"/>
          </w:tcPr>
          <w:p w:rsidR="005A54D7" w:rsidRPr="00653EFF" w:rsidRDefault="005A54D7" w:rsidP="005A54D7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653EFF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0.642</w:t>
            </w:r>
          </w:p>
        </w:tc>
      </w:tr>
    </w:tbl>
    <w:p w:rsidR="005A54D7" w:rsidRPr="00653EFF" w:rsidRDefault="005A54D7" w:rsidP="005A54D7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a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Micropore volume as determined by t-plot and normalized per gram of support.</w:t>
      </w:r>
    </w:p>
    <w:p w:rsidR="005A54D7" w:rsidRPr="00653EFF" w:rsidRDefault="005A54D7" w:rsidP="005A54D7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b </w:t>
      </w:r>
      <w:r w:rsidRPr="00653EF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Total pore volume.</w:t>
      </w:r>
    </w:p>
    <w:p w:rsidR="005A54D7" w:rsidRPr="00653EFF" w:rsidRDefault="005A54D7" w:rsidP="005A54D7">
      <w:pPr>
        <w:pStyle w:val="3"/>
      </w:pPr>
    </w:p>
    <w:p w:rsidR="005A54D7" w:rsidRPr="00653EFF" w:rsidRDefault="005A54D7" w:rsidP="005A54D7">
      <w:pPr>
        <w:pStyle w:val="3"/>
      </w:pPr>
      <w:r w:rsidRPr="00653EFF">
        <w:t xml:space="preserve">Table </w:t>
      </w:r>
      <w:r w:rsidR="003A4102" w:rsidRPr="00653EFF">
        <w:rPr>
          <w:rFonts w:hint="eastAsia"/>
        </w:rPr>
        <w:t>S</w:t>
      </w:r>
      <w:r w:rsidRPr="00653EFF">
        <w:t>3 Atomic concentration table from XPS</w:t>
      </w:r>
    </w:p>
    <w:tbl>
      <w:tblPr>
        <w:tblW w:w="855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962"/>
        <w:gridCol w:w="1132"/>
        <w:gridCol w:w="2457"/>
        <w:gridCol w:w="1517"/>
        <w:gridCol w:w="1745"/>
      </w:tblGrid>
      <w:tr w:rsidR="005A54D7" w:rsidRPr="00653EFF" w:rsidTr="0010273E">
        <w:trPr>
          <w:trHeight w:val="271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Name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Peak BE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Atomic 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Individual atomic weight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Atomic weight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mass fraction /%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W4f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35.42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0.86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157.38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7.4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Si2p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102.4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25.99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727.72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34.3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P2p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134.0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0.13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4.03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0.2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Mo3d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231.2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0.79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75.84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3.6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C1s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284.8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7.01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84.12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4.0</w:t>
            </w:r>
          </w:p>
        </w:tc>
      </w:tr>
      <w:tr w:rsidR="005A54D7" w:rsidRPr="00653EFF" w:rsidTr="0010273E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O1s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531.9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64.51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1032.16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48.6</w:t>
            </w:r>
          </w:p>
        </w:tc>
      </w:tr>
      <w:tr w:rsidR="005A54D7" w:rsidRPr="003A4102" w:rsidTr="0010273E">
        <w:trPr>
          <w:trHeight w:val="271"/>
        </w:trPr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Cs w:val="21"/>
              </w:rPr>
              <w:t>Ni2p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856.2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0.72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653EFF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42.48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A54D7" w:rsidRPr="003A4102" w:rsidRDefault="005A54D7" w:rsidP="005A54D7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</w:pPr>
            <w:r w:rsidRPr="00653EFF">
              <w:rPr>
                <w:rFonts w:ascii="Times New Roman" w:eastAsia="等线" w:hAnsi="Times New Roman" w:cs="Times New Roman"/>
                <w:color w:val="000000" w:themeColor="text1"/>
                <w:kern w:val="0"/>
                <w:szCs w:val="21"/>
              </w:rPr>
              <w:t>2.0</w:t>
            </w:r>
          </w:p>
        </w:tc>
      </w:tr>
    </w:tbl>
    <w:p w:rsidR="00653EFF" w:rsidRDefault="00653EFF" w:rsidP="00653EFF">
      <w:pPr>
        <w:spacing w:line="480" w:lineRule="auto"/>
        <w:jc w:val="left"/>
        <w:rPr>
          <w:rStyle w:val="title-text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653EFF" w:rsidRPr="007C21DC" w:rsidRDefault="00653EFF" w:rsidP="00653EFF">
      <w:pPr>
        <w:pStyle w:val="a8"/>
        <w:spacing w:line="480" w:lineRule="auto"/>
        <w:ind w:firstLineChars="83"/>
        <w:rPr>
          <w:b/>
          <w:color w:val="000000" w:themeColor="text1"/>
          <w:szCs w:val="24"/>
          <w:lang w:val="en-US" w:eastAsia="zh-CN"/>
        </w:rPr>
      </w:pPr>
      <w:r w:rsidRPr="007C21DC">
        <w:rPr>
          <w:b/>
          <w:color w:val="000000" w:themeColor="text1"/>
          <w:szCs w:val="24"/>
          <w:lang w:val="en-US" w:eastAsia="zh-CN"/>
        </w:rPr>
        <w:lastRenderedPageBreak/>
        <w:t>Reference</w:t>
      </w:r>
    </w:p>
    <w:p w:rsidR="00653EFF" w:rsidRPr="007C21DC" w:rsidRDefault="00653EFF" w:rsidP="00653EFF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53EFF">
        <w:rPr>
          <w:rStyle w:val="title-text"/>
          <w:rFonts w:ascii="Times New Roman" w:hAnsi="Times New Roman" w:cs="Times New Roman"/>
          <w:color w:val="000000" w:themeColor="text1"/>
          <w:sz w:val="18"/>
          <w:szCs w:val="18"/>
        </w:rPr>
        <w:t>[1] Han X.X, Jiang S.C, Chen Z.Y, et al. Highly active sulfonic ionic liquid modified heteropoly acid composite catalysts for efficient production of ethyl palmitate. Renewable Energy 2023; 215: 118918.</w:t>
      </w:r>
      <w:r w:rsidRPr="007C21DC">
        <w:rPr>
          <w:rStyle w:val="title-text"/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3453B2">
        <w:rPr>
          <w:rStyle w:val="title-text"/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bookmarkStart w:id="3" w:name="_GoBack"/>
      <w:bookmarkEnd w:id="3"/>
    </w:p>
    <w:p w:rsidR="005A54D7" w:rsidRPr="003A4102" w:rsidRDefault="005A54D7" w:rsidP="00585C70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sectPr w:rsidR="005A54D7" w:rsidRPr="003A41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A74" w:rsidRDefault="00522A74" w:rsidP="00A70114">
      <w:r>
        <w:separator/>
      </w:r>
    </w:p>
  </w:endnote>
  <w:endnote w:type="continuationSeparator" w:id="0">
    <w:p w:rsidR="00522A74" w:rsidRDefault="00522A74" w:rsidP="00A70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A74" w:rsidRDefault="00522A74" w:rsidP="00A70114">
      <w:r>
        <w:separator/>
      </w:r>
    </w:p>
  </w:footnote>
  <w:footnote w:type="continuationSeparator" w:id="0">
    <w:p w:rsidR="00522A74" w:rsidRDefault="00522A74" w:rsidP="00A701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372"/>
    <w:rsid w:val="000E6F89"/>
    <w:rsid w:val="00137147"/>
    <w:rsid w:val="003453B2"/>
    <w:rsid w:val="003A4102"/>
    <w:rsid w:val="00414E5F"/>
    <w:rsid w:val="004B4633"/>
    <w:rsid w:val="004D3D42"/>
    <w:rsid w:val="00522A74"/>
    <w:rsid w:val="00547EE3"/>
    <w:rsid w:val="00585C70"/>
    <w:rsid w:val="005A54D7"/>
    <w:rsid w:val="00653EFF"/>
    <w:rsid w:val="00686962"/>
    <w:rsid w:val="00742372"/>
    <w:rsid w:val="00797107"/>
    <w:rsid w:val="00815D99"/>
    <w:rsid w:val="008A3700"/>
    <w:rsid w:val="00A70114"/>
    <w:rsid w:val="00BE18BF"/>
    <w:rsid w:val="00C962A6"/>
    <w:rsid w:val="00D2455A"/>
    <w:rsid w:val="00E20BE5"/>
    <w:rsid w:val="00E2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A7EE1"/>
  <w15:chartTrackingRefBased/>
  <w15:docId w15:val="{5A6E3400-499A-409B-A362-4B0D2688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01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01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0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0114"/>
    <w:rPr>
      <w:sz w:val="18"/>
      <w:szCs w:val="18"/>
    </w:rPr>
  </w:style>
  <w:style w:type="character" w:styleId="a7">
    <w:name w:val="Hyperlink"/>
    <w:basedOn w:val="a0"/>
    <w:uiPriority w:val="99"/>
    <w:unhideWhenUsed/>
    <w:rsid w:val="00A70114"/>
    <w:rPr>
      <w:color w:val="0000FF"/>
      <w:u w:val="single"/>
    </w:rPr>
  </w:style>
  <w:style w:type="paragraph" w:customStyle="1" w:styleId="3">
    <w:name w:val="样式3"/>
    <w:basedOn w:val="a"/>
    <w:link w:val="30"/>
    <w:qFormat/>
    <w:rsid w:val="005A54D7"/>
    <w:pPr>
      <w:spacing w:line="480" w:lineRule="auto"/>
      <w:jc w:val="center"/>
    </w:pPr>
    <w:rPr>
      <w:rFonts w:ascii="Times New Roman" w:hAnsi="Times New Roman" w:cs="Times New Roman"/>
      <w:b/>
      <w:color w:val="000000" w:themeColor="text1"/>
      <w:szCs w:val="24"/>
    </w:rPr>
  </w:style>
  <w:style w:type="character" w:customStyle="1" w:styleId="30">
    <w:name w:val="样式3 字符"/>
    <w:basedOn w:val="a0"/>
    <w:link w:val="3"/>
    <w:rsid w:val="005A54D7"/>
    <w:rPr>
      <w:rFonts w:ascii="Times New Roman" w:hAnsi="Times New Roman" w:cs="Times New Roman"/>
      <w:b/>
      <w:color w:val="000000" w:themeColor="text1"/>
      <w:szCs w:val="24"/>
    </w:rPr>
  </w:style>
  <w:style w:type="table" w:customStyle="1" w:styleId="1">
    <w:name w:val="样式1"/>
    <w:basedOn w:val="a1"/>
    <w:uiPriority w:val="99"/>
    <w:rsid w:val="005A54D7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paragraph" w:customStyle="1" w:styleId="Default">
    <w:name w:val="Default"/>
    <w:rsid w:val="00E20BE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customStyle="1" w:styleId="title-text">
    <w:name w:val="title-text"/>
    <w:basedOn w:val="a0"/>
    <w:rsid w:val="00653EFF"/>
  </w:style>
  <w:style w:type="paragraph" w:customStyle="1" w:styleId="a8">
    <w:name w:val="正文内容"/>
    <w:basedOn w:val="a"/>
    <w:link w:val="Char"/>
    <w:qFormat/>
    <w:rsid w:val="00653EFF"/>
    <w:pPr>
      <w:widowControl/>
      <w:spacing w:line="360" w:lineRule="auto"/>
      <w:ind w:firstLineChars="200" w:firstLine="200"/>
    </w:pPr>
    <w:rPr>
      <w:rFonts w:ascii="Times New Roman" w:eastAsia="宋体" w:hAnsi="Times New Roman" w:cs="Times New Roman"/>
      <w:kern w:val="0"/>
      <w:sz w:val="24"/>
      <w:szCs w:val="20"/>
      <w:lang w:val="x-none" w:eastAsia="x-none"/>
    </w:rPr>
  </w:style>
  <w:style w:type="character" w:customStyle="1" w:styleId="Char">
    <w:name w:val="正文内容 Char"/>
    <w:link w:val="a8"/>
    <w:rsid w:val="00653EFF"/>
    <w:rPr>
      <w:rFonts w:ascii="Times New Roman" w:eastAsia="宋体" w:hAnsi="Times New Roman" w:cs="Times New Roman"/>
      <w:kern w:val="0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yangjwupc@126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朱lj</dc:creator>
  <cp:keywords/>
  <dc:description/>
  <cp:lastModifiedBy>ZhuL</cp:lastModifiedBy>
  <cp:revision>14</cp:revision>
  <dcterms:created xsi:type="dcterms:W3CDTF">2025-01-20T03:33:00Z</dcterms:created>
  <dcterms:modified xsi:type="dcterms:W3CDTF">2025-07-24T07:30:00Z</dcterms:modified>
</cp:coreProperties>
</file>