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AB51" w14:textId="77777777" w:rsidR="00D70725" w:rsidRPr="00D70725" w:rsidRDefault="00D70725" w:rsidP="00D70725">
      <w:pPr>
        <w:jc w:val="both"/>
        <w:rPr>
          <w:rFonts w:ascii="Times New Roman" w:hAnsi="Times New Roman" w:cs="Times New Roman"/>
          <w:b/>
          <w:sz w:val="32"/>
          <w:szCs w:val="32"/>
        </w:rPr>
      </w:pPr>
      <w:r w:rsidRPr="00D70725">
        <w:rPr>
          <w:rFonts w:ascii="Times New Roman" w:hAnsi="Times New Roman" w:cs="Times New Roman"/>
          <w:b/>
          <w:sz w:val="32"/>
          <w:szCs w:val="32"/>
        </w:rPr>
        <w:t xml:space="preserve">Genomic Evolution of </w:t>
      </w:r>
      <w:r w:rsidRPr="00D70725">
        <w:rPr>
          <w:rFonts w:ascii="Times New Roman" w:hAnsi="Times New Roman" w:cs="Times New Roman"/>
          <w:b/>
          <w:i/>
          <w:iCs/>
          <w:sz w:val="32"/>
          <w:szCs w:val="32"/>
        </w:rPr>
        <w:t>Vibrio cholerae</w:t>
      </w:r>
      <w:r w:rsidRPr="00D70725">
        <w:rPr>
          <w:rFonts w:ascii="Times New Roman" w:hAnsi="Times New Roman" w:cs="Times New Roman"/>
          <w:b/>
          <w:sz w:val="32"/>
          <w:szCs w:val="32"/>
        </w:rPr>
        <w:t xml:space="preserve"> </w:t>
      </w:r>
      <w:bookmarkStart w:id="0" w:name="_Hlk191454921"/>
      <w:r w:rsidRPr="00D70725">
        <w:rPr>
          <w:rFonts w:ascii="Times New Roman" w:hAnsi="Times New Roman" w:cs="Times New Roman"/>
          <w:b/>
          <w:sz w:val="32"/>
          <w:szCs w:val="32"/>
        </w:rPr>
        <w:t xml:space="preserve">O1 El Tor </w:t>
      </w:r>
      <w:bookmarkEnd w:id="0"/>
      <w:r w:rsidRPr="00D70725">
        <w:rPr>
          <w:rFonts w:ascii="Times New Roman" w:hAnsi="Times New Roman" w:cs="Times New Roman"/>
          <w:b/>
          <w:sz w:val="32"/>
          <w:szCs w:val="32"/>
        </w:rPr>
        <w:t>Strains and Climatic Factors in Driving Cholera Surges in Dhaka, Bangladesh, 1996-2024</w:t>
      </w:r>
    </w:p>
    <w:p w14:paraId="12E01F91" w14:textId="77777777" w:rsidR="00D70725" w:rsidRPr="00D70725" w:rsidRDefault="00D70725" w:rsidP="00D70725">
      <w:pPr>
        <w:jc w:val="center"/>
        <w:rPr>
          <w:rFonts w:ascii="Times New Roman" w:hAnsi="Times New Roman" w:cs="Times New Roman"/>
        </w:rPr>
      </w:pPr>
    </w:p>
    <w:p w14:paraId="3B27A8AF" w14:textId="77777777" w:rsidR="00D70725" w:rsidRPr="00D70725" w:rsidRDefault="00D70725" w:rsidP="00D70725">
      <w:pPr>
        <w:jc w:val="both"/>
        <w:rPr>
          <w:rFonts w:ascii="Times New Roman" w:hAnsi="Times New Roman" w:cs="Times New Roman"/>
        </w:rPr>
      </w:pPr>
      <w:r w:rsidRPr="00D70725">
        <w:rPr>
          <w:rFonts w:ascii="Times New Roman" w:hAnsi="Times New Roman" w:cs="Times New Roman"/>
        </w:rPr>
        <w:t>Md Mamun Monir</w:t>
      </w:r>
      <w:r w:rsidRPr="00D70725">
        <w:rPr>
          <w:rFonts w:ascii="Times New Roman" w:hAnsi="Times New Roman" w:cs="Times New Roman"/>
          <w:vertAlign w:val="superscript"/>
        </w:rPr>
        <w:t>1</w:t>
      </w:r>
      <w:r w:rsidRPr="00D70725">
        <w:rPr>
          <w:rFonts w:ascii="Times New Roman" w:hAnsi="Times New Roman" w:cs="Times New Roman"/>
        </w:rPr>
        <w:t>, Khalilur Rahman</w:t>
      </w:r>
      <w:r w:rsidRPr="00D70725">
        <w:rPr>
          <w:rFonts w:ascii="Times New Roman" w:hAnsi="Times New Roman" w:cs="Times New Roman"/>
          <w:vertAlign w:val="superscript"/>
        </w:rPr>
        <w:t>1</w:t>
      </w:r>
      <w:r w:rsidRPr="00D70725">
        <w:rPr>
          <w:rFonts w:ascii="Times New Roman" w:hAnsi="Times New Roman" w:cs="Times New Roman"/>
        </w:rPr>
        <w:t xml:space="preserve">, Mohammad </w:t>
      </w:r>
      <w:proofErr w:type="spellStart"/>
      <w:r w:rsidRPr="00D70725">
        <w:rPr>
          <w:rFonts w:ascii="Times New Roman" w:hAnsi="Times New Roman" w:cs="Times New Roman"/>
        </w:rPr>
        <w:t>Tarequl</w:t>
      </w:r>
      <w:proofErr w:type="spellEnd"/>
      <w:r w:rsidRPr="00D70725">
        <w:rPr>
          <w:rFonts w:ascii="Times New Roman" w:hAnsi="Times New Roman" w:cs="Times New Roman"/>
        </w:rPr>
        <w:t xml:space="preserve"> Islam</w:t>
      </w:r>
      <w:r w:rsidRPr="00D70725">
        <w:rPr>
          <w:rFonts w:ascii="Times New Roman" w:hAnsi="Times New Roman" w:cs="Times New Roman"/>
          <w:vertAlign w:val="superscript"/>
        </w:rPr>
        <w:t>1</w:t>
      </w:r>
      <w:r w:rsidRPr="00D70725">
        <w:rPr>
          <w:rFonts w:ascii="Times New Roman" w:hAnsi="Times New Roman" w:cs="Times New Roman"/>
        </w:rPr>
        <w:t>, Marzia Sultana</w:t>
      </w:r>
      <w:r w:rsidRPr="00D70725">
        <w:rPr>
          <w:rFonts w:ascii="Times New Roman" w:hAnsi="Times New Roman" w:cs="Times New Roman"/>
          <w:vertAlign w:val="superscript"/>
        </w:rPr>
        <w:t>1</w:t>
      </w:r>
      <w:r w:rsidRPr="00D70725">
        <w:rPr>
          <w:rFonts w:ascii="Times New Roman" w:hAnsi="Times New Roman" w:cs="Times New Roman"/>
        </w:rPr>
        <w:t>, Wali Ullah</w:t>
      </w:r>
      <w:r w:rsidRPr="00D70725">
        <w:rPr>
          <w:rFonts w:ascii="Times New Roman" w:hAnsi="Times New Roman" w:cs="Times New Roman"/>
          <w:vertAlign w:val="superscript"/>
        </w:rPr>
        <w:t>1</w:t>
      </w:r>
      <w:r w:rsidRPr="00D70725">
        <w:rPr>
          <w:rFonts w:ascii="Times New Roman" w:hAnsi="Times New Roman" w:cs="Times New Roman"/>
        </w:rPr>
        <w:t>, Sardar Muhammad Osail</w:t>
      </w:r>
      <w:r w:rsidRPr="00D70725">
        <w:rPr>
          <w:rFonts w:ascii="Times New Roman" w:hAnsi="Times New Roman" w:cs="Times New Roman"/>
          <w:vertAlign w:val="superscript"/>
        </w:rPr>
        <w:t>1</w:t>
      </w:r>
      <w:r w:rsidRPr="00D70725">
        <w:rPr>
          <w:rFonts w:ascii="Times New Roman" w:hAnsi="Times New Roman" w:cs="Times New Roman"/>
        </w:rPr>
        <w:t xml:space="preserve">, </w:t>
      </w:r>
      <w:proofErr w:type="spellStart"/>
      <w:r w:rsidRPr="00D70725">
        <w:rPr>
          <w:rFonts w:ascii="Times New Roman" w:hAnsi="Times New Roman" w:cs="Times New Roman"/>
        </w:rPr>
        <w:t>Shirajum</w:t>
      </w:r>
      <w:proofErr w:type="spellEnd"/>
      <w:r w:rsidRPr="00D70725">
        <w:rPr>
          <w:rFonts w:ascii="Times New Roman" w:hAnsi="Times New Roman" w:cs="Times New Roman"/>
        </w:rPr>
        <w:t xml:space="preserve"> Monira</w:t>
      </w:r>
      <w:r w:rsidRPr="00D70725">
        <w:rPr>
          <w:rFonts w:ascii="Times New Roman" w:hAnsi="Times New Roman" w:cs="Times New Roman"/>
          <w:vertAlign w:val="superscript"/>
        </w:rPr>
        <w:t>1</w:t>
      </w:r>
      <w:r w:rsidRPr="00D70725">
        <w:rPr>
          <w:rFonts w:ascii="Times New Roman" w:hAnsi="Times New Roman" w:cs="Times New Roman"/>
        </w:rPr>
        <w:t xml:space="preserve">, </w:t>
      </w:r>
      <w:r w:rsidRPr="00D70725">
        <w:rPr>
          <w:rFonts w:ascii="Times New Roman" w:eastAsia="Arial" w:hAnsi="Times New Roman" w:cs="Times New Roman"/>
          <w:sz w:val="22"/>
          <w:szCs w:val="22"/>
        </w:rPr>
        <w:t>Kimberley D. Seed</w:t>
      </w:r>
      <w:r w:rsidRPr="00D70725">
        <w:rPr>
          <w:rFonts w:ascii="Times New Roman" w:eastAsia="Arial" w:hAnsi="Times New Roman" w:cs="Times New Roman"/>
          <w:sz w:val="22"/>
          <w:szCs w:val="22"/>
          <w:vertAlign w:val="superscript"/>
        </w:rPr>
        <w:t>2</w:t>
      </w:r>
      <w:r w:rsidRPr="00D70725">
        <w:rPr>
          <w:rFonts w:ascii="Times New Roman" w:eastAsia="Arial" w:hAnsi="Times New Roman" w:cs="Times New Roman"/>
          <w:sz w:val="22"/>
          <w:szCs w:val="22"/>
        </w:rPr>
        <w:t>, Andrew Camilli</w:t>
      </w:r>
      <w:r w:rsidRPr="00D70725">
        <w:rPr>
          <w:rFonts w:ascii="Times New Roman" w:eastAsia="Arial" w:hAnsi="Times New Roman" w:cs="Times New Roman"/>
          <w:sz w:val="22"/>
          <w:szCs w:val="22"/>
          <w:vertAlign w:val="superscript"/>
        </w:rPr>
        <w:t>3</w:t>
      </w:r>
      <w:r w:rsidRPr="00D70725">
        <w:rPr>
          <w:rFonts w:ascii="Times New Roman" w:eastAsia="Arial" w:hAnsi="Times New Roman" w:cs="Times New Roman"/>
          <w:sz w:val="22"/>
          <w:szCs w:val="22"/>
        </w:rPr>
        <w:t>, Carla Mavian</w:t>
      </w:r>
      <w:r w:rsidRPr="00D70725">
        <w:rPr>
          <w:rFonts w:ascii="Times New Roman" w:eastAsia="Arial" w:hAnsi="Times New Roman" w:cs="Times New Roman"/>
          <w:sz w:val="22"/>
          <w:szCs w:val="22"/>
          <w:vertAlign w:val="superscript"/>
        </w:rPr>
        <w:t>4</w:t>
      </w:r>
      <w:r w:rsidRPr="00D70725">
        <w:rPr>
          <w:rFonts w:ascii="Times New Roman" w:eastAsia="Arial" w:hAnsi="Times New Roman" w:cs="Times New Roman"/>
          <w:sz w:val="22"/>
          <w:szCs w:val="22"/>
        </w:rPr>
        <w:t>,</w:t>
      </w:r>
      <w:r w:rsidRPr="00D70725">
        <w:rPr>
          <w:rFonts w:ascii="Times New Roman" w:hAnsi="Times New Roman" w:cs="Times New Roman"/>
        </w:rPr>
        <w:t xml:space="preserve"> Nicholas Thomson</w:t>
      </w:r>
      <w:r w:rsidRPr="00D70725">
        <w:rPr>
          <w:rFonts w:ascii="Times New Roman" w:hAnsi="Times New Roman" w:cs="Times New Roman"/>
          <w:vertAlign w:val="superscript"/>
        </w:rPr>
        <w:t>5,6</w:t>
      </w:r>
      <w:r w:rsidRPr="00D70725">
        <w:rPr>
          <w:rFonts w:ascii="Times New Roman" w:hAnsi="Times New Roman" w:cs="Times New Roman"/>
        </w:rPr>
        <w:t>, Rita R. Colwell</w:t>
      </w:r>
      <w:r w:rsidRPr="00D70725">
        <w:rPr>
          <w:rFonts w:ascii="Times New Roman" w:hAnsi="Times New Roman" w:cs="Times New Roman"/>
          <w:vertAlign w:val="superscript"/>
        </w:rPr>
        <w:t>7,8</w:t>
      </w:r>
      <w:r w:rsidRPr="00D70725">
        <w:rPr>
          <w:rFonts w:ascii="Times New Roman" w:hAnsi="Times New Roman" w:cs="Times New Roman"/>
        </w:rPr>
        <w:t>, ASG Faruque</w:t>
      </w:r>
      <w:r w:rsidRPr="00D70725">
        <w:rPr>
          <w:rFonts w:ascii="Times New Roman" w:hAnsi="Times New Roman" w:cs="Times New Roman"/>
          <w:vertAlign w:val="superscript"/>
        </w:rPr>
        <w:t>1</w:t>
      </w:r>
      <w:r w:rsidRPr="00D70725">
        <w:rPr>
          <w:rFonts w:ascii="Times New Roman" w:hAnsi="Times New Roman" w:cs="Times New Roman"/>
        </w:rPr>
        <w:t>, Tahmeed Ahmed</w:t>
      </w:r>
      <w:r w:rsidRPr="00D70725">
        <w:rPr>
          <w:rFonts w:ascii="Times New Roman" w:hAnsi="Times New Roman" w:cs="Times New Roman"/>
          <w:vertAlign w:val="superscript"/>
        </w:rPr>
        <w:t>1</w:t>
      </w:r>
      <w:r w:rsidRPr="00D70725">
        <w:rPr>
          <w:rFonts w:ascii="Times New Roman" w:hAnsi="Times New Roman" w:cs="Times New Roman"/>
        </w:rPr>
        <w:t>, and Munirul Alam</w:t>
      </w:r>
      <w:r w:rsidRPr="00D70725">
        <w:rPr>
          <w:rFonts w:ascii="Times New Roman" w:hAnsi="Times New Roman" w:cs="Times New Roman"/>
          <w:vertAlign w:val="superscript"/>
        </w:rPr>
        <w:t>1</w:t>
      </w:r>
    </w:p>
    <w:p w14:paraId="7B7F2573" w14:textId="77777777" w:rsidR="00D70725" w:rsidRPr="00D70725" w:rsidRDefault="00D70725" w:rsidP="00D70725">
      <w:pPr>
        <w:rPr>
          <w:rFonts w:ascii="Times New Roman" w:hAnsi="Times New Roman" w:cs="Times New Roman"/>
        </w:rPr>
      </w:pPr>
    </w:p>
    <w:p w14:paraId="57CCB1D9" w14:textId="77777777" w:rsidR="00D70725" w:rsidRPr="00D70725" w:rsidRDefault="00D70725" w:rsidP="00D70725">
      <w:pPr>
        <w:tabs>
          <w:tab w:val="left" w:pos="540"/>
        </w:tabs>
        <w:spacing w:line="276" w:lineRule="auto"/>
        <w:jc w:val="both"/>
        <w:rPr>
          <w:rFonts w:ascii="Times New Roman" w:hAnsi="Times New Roman" w:cs="Times New Roman"/>
          <w:vertAlign w:val="superscript"/>
        </w:rPr>
      </w:pPr>
      <w:r w:rsidRPr="00D70725">
        <w:rPr>
          <w:rFonts w:ascii="Times New Roman" w:hAnsi="Times New Roman" w:cs="Times New Roman"/>
          <w:vertAlign w:val="superscript"/>
        </w:rPr>
        <w:t>1</w:t>
      </w:r>
      <w:proofErr w:type="gramStart"/>
      <w:r w:rsidRPr="00D70725">
        <w:rPr>
          <w:rFonts w:ascii="Times New Roman" w:hAnsi="Times New Roman" w:cs="Times New Roman"/>
        </w:rPr>
        <w:t>icddr,b</w:t>
      </w:r>
      <w:proofErr w:type="gramEnd"/>
      <w:r w:rsidRPr="00D70725">
        <w:rPr>
          <w:rFonts w:ascii="Times New Roman" w:hAnsi="Times New Roman" w:cs="Times New Roman"/>
        </w:rPr>
        <w:t>, International Centre for Diarrhoeal Disease Research, Bangladesh, Dhaka, Bangladesh</w:t>
      </w:r>
    </w:p>
    <w:p w14:paraId="62CFC273" w14:textId="77777777" w:rsidR="00D70725" w:rsidRPr="00D70725" w:rsidRDefault="00D70725" w:rsidP="00D70725">
      <w:pPr>
        <w:spacing w:line="276" w:lineRule="auto"/>
        <w:jc w:val="both"/>
        <w:rPr>
          <w:rFonts w:ascii="Times New Roman" w:hAnsi="Times New Roman" w:cs="Times New Roman"/>
        </w:rPr>
      </w:pPr>
      <w:r w:rsidRPr="00D70725">
        <w:rPr>
          <w:rFonts w:ascii="Times New Roman" w:hAnsi="Times New Roman" w:cs="Times New Roman"/>
          <w:vertAlign w:val="superscript"/>
        </w:rPr>
        <w:t>2</w:t>
      </w:r>
      <w:r w:rsidRPr="00D70725">
        <w:rPr>
          <w:rFonts w:ascii="Times New Roman" w:hAnsi="Times New Roman" w:cs="Times New Roman"/>
        </w:rPr>
        <w:t>Department of Plant and Microbial Biology, University of California, Berkeley, Berkeley, CA 94720, USA</w:t>
      </w:r>
    </w:p>
    <w:p w14:paraId="57638FD7" w14:textId="77777777" w:rsidR="00D70725" w:rsidRPr="00D70725" w:rsidRDefault="00D70725" w:rsidP="00D70725">
      <w:pPr>
        <w:tabs>
          <w:tab w:val="left" w:pos="540"/>
        </w:tabs>
        <w:spacing w:line="276" w:lineRule="auto"/>
        <w:jc w:val="both"/>
        <w:rPr>
          <w:rFonts w:ascii="Times New Roman" w:hAnsi="Times New Roman" w:cs="Times New Roman"/>
          <w:vertAlign w:val="superscript"/>
        </w:rPr>
      </w:pPr>
      <w:r w:rsidRPr="00D70725">
        <w:rPr>
          <w:rFonts w:ascii="Times New Roman" w:eastAsia="Arial" w:hAnsi="Times New Roman" w:cs="Times New Roman"/>
          <w:sz w:val="22"/>
          <w:szCs w:val="22"/>
          <w:vertAlign w:val="superscript"/>
        </w:rPr>
        <w:t>3</w:t>
      </w:r>
      <w:r w:rsidRPr="00D70725">
        <w:rPr>
          <w:rFonts w:ascii="Times New Roman" w:eastAsia="Arial" w:hAnsi="Times New Roman" w:cs="Times New Roman"/>
          <w:sz w:val="22"/>
          <w:szCs w:val="22"/>
        </w:rPr>
        <w:t xml:space="preserve">Department </w:t>
      </w:r>
      <w:r w:rsidRPr="00D70725">
        <w:rPr>
          <w:rFonts w:ascii="Times New Roman" w:hAnsi="Times New Roman" w:cs="Times New Roman"/>
          <w:color w:val="212529"/>
          <w:shd w:val="clear" w:color="auto" w:fill="FFFFFF"/>
        </w:rPr>
        <w:t>Molecular Biology and Microbiology</w:t>
      </w:r>
      <w:r w:rsidRPr="00D70725">
        <w:rPr>
          <w:rFonts w:ascii="Times New Roman" w:eastAsia="Arial" w:hAnsi="Times New Roman" w:cs="Times New Roman"/>
          <w:sz w:val="22"/>
          <w:szCs w:val="22"/>
        </w:rPr>
        <w:t>, Tufts University, USA</w:t>
      </w:r>
    </w:p>
    <w:p w14:paraId="219211AF" w14:textId="77777777" w:rsidR="00D70725" w:rsidRPr="00D70725" w:rsidRDefault="00D70725" w:rsidP="00D70725">
      <w:pPr>
        <w:tabs>
          <w:tab w:val="left" w:pos="540"/>
        </w:tabs>
        <w:spacing w:line="276" w:lineRule="auto"/>
        <w:jc w:val="both"/>
        <w:rPr>
          <w:rFonts w:ascii="Times New Roman" w:hAnsi="Times New Roman" w:cs="Times New Roman"/>
          <w:vertAlign w:val="superscript"/>
        </w:rPr>
      </w:pPr>
      <w:r w:rsidRPr="00D70725">
        <w:rPr>
          <w:rFonts w:ascii="Times New Roman" w:eastAsia="Arial" w:hAnsi="Times New Roman" w:cs="Times New Roman"/>
          <w:sz w:val="22"/>
          <w:szCs w:val="22"/>
          <w:vertAlign w:val="superscript"/>
        </w:rPr>
        <w:t>4</w:t>
      </w:r>
      <w:r w:rsidRPr="00D70725">
        <w:rPr>
          <w:rFonts w:ascii="Times New Roman" w:hAnsi="Times New Roman" w:cs="Times New Roman"/>
        </w:rPr>
        <w:t>Emerging Pathogens Institute, Department of Pathology, College of Medicine, University of Florida, Florida, 32601, USA</w:t>
      </w:r>
    </w:p>
    <w:p w14:paraId="7BBD3399" w14:textId="77777777" w:rsidR="00D70725" w:rsidRPr="00D70725" w:rsidRDefault="00D70725" w:rsidP="00D70725">
      <w:pPr>
        <w:tabs>
          <w:tab w:val="left" w:pos="540"/>
        </w:tabs>
        <w:spacing w:line="276" w:lineRule="auto"/>
        <w:jc w:val="both"/>
        <w:rPr>
          <w:rFonts w:ascii="Times New Roman" w:hAnsi="Times New Roman" w:cs="Times New Roman"/>
        </w:rPr>
      </w:pPr>
      <w:r w:rsidRPr="00D70725">
        <w:rPr>
          <w:rFonts w:ascii="Times New Roman" w:hAnsi="Times New Roman" w:cs="Times New Roman"/>
          <w:vertAlign w:val="superscript"/>
        </w:rPr>
        <w:t>5</w:t>
      </w:r>
      <w:r w:rsidRPr="00D70725">
        <w:rPr>
          <w:rFonts w:ascii="Times New Roman" w:hAnsi="Times New Roman" w:cs="Times New Roman"/>
        </w:rPr>
        <w:t xml:space="preserve">Parasites and Microbes Program, </w:t>
      </w:r>
      <w:proofErr w:type="spellStart"/>
      <w:r w:rsidRPr="00D70725">
        <w:rPr>
          <w:rFonts w:ascii="Times New Roman" w:hAnsi="Times New Roman" w:cs="Times New Roman"/>
        </w:rPr>
        <w:t>Wellcome</w:t>
      </w:r>
      <w:proofErr w:type="spellEnd"/>
      <w:r w:rsidRPr="00D70725">
        <w:rPr>
          <w:rFonts w:ascii="Times New Roman" w:hAnsi="Times New Roman" w:cs="Times New Roman"/>
        </w:rPr>
        <w:t xml:space="preserve"> Sanger Institute, </w:t>
      </w:r>
      <w:proofErr w:type="spellStart"/>
      <w:r w:rsidRPr="00D70725">
        <w:rPr>
          <w:rFonts w:ascii="Times New Roman" w:hAnsi="Times New Roman" w:cs="Times New Roman"/>
        </w:rPr>
        <w:t>Wellcome</w:t>
      </w:r>
      <w:proofErr w:type="spellEnd"/>
      <w:r w:rsidRPr="00D70725">
        <w:rPr>
          <w:rFonts w:ascii="Times New Roman" w:hAnsi="Times New Roman" w:cs="Times New Roman"/>
        </w:rPr>
        <w:t xml:space="preserve"> Genome Campus, </w:t>
      </w:r>
      <w:proofErr w:type="spellStart"/>
      <w:r w:rsidRPr="00D70725">
        <w:rPr>
          <w:rFonts w:ascii="Times New Roman" w:hAnsi="Times New Roman" w:cs="Times New Roman"/>
        </w:rPr>
        <w:t>Hinxton</w:t>
      </w:r>
      <w:proofErr w:type="spellEnd"/>
      <w:r w:rsidRPr="00D70725">
        <w:rPr>
          <w:rFonts w:ascii="Times New Roman" w:hAnsi="Times New Roman" w:cs="Times New Roman"/>
        </w:rPr>
        <w:t>, Cambridge CB10 1SA, UK</w:t>
      </w:r>
    </w:p>
    <w:p w14:paraId="24716A4C" w14:textId="77777777" w:rsidR="00D70725" w:rsidRPr="00D70725" w:rsidRDefault="00D70725" w:rsidP="00D70725">
      <w:pPr>
        <w:tabs>
          <w:tab w:val="left" w:pos="540"/>
        </w:tabs>
        <w:spacing w:line="276" w:lineRule="auto"/>
        <w:jc w:val="both"/>
        <w:rPr>
          <w:rFonts w:ascii="Times New Roman" w:hAnsi="Times New Roman" w:cs="Times New Roman"/>
        </w:rPr>
      </w:pPr>
      <w:r w:rsidRPr="00D70725">
        <w:rPr>
          <w:rFonts w:ascii="Times New Roman" w:hAnsi="Times New Roman" w:cs="Times New Roman"/>
          <w:vertAlign w:val="superscript"/>
        </w:rPr>
        <w:t>6</w:t>
      </w:r>
      <w:r w:rsidRPr="00D70725">
        <w:rPr>
          <w:rFonts w:ascii="Times New Roman" w:hAnsi="Times New Roman" w:cs="Times New Roman"/>
        </w:rPr>
        <w:t xml:space="preserve">London School of Hygiene and Tropical Medicine, London, UK </w:t>
      </w:r>
    </w:p>
    <w:p w14:paraId="2E07A6E0" w14:textId="77777777" w:rsidR="00D70725" w:rsidRPr="00D70725" w:rsidRDefault="00D70725" w:rsidP="00D70725">
      <w:pPr>
        <w:tabs>
          <w:tab w:val="left" w:pos="540"/>
        </w:tabs>
        <w:spacing w:line="276" w:lineRule="auto"/>
        <w:jc w:val="both"/>
        <w:rPr>
          <w:rFonts w:ascii="Times New Roman" w:hAnsi="Times New Roman" w:cs="Times New Roman"/>
        </w:rPr>
      </w:pPr>
      <w:r w:rsidRPr="00D70725">
        <w:rPr>
          <w:rFonts w:ascii="Times New Roman" w:hAnsi="Times New Roman" w:cs="Times New Roman"/>
          <w:vertAlign w:val="superscript"/>
        </w:rPr>
        <w:t>7</w:t>
      </w:r>
      <w:r w:rsidRPr="00D70725">
        <w:rPr>
          <w:rFonts w:ascii="Times New Roman" w:hAnsi="Times New Roman" w:cs="Times New Roman"/>
        </w:rPr>
        <w:t>Cell Biology and Molecular Genetics, University of Maryland, College Park, MD, USA</w:t>
      </w:r>
    </w:p>
    <w:p w14:paraId="76999ADD" w14:textId="77777777" w:rsidR="00D70725" w:rsidRPr="00D70725" w:rsidRDefault="00D70725" w:rsidP="00D70725">
      <w:pPr>
        <w:tabs>
          <w:tab w:val="left" w:pos="540"/>
        </w:tabs>
        <w:spacing w:line="276" w:lineRule="auto"/>
        <w:jc w:val="both"/>
        <w:rPr>
          <w:rFonts w:ascii="Times New Roman" w:hAnsi="Times New Roman" w:cs="Times New Roman"/>
        </w:rPr>
      </w:pPr>
      <w:r w:rsidRPr="00D70725">
        <w:rPr>
          <w:rFonts w:ascii="Times New Roman" w:hAnsi="Times New Roman" w:cs="Times New Roman"/>
          <w:vertAlign w:val="superscript"/>
        </w:rPr>
        <w:t>8</w:t>
      </w:r>
      <w:r w:rsidRPr="00D70725">
        <w:rPr>
          <w:rFonts w:ascii="Times New Roman" w:hAnsi="Times New Roman" w:cs="Times New Roman"/>
        </w:rPr>
        <w:t xml:space="preserve">University of Maryland Institute for Advanced Computer Studies, College Park, MD, USA </w:t>
      </w:r>
    </w:p>
    <w:p w14:paraId="4A11A242" w14:textId="77777777" w:rsidR="00545DF1" w:rsidRPr="00D70725" w:rsidRDefault="00545DF1" w:rsidP="00107E66">
      <w:pPr>
        <w:rPr>
          <w:rFonts w:ascii="Times New Roman" w:hAnsi="Times New Roman" w:cs="Times New Roman"/>
          <w:b/>
          <w:bCs/>
          <w:sz w:val="32"/>
          <w:szCs w:val="32"/>
        </w:rPr>
      </w:pPr>
    </w:p>
    <w:p w14:paraId="666F1A80" w14:textId="77777777" w:rsidR="00D70725" w:rsidRDefault="00D70725" w:rsidP="00107E66">
      <w:pPr>
        <w:rPr>
          <w:rFonts w:ascii="Times New Roman" w:hAnsi="Times New Roman" w:cs="Times New Roman"/>
          <w:b/>
          <w:bCs/>
          <w:sz w:val="32"/>
          <w:szCs w:val="32"/>
        </w:rPr>
      </w:pPr>
    </w:p>
    <w:p w14:paraId="0894F06E" w14:textId="77777777" w:rsidR="001A0B86" w:rsidRPr="0007280D" w:rsidRDefault="001A0B86" w:rsidP="001A0B86">
      <w:pPr>
        <w:spacing w:line="360" w:lineRule="auto"/>
        <w:rPr>
          <w:rFonts w:ascii="Times New Roman" w:hAnsi="Times New Roman" w:cs="Times New Roman"/>
          <w:b/>
          <w:bCs/>
        </w:rPr>
      </w:pPr>
      <w:r w:rsidRPr="0007280D">
        <w:rPr>
          <w:rFonts w:ascii="Times New Roman" w:hAnsi="Times New Roman" w:cs="Times New Roman"/>
          <w:b/>
          <w:bCs/>
        </w:rPr>
        <w:t>Supplementary note 1:</w:t>
      </w:r>
    </w:p>
    <w:p w14:paraId="11E8F544" w14:textId="77777777" w:rsidR="009B4ED6" w:rsidRDefault="00B075B7" w:rsidP="00B075B7">
      <w:pPr>
        <w:spacing w:line="392" w:lineRule="auto"/>
        <w:jc w:val="both"/>
        <w:rPr>
          <w:rFonts w:ascii="Times New Roman" w:eastAsia="Times New Roman" w:hAnsi="Times New Roman" w:cs="Times New Roman"/>
          <w:b/>
        </w:rPr>
      </w:pPr>
      <w:r>
        <w:rPr>
          <w:rFonts w:ascii="Times New Roman" w:eastAsia="Times New Roman" w:hAnsi="Times New Roman" w:cs="Times New Roman"/>
          <w:b/>
        </w:rPr>
        <w:t>Yearly cholera cases and seasonal variation (1996-2010 and 2011-2024)</w:t>
      </w:r>
    </w:p>
    <w:p w14:paraId="293BFDE5" w14:textId="64D56531" w:rsidR="00B075B7" w:rsidRDefault="00B075B7" w:rsidP="00B075B7">
      <w:pPr>
        <w:spacing w:line="392" w:lineRule="auto"/>
        <w:jc w:val="both"/>
        <w:rPr>
          <w:rFonts w:ascii="Times New Roman" w:eastAsia="Times New Roman" w:hAnsi="Times New Roman" w:cs="Times New Roman"/>
        </w:rPr>
      </w:pPr>
      <w:r>
        <w:rPr>
          <w:rFonts w:ascii="Times New Roman" w:eastAsia="Times New Roman" w:hAnsi="Times New Roman" w:cs="Times New Roman"/>
        </w:rPr>
        <w:t>In Figure 1a, we observed two different patterns in the annual number of cases before and after 2010. To investigate details, we tabulated the total number of cases (median, minimum, and maximum) across two periods: 1996–2010 and 2011–2024 (</w:t>
      </w:r>
      <w:r>
        <w:rPr>
          <w:rFonts w:ascii="Times New Roman" w:eastAsia="Times New Roman" w:hAnsi="Times New Roman" w:cs="Times New Roman"/>
          <w:b/>
        </w:rPr>
        <w:t xml:space="preserve">Supplementary Table </w:t>
      </w:r>
      <w:r w:rsidR="00DF50A4">
        <w:rPr>
          <w:rFonts w:ascii="Times New Roman" w:eastAsia="Times New Roman" w:hAnsi="Times New Roman" w:cs="Times New Roman"/>
          <w:b/>
        </w:rPr>
        <w:t>6</w:t>
      </w:r>
      <w:r>
        <w:rPr>
          <w:rFonts w:ascii="Times New Roman" w:eastAsia="Times New Roman" w:hAnsi="Times New Roman" w:cs="Times New Roman"/>
        </w:rPr>
        <w:t xml:space="preserve">). A substantial decline was observed </w:t>
      </w:r>
      <w:r w:rsidR="00E32233">
        <w:rPr>
          <w:rFonts w:ascii="Times New Roman" w:eastAsia="Times New Roman" w:hAnsi="Times New Roman" w:cs="Times New Roman"/>
        </w:rPr>
        <w:t>in the later period 2011–2024</w:t>
      </w:r>
      <w:r>
        <w:rPr>
          <w:rFonts w:ascii="Times New Roman" w:eastAsia="Times New Roman" w:hAnsi="Times New Roman" w:cs="Times New Roman"/>
        </w:rPr>
        <w:t xml:space="preserve">, the median of annual confirmed cholera cases significantly dropped from 536 (range: 284-1109) to 265.5 (range: 104-575) (Wilcoxon rank-sum test, p&lt;0.001). Seasonal </w:t>
      </w:r>
      <w:r w:rsidR="00615B47">
        <w:rPr>
          <w:rFonts w:ascii="Times New Roman" w:eastAsia="Times New Roman" w:hAnsi="Times New Roman" w:cs="Times New Roman"/>
        </w:rPr>
        <w:t>cases</w:t>
      </w:r>
      <w:r>
        <w:rPr>
          <w:rFonts w:ascii="Times New Roman" w:eastAsia="Times New Roman" w:hAnsi="Times New Roman" w:cs="Times New Roman"/>
        </w:rPr>
        <w:t xml:space="preserve"> (Pre-monsoon</w:t>
      </w:r>
      <w:r w:rsidR="00615B47">
        <w:rPr>
          <w:rFonts w:ascii="Times New Roman" w:eastAsia="Times New Roman" w:hAnsi="Times New Roman" w:cs="Times New Roman"/>
        </w:rPr>
        <w:t>, and</w:t>
      </w:r>
      <w:r>
        <w:rPr>
          <w:rFonts w:ascii="Times New Roman" w:eastAsia="Times New Roman" w:hAnsi="Times New Roman" w:cs="Times New Roman"/>
        </w:rPr>
        <w:t xml:space="preserve"> post-monsoon) was </w:t>
      </w:r>
      <w:r w:rsidR="00615B47">
        <w:rPr>
          <w:rFonts w:ascii="Times New Roman" w:eastAsia="Times New Roman" w:hAnsi="Times New Roman" w:cs="Times New Roman"/>
        </w:rPr>
        <w:t xml:space="preserve">also </w:t>
      </w:r>
      <w:r>
        <w:rPr>
          <w:rFonts w:ascii="Times New Roman" w:eastAsia="Times New Roman" w:hAnsi="Times New Roman" w:cs="Times New Roman"/>
        </w:rPr>
        <w:t xml:space="preserve">significantly </w:t>
      </w:r>
      <w:r w:rsidR="00615B47">
        <w:rPr>
          <w:rFonts w:ascii="Times New Roman" w:eastAsia="Times New Roman" w:hAnsi="Times New Roman" w:cs="Times New Roman"/>
        </w:rPr>
        <w:t>declined</w:t>
      </w:r>
      <w:r>
        <w:rPr>
          <w:rFonts w:ascii="Times New Roman" w:eastAsia="Times New Roman" w:hAnsi="Times New Roman" w:cs="Times New Roman"/>
        </w:rPr>
        <w:t xml:space="preserve"> (</w:t>
      </w:r>
      <w:r w:rsidRPr="0007280D">
        <w:rPr>
          <w:rFonts w:ascii="Times New Roman" w:hAnsi="Times New Roman" w:cs="Times New Roman"/>
        </w:rPr>
        <w:t>χ²</w:t>
      </w:r>
      <w:r>
        <w:rPr>
          <w:rFonts w:ascii="Times New Roman" w:eastAsia="Times New Roman" w:hAnsi="Times New Roman" w:cs="Times New Roman"/>
        </w:rPr>
        <w:t>=85.68, p&lt;0.001)</w:t>
      </w:r>
      <w:r w:rsidR="00E32233">
        <w:rPr>
          <w:rFonts w:ascii="Times New Roman" w:eastAsia="Times New Roman" w:hAnsi="Times New Roman" w:cs="Times New Roman"/>
        </w:rPr>
        <w:t xml:space="preserve"> during 2011-202</w:t>
      </w:r>
      <w:r w:rsidR="00D17952">
        <w:rPr>
          <w:rFonts w:ascii="Times New Roman" w:eastAsia="Times New Roman" w:hAnsi="Times New Roman" w:cs="Times New Roman"/>
        </w:rPr>
        <w:t>4</w:t>
      </w:r>
      <w:r w:rsidR="00655EB9">
        <w:rPr>
          <w:rFonts w:ascii="Times New Roman" w:eastAsia="Times New Roman" w:hAnsi="Times New Roman" w:cs="Times New Roman"/>
        </w:rPr>
        <w:t xml:space="preserve"> on average</w:t>
      </w:r>
      <w:r>
        <w:rPr>
          <w:rFonts w:ascii="Times New Roman" w:eastAsia="Times New Roman" w:hAnsi="Times New Roman" w:cs="Times New Roman"/>
        </w:rPr>
        <w:t xml:space="preserve"> (</w:t>
      </w:r>
      <w:r>
        <w:rPr>
          <w:rFonts w:ascii="Times New Roman" w:eastAsia="Times New Roman" w:hAnsi="Times New Roman" w:cs="Times New Roman"/>
          <w:b/>
        </w:rPr>
        <w:t xml:space="preserve">Supplementary Table </w:t>
      </w:r>
      <w:r w:rsidR="00DF50A4">
        <w:rPr>
          <w:rFonts w:ascii="Times New Roman" w:eastAsia="Times New Roman" w:hAnsi="Times New Roman" w:cs="Times New Roman"/>
          <w:b/>
        </w:rPr>
        <w:t>7</w:t>
      </w:r>
      <w:r>
        <w:rPr>
          <w:rFonts w:ascii="Times New Roman" w:eastAsia="Times New Roman" w:hAnsi="Times New Roman" w:cs="Times New Roman"/>
        </w:rPr>
        <w:t xml:space="preserve">). </w:t>
      </w:r>
      <w:r w:rsidR="00E32233">
        <w:rPr>
          <w:rFonts w:ascii="Times New Roman" w:eastAsia="Times New Roman" w:hAnsi="Times New Roman" w:cs="Times New Roman"/>
        </w:rPr>
        <w:t>Majority of yearly cholera in</w:t>
      </w:r>
      <w:r>
        <w:rPr>
          <w:rFonts w:ascii="Times New Roman" w:eastAsia="Times New Roman" w:hAnsi="Times New Roman" w:cs="Times New Roman"/>
        </w:rPr>
        <w:t xml:space="preserve"> 2011-2024 period </w:t>
      </w:r>
      <w:r w:rsidR="00E32233">
        <w:rPr>
          <w:rFonts w:ascii="Times New Roman" w:eastAsia="Times New Roman" w:hAnsi="Times New Roman" w:cs="Times New Roman"/>
        </w:rPr>
        <w:t>occurred in pre-monsoon (42.8%)</w:t>
      </w:r>
      <w:r w:rsidR="002C7F6A">
        <w:rPr>
          <w:rFonts w:ascii="Times New Roman" w:eastAsia="Times New Roman" w:hAnsi="Times New Roman" w:cs="Times New Roman"/>
        </w:rPr>
        <w:t xml:space="preserve"> </w:t>
      </w:r>
      <w:r w:rsidR="00615B47">
        <w:rPr>
          <w:rFonts w:ascii="Times New Roman" w:eastAsia="Times New Roman" w:hAnsi="Times New Roman" w:cs="Times New Roman"/>
        </w:rPr>
        <w:t xml:space="preserve">and 25.1% </w:t>
      </w:r>
      <w:r>
        <w:rPr>
          <w:rFonts w:ascii="Times New Roman" w:eastAsia="Times New Roman" w:hAnsi="Times New Roman" w:cs="Times New Roman"/>
        </w:rPr>
        <w:t xml:space="preserve">of </w:t>
      </w:r>
      <w:r w:rsidR="00E10902">
        <w:rPr>
          <w:rFonts w:ascii="Times New Roman" w:eastAsia="Times New Roman" w:hAnsi="Times New Roman" w:cs="Times New Roman"/>
        </w:rPr>
        <w:t xml:space="preserve">yearly </w:t>
      </w:r>
      <w:r>
        <w:rPr>
          <w:rFonts w:ascii="Times New Roman" w:eastAsia="Times New Roman" w:hAnsi="Times New Roman" w:cs="Times New Roman"/>
        </w:rPr>
        <w:t>cholera cases occurr</w:t>
      </w:r>
      <w:r w:rsidR="00615B47">
        <w:rPr>
          <w:rFonts w:ascii="Times New Roman" w:eastAsia="Times New Roman" w:hAnsi="Times New Roman" w:cs="Times New Roman"/>
        </w:rPr>
        <w:t>ed</w:t>
      </w:r>
      <w:r>
        <w:rPr>
          <w:rFonts w:ascii="Times New Roman" w:eastAsia="Times New Roman" w:hAnsi="Times New Roman" w:cs="Times New Roman"/>
        </w:rPr>
        <w:t xml:space="preserve"> during the pre-monsoon</w:t>
      </w:r>
      <w:r w:rsidR="00615B47">
        <w:rPr>
          <w:rFonts w:ascii="Times New Roman" w:eastAsia="Times New Roman" w:hAnsi="Times New Roman" w:cs="Times New Roman"/>
        </w:rPr>
        <w:t xml:space="preserve"> (March-May)</w:t>
      </w:r>
      <w:r>
        <w:rPr>
          <w:rFonts w:ascii="Times New Roman" w:eastAsia="Times New Roman" w:hAnsi="Times New Roman" w:cs="Times New Roman"/>
        </w:rPr>
        <w:t xml:space="preserve"> </w:t>
      </w:r>
      <w:r w:rsidR="00615B47">
        <w:rPr>
          <w:rFonts w:ascii="Times New Roman" w:eastAsia="Times New Roman" w:hAnsi="Times New Roman" w:cs="Times New Roman"/>
        </w:rPr>
        <w:t>and</w:t>
      </w:r>
      <w:r>
        <w:rPr>
          <w:rFonts w:ascii="Times New Roman" w:eastAsia="Times New Roman" w:hAnsi="Times New Roman" w:cs="Times New Roman"/>
        </w:rPr>
        <w:t xml:space="preserve"> post-monsoon</w:t>
      </w:r>
      <w:r w:rsidR="00615B47">
        <w:rPr>
          <w:rFonts w:ascii="Times New Roman" w:eastAsia="Times New Roman" w:hAnsi="Times New Roman" w:cs="Times New Roman"/>
        </w:rPr>
        <w:t xml:space="preserve"> (September-November)</w:t>
      </w:r>
      <w:r w:rsidR="00615B47" w:rsidRPr="00615B47">
        <w:rPr>
          <w:rFonts w:ascii="Times New Roman" w:eastAsia="Times New Roman" w:hAnsi="Times New Roman" w:cs="Times New Roman"/>
        </w:rPr>
        <w:t xml:space="preserve"> </w:t>
      </w:r>
      <w:r w:rsidR="00615B47">
        <w:rPr>
          <w:rFonts w:ascii="Times New Roman" w:eastAsia="Times New Roman" w:hAnsi="Times New Roman" w:cs="Times New Roman"/>
        </w:rPr>
        <w:t>seasons</w:t>
      </w:r>
      <w:r>
        <w:rPr>
          <w:rFonts w:ascii="Times New Roman" w:eastAsia="Times New Roman" w:hAnsi="Times New Roman" w:cs="Times New Roman"/>
        </w:rPr>
        <w:t xml:space="preserve">, respectively, whereas </w:t>
      </w:r>
      <w:r w:rsidR="00615B47">
        <w:rPr>
          <w:rFonts w:ascii="Times New Roman" w:eastAsia="Times New Roman" w:hAnsi="Times New Roman" w:cs="Times New Roman"/>
        </w:rPr>
        <w:t>during these seasonal periods</w:t>
      </w:r>
      <w:r>
        <w:rPr>
          <w:rFonts w:ascii="Times New Roman" w:eastAsia="Times New Roman" w:hAnsi="Times New Roman" w:cs="Times New Roman"/>
        </w:rPr>
        <w:t xml:space="preserve"> in the 1996-2010 were 3</w:t>
      </w:r>
      <w:r w:rsidR="00374839">
        <w:rPr>
          <w:rFonts w:ascii="Times New Roman" w:eastAsia="Times New Roman" w:hAnsi="Times New Roman" w:cs="Times New Roman"/>
        </w:rPr>
        <w:t>4</w:t>
      </w:r>
      <w:r>
        <w:rPr>
          <w:rFonts w:ascii="Times New Roman" w:eastAsia="Times New Roman" w:hAnsi="Times New Roman" w:cs="Times New Roman"/>
        </w:rPr>
        <w:t>.</w:t>
      </w:r>
      <w:r w:rsidR="00615B47">
        <w:rPr>
          <w:rFonts w:ascii="Times New Roman" w:eastAsia="Times New Roman" w:hAnsi="Times New Roman" w:cs="Times New Roman"/>
        </w:rPr>
        <w:t>4</w:t>
      </w:r>
      <w:r>
        <w:rPr>
          <w:rFonts w:ascii="Times New Roman" w:eastAsia="Times New Roman" w:hAnsi="Times New Roman" w:cs="Times New Roman"/>
        </w:rPr>
        <w:t>%</w:t>
      </w:r>
      <w:r w:rsidR="00615B47">
        <w:rPr>
          <w:rFonts w:ascii="Times New Roman" w:eastAsia="Times New Roman" w:hAnsi="Times New Roman" w:cs="Times New Roman"/>
        </w:rPr>
        <w:t xml:space="preserve"> and </w:t>
      </w:r>
      <w:r>
        <w:rPr>
          <w:rFonts w:ascii="Times New Roman" w:eastAsia="Times New Roman" w:hAnsi="Times New Roman" w:cs="Times New Roman"/>
        </w:rPr>
        <w:t>3</w:t>
      </w:r>
      <w:r w:rsidR="00615B47">
        <w:rPr>
          <w:rFonts w:ascii="Times New Roman" w:eastAsia="Times New Roman" w:hAnsi="Times New Roman" w:cs="Times New Roman"/>
        </w:rPr>
        <w:t>0.6</w:t>
      </w:r>
      <w:r>
        <w:rPr>
          <w:rFonts w:ascii="Times New Roman" w:eastAsia="Times New Roman" w:hAnsi="Times New Roman" w:cs="Times New Roman"/>
        </w:rPr>
        <w:t>%</w:t>
      </w:r>
      <w:r w:rsidR="00E10902">
        <w:rPr>
          <w:rFonts w:ascii="Times New Roman" w:eastAsia="Times New Roman" w:hAnsi="Times New Roman" w:cs="Times New Roman"/>
        </w:rPr>
        <w:t>, respectively</w:t>
      </w:r>
      <w:r>
        <w:rPr>
          <w:rFonts w:ascii="Times New Roman" w:eastAsia="Times New Roman" w:hAnsi="Times New Roman" w:cs="Times New Roman"/>
        </w:rPr>
        <w:t>.</w:t>
      </w:r>
      <w:r w:rsidR="00E10902">
        <w:rPr>
          <w:rFonts w:ascii="Times New Roman" w:eastAsia="Times New Roman" w:hAnsi="Times New Roman" w:cs="Times New Roman"/>
        </w:rPr>
        <w:t xml:space="preserve"> These results suggest significant reduction of the</w:t>
      </w:r>
      <w:r w:rsidR="00655EB9">
        <w:rPr>
          <w:rFonts w:ascii="Times New Roman" w:eastAsia="Times New Roman" w:hAnsi="Times New Roman" w:cs="Times New Roman"/>
        </w:rPr>
        <w:t xml:space="preserve"> percentage of</w:t>
      </w:r>
      <w:r w:rsidR="00E10902">
        <w:rPr>
          <w:rFonts w:ascii="Times New Roman" w:eastAsia="Times New Roman" w:hAnsi="Times New Roman" w:cs="Times New Roman"/>
        </w:rPr>
        <w:t xml:space="preserve"> post-monsoon cholera in Dhaka in the recent years.</w:t>
      </w:r>
      <w:r>
        <w:rPr>
          <w:rFonts w:ascii="Times New Roman" w:eastAsia="Times New Roman" w:hAnsi="Times New Roman" w:cs="Times New Roman"/>
        </w:rPr>
        <w:t xml:space="preserve"> </w:t>
      </w:r>
    </w:p>
    <w:p w14:paraId="1A18390D" w14:textId="77777777" w:rsidR="00B075B7" w:rsidRDefault="00B075B7" w:rsidP="00B075B7">
      <w:pPr>
        <w:spacing w:line="392" w:lineRule="auto"/>
        <w:jc w:val="both"/>
        <w:rPr>
          <w:rFonts w:ascii="Times New Roman" w:eastAsia="Times New Roman" w:hAnsi="Times New Roman" w:cs="Times New Roman"/>
        </w:rPr>
      </w:pPr>
    </w:p>
    <w:p w14:paraId="08A98B6E" w14:textId="77777777" w:rsidR="00E10902" w:rsidRDefault="00E10902" w:rsidP="00B075B7">
      <w:pPr>
        <w:spacing w:line="392" w:lineRule="auto"/>
        <w:jc w:val="both"/>
        <w:rPr>
          <w:rFonts w:ascii="Times New Roman" w:eastAsia="Times New Roman" w:hAnsi="Times New Roman" w:cs="Times New Roman"/>
        </w:rPr>
      </w:pPr>
    </w:p>
    <w:p w14:paraId="50EB7377" w14:textId="77777777" w:rsidR="009B4ED6" w:rsidRDefault="00E10902" w:rsidP="00B075B7">
      <w:pPr>
        <w:spacing w:line="392" w:lineRule="auto"/>
        <w:jc w:val="both"/>
        <w:rPr>
          <w:rFonts w:ascii="Times New Roman" w:eastAsia="Times New Roman" w:hAnsi="Times New Roman" w:cs="Times New Roman"/>
        </w:rPr>
      </w:pPr>
      <w:r w:rsidRPr="00E10902">
        <w:rPr>
          <w:rFonts w:ascii="Times New Roman" w:eastAsia="Times New Roman" w:hAnsi="Times New Roman" w:cs="Times New Roman"/>
          <w:b/>
          <w:bCs/>
        </w:rPr>
        <w:t>Participant characteristics of the cholera patients</w:t>
      </w:r>
    </w:p>
    <w:p w14:paraId="7D880E7B" w14:textId="04F80712" w:rsidR="00B075B7" w:rsidRDefault="009B4ED6" w:rsidP="00B075B7">
      <w:pPr>
        <w:spacing w:line="392" w:lineRule="auto"/>
        <w:jc w:val="both"/>
        <w:rPr>
          <w:rFonts w:ascii="Times New Roman" w:eastAsia="Times New Roman" w:hAnsi="Times New Roman" w:cs="Times New Roman"/>
        </w:rPr>
      </w:pPr>
      <w:r w:rsidRPr="009B4ED6">
        <w:rPr>
          <w:rFonts w:ascii="Times New Roman" w:eastAsia="Times New Roman" w:hAnsi="Times New Roman" w:cs="Times New Roman"/>
          <w:b/>
          <w:bCs/>
        </w:rPr>
        <w:t>Age</w:t>
      </w:r>
      <w:r>
        <w:rPr>
          <w:rFonts w:ascii="Times New Roman" w:eastAsia="Times New Roman" w:hAnsi="Times New Roman" w:cs="Times New Roman"/>
          <w:b/>
          <w:bCs/>
        </w:rPr>
        <w:t>, sex, and father education</w:t>
      </w:r>
      <w:r>
        <w:rPr>
          <w:rFonts w:ascii="Times New Roman" w:eastAsia="Times New Roman" w:hAnsi="Times New Roman" w:cs="Times New Roman"/>
        </w:rPr>
        <w:t xml:space="preserve">: </w:t>
      </w:r>
      <w:r w:rsidR="00B075B7">
        <w:rPr>
          <w:rFonts w:ascii="Times New Roman" w:eastAsia="Times New Roman" w:hAnsi="Times New Roman" w:cs="Times New Roman"/>
        </w:rPr>
        <w:t>The distributions of cholera cases among different age groups (infants, children, adults, older adults) changed significantly (</w:t>
      </w:r>
      <w:r w:rsidR="00B075B7" w:rsidRPr="0007280D">
        <w:rPr>
          <w:rFonts w:ascii="Times New Roman" w:hAnsi="Times New Roman" w:cs="Times New Roman"/>
        </w:rPr>
        <w:t>χ²</w:t>
      </w:r>
      <w:r w:rsidR="00B075B7">
        <w:rPr>
          <w:rFonts w:ascii="Times New Roman" w:eastAsia="Times New Roman" w:hAnsi="Times New Roman" w:cs="Times New Roman"/>
        </w:rPr>
        <w:t>=329.81, p&lt;0.001) between the two time periods (</w:t>
      </w:r>
      <w:r w:rsidR="00B075B7">
        <w:rPr>
          <w:rFonts w:ascii="Times New Roman" w:eastAsia="Times New Roman" w:hAnsi="Times New Roman" w:cs="Times New Roman"/>
          <w:b/>
        </w:rPr>
        <w:t xml:space="preserve">Supplementary Table </w:t>
      </w:r>
      <w:r w:rsidR="00DF50A4">
        <w:rPr>
          <w:rFonts w:ascii="Times New Roman" w:eastAsia="Times New Roman" w:hAnsi="Times New Roman" w:cs="Times New Roman"/>
          <w:b/>
        </w:rPr>
        <w:t>8</w:t>
      </w:r>
      <w:r w:rsidR="00B075B7">
        <w:rPr>
          <w:rFonts w:ascii="Times New Roman" w:eastAsia="Times New Roman" w:hAnsi="Times New Roman" w:cs="Times New Roman"/>
        </w:rPr>
        <w:t>). Adults remained the most affected group, with their case proportion increasing from 48.4% in the 1996-2010 period to 61.7% in the 2011-2024 period, while the proportions of infant (25.9% to 16.4%) and child (17.3% to 10%) cases declined. In both periods, males were more affected than females</w:t>
      </w:r>
      <w:r>
        <w:rPr>
          <w:rFonts w:ascii="Times New Roman" w:eastAsia="Times New Roman" w:hAnsi="Times New Roman" w:cs="Times New Roman"/>
        </w:rPr>
        <w:t xml:space="preserve"> (1996-2010: Male 55.2% and Female 44.8%; 2011-2024: Male 59.8% and Female 40.2%)</w:t>
      </w:r>
      <w:r w:rsidR="00B075B7">
        <w:rPr>
          <w:rFonts w:ascii="Times New Roman" w:eastAsia="Times New Roman" w:hAnsi="Times New Roman" w:cs="Times New Roman"/>
        </w:rPr>
        <w:t xml:space="preserve">. The father's education showed a significant association with cholera risk. In 1996-2010, 64.4% of cases had no parental education, while this proportion dropped to 56.9% in 2011-2014. Interestingly, the percentage of cholera cases whose fathers had some formal education (especially 4-5 years) increased in 2011-2024. </w:t>
      </w:r>
    </w:p>
    <w:p w14:paraId="03ED90A4" w14:textId="77777777" w:rsidR="00B075B7" w:rsidRDefault="00B075B7" w:rsidP="00B075B7">
      <w:pPr>
        <w:spacing w:line="392" w:lineRule="auto"/>
        <w:jc w:val="both"/>
        <w:rPr>
          <w:rFonts w:ascii="Times New Roman" w:eastAsia="Times New Roman" w:hAnsi="Times New Roman" w:cs="Times New Roman"/>
        </w:rPr>
      </w:pPr>
    </w:p>
    <w:p w14:paraId="67A09225" w14:textId="155FD59E" w:rsidR="00B075B7" w:rsidRDefault="00957789" w:rsidP="00B075B7">
      <w:pPr>
        <w:spacing w:line="392" w:lineRule="auto"/>
        <w:jc w:val="both"/>
        <w:rPr>
          <w:rFonts w:ascii="Times New Roman" w:eastAsia="Times New Roman" w:hAnsi="Times New Roman" w:cs="Times New Roman"/>
        </w:rPr>
      </w:pPr>
      <w:r w:rsidRPr="00957789">
        <w:rPr>
          <w:rFonts w:ascii="Times New Roman" w:eastAsia="Times New Roman" w:hAnsi="Times New Roman" w:cs="Times New Roman"/>
          <w:b/>
          <w:bCs/>
        </w:rPr>
        <w:t>Patients living conditions</w:t>
      </w:r>
      <w:r>
        <w:rPr>
          <w:rFonts w:ascii="Times New Roman" w:eastAsia="Times New Roman" w:hAnsi="Times New Roman" w:cs="Times New Roman"/>
        </w:rPr>
        <w:t xml:space="preserve">: </w:t>
      </w:r>
      <w:r w:rsidR="00B075B7">
        <w:rPr>
          <w:rFonts w:ascii="Times New Roman" w:eastAsia="Times New Roman" w:hAnsi="Times New Roman" w:cs="Times New Roman"/>
        </w:rPr>
        <w:t>Common households accounted for most of the cholera cases in both periods. Significant improvements were observed in housing materials and infrastructure, but cholera cases increased substantially among cemented floors from 59.7% in 1996-2010 to 89.3% in the 2011-2024 period. The household wall (</w:t>
      </w:r>
      <w:r w:rsidR="00B075B7" w:rsidRPr="0007280D">
        <w:rPr>
          <w:rFonts w:ascii="Times New Roman" w:hAnsi="Times New Roman" w:cs="Times New Roman"/>
        </w:rPr>
        <w:t xml:space="preserve">χ² </w:t>
      </w:r>
      <w:r w:rsidR="00B075B7">
        <w:rPr>
          <w:rFonts w:ascii="Times New Roman" w:eastAsia="Times New Roman" w:hAnsi="Times New Roman" w:cs="Times New Roman"/>
        </w:rPr>
        <w:t>=2509.03, p&lt;0.001) and roof type (</w:t>
      </w:r>
      <w:r w:rsidR="00B075B7" w:rsidRPr="0007280D">
        <w:rPr>
          <w:rFonts w:ascii="Times New Roman" w:hAnsi="Times New Roman" w:cs="Times New Roman"/>
        </w:rPr>
        <w:t>χ²</w:t>
      </w:r>
      <w:r w:rsidR="00B075B7">
        <w:rPr>
          <w:rFonts w:ascii="Times New Roman" w:eastAsia="Times New Roman" w:hAnsi="Times New Roman" w:cs="Times New Roman"/>
        </w:rPr>
        <w:t xml:space="preserve">=4350.06, p&lt;0.001) differed significantly among cholera cases between the periods.  In 1996-2010, cholera cases were most common among brick walls, followed by bamboo (22.2%), and corrugated tin (18.1%). In 2011-2024, brick walls become overwhelmingly dominant (78.3%), declining in other materials. The majority of cholera cases were from homes with corrugated tin roofs (63.4%) and concrete roofs (19.8%) in 1996-2010, however, concrete roofs became the most common (43.3%), and corrugated tin dropped to 4.2% in 2011-2024. Cholera cases were primarily associated with semi-sanitary (55.2%), </w:t>
      </w:r>
      <w:proofErr w:type="spellStart"/>
      <w:r w:rsidR="00B075B7">
        <w:rPr>
          <w:rFonts w:ascii="Times New Roman" w:eastAsia="Times New Roman" w:hAnsi="Times New Roman" w:cs="Times New Roman"/>
        </w:rPr>
        <w:t>dughole</w:t>
      </w:r>
      <w:proofErr w:type="spellEnd"/>
      <w:r w:rsidR="00B075B7">
        <w:rPr>
          <w:rFonts w:ascii="Times New Roman" w:eastAsia="Times New Roman" w:hAnsi="Times New Roman" w:cs="Times New Roman"/>
        </w:rPr>
        <w:t xml:space="preserve"> (23.3%), and open pit (11.8%) toilets in 1996-2010. In contrast, semi-sanitary toilets accounted for the vast majority of cases (88.4%) in 2011-2024, no-fixed place, and hanging toilets became rare in recent times. </w:t>
      </w:r>
    </w:p>
    <w:p w14:paraId="6872ABD5" w14:textId="77777777" w:rsidR="00B075B7" w:rsidRDefault="00B075B7" w:rsidP="00B075B7">
      <w:pPr>
        <w:spacing w:line="392" w:lineRule="auto"/>
        <w:jc w:val="both"/>
        <w:rPr>
          <w:rFonts w:ascii="Times New Roman" w:eastAsia="Times New Roman" w:hAnsi="Times New Roman" w:cs="Times New Roman"/>
        </w:rPr>
      </w:pPr>
    </w:p>
    <w:p w14:paraId="16139340" w14:textId="511C7346" w:rsidR="00B075B7" w:rsidRDefault="00957789" w:rsidP="00B075B7">
      <w:pPr>
        <w:spacing w:line="392" w:lineRule="auto"/>
        <w:jc w:val="both"/>
        <w:rPr>
          <w:rFonts w:ascii="Times New Roman" w:eastAsia="Times New Roman" w:hAnsi="Times New Roman" w:cs="Times New Roman"/>
        </w:rPr>
      </w:pPr>
      <w:r w:rsidRPr="00957789">
        <w:rPr>
          <w:rFonts w:ascii="Times New Roman" w:eastAsia="Times New Roman" w:hAnsi="Times New Roman" w:cs="Times New Roman"/>
          <w:b/>
          <w:bCs/>
        </w:rPr>
        <w:t>Clinical symptoms</w:t>
      </w:r>
      <w:r>
        <w:rPr>
          <w:rFonts w:ascii="Times New Roman" w:eastAsia="Times New Roman" w:hAnsi="Times New Roman" w:cs="Times New Roman"/>
        </w:rPr>
        <w:t xml:space="preserve">: </w:t>
      </w:r>
      <w:r w:rsidR="00B075B7">
        <w:rPr>
          <w:rFonts w:ascii="Times New Roman" w:eastAsia="Times New Roman" w:hAnsi="Times New Roman" w:cs="Times New Roman"/>
        </w:rPr>
        <w:t xml:space="preserve">Regarding the clinical symptoms of cholera, dehydration, number of stools, vomiting, and abdominal pain among cholera cases differed significantly (p-value &lt; 0.001) in both </w:t>
      </w:r>
      <w:r w:rsidR="00B075B7">
        <w:rPr>
          <w:rFonts w:ascii="Times New Roman" w:eastAsia="Times New Roman" w:hAnsi="Times New Roman" w:cs="Times New Roman"/>
        </w:rPr>
        <w:lastRenderedPageBreak/>
        <w:t xml:space="preserve">periods, but stool character (p-value=0.466), mucus or blood in stool (p-value=0.206) among cholera cases were independent of time period. Most of the patients had no visible mucus in their stools during both periods. The proportion of patients with severe dehydration increased from 60.1% in 1996-2010 to 73% in the 2011-2024 period. Additionally, 28.7% cholera cases experienced 16-20 stools per day, and 19% experienced more than 21 stools per day, compared to 13.4% and 9.4% respectively, during 1996-2010. Moreover, 55.7% of cases reported abdominal pain in 2011-2024, up from 46.6% in the earlier period, indicating a rise in severe clinical symptoms in cholera patients. </w:t>
      </w:r>
    </w:p>
    <w:p w14:paraId="0A23B934" w14:textId="77777777" w:rsidR="003557A5" w:rsidRDefault="003557A5" w:rsidP="00B075B7">
      <w:pPr>
        <w:spacing w:line="392" w:lineRule="auto"/>
        <w:jc w:val="both"/>
        <w:rPr>
          <w:rFonts w:ascii="Times New Roman" w:eastAsia="Times New Roman" w:hAnsi="Times New Roman" w:cs="Times New Roman"/>
        </w:rPr>
      </w:pPr>
    </w:p>
    <w:p w14:paraId="72D3F3A2" w14:textId="77777777" w:rsidR="00D70725" w:rsidRDefault="00D70725" w:rsidP="00107E66">
      <w:pPr>
        <w:rPr>
          <w:rFonts w:ascii="Times New Roman" w:hAnsi="Times New Roman" w:cs="Times New Roman"/>
          <w:b/>
          <w:bCs/>
          <w:sz w:val="32"/>
          <w:szCs w:val="32"/>
        </w:rPr>
      </w:pPr>
    </w:p>
    <w:p w14:paraId="680C1415" w14:textId="77777777" w:rsidR="00B85E9E" w:rsidRDefault="00B85E9E" w:rsidP="00B85E9E">
      <w:pPr>
        <w:rPr>
          <w:rFonts w:ascii="Times New Roman" w:hAnsi="Times New Roman" w:cs="Times New Roman"/>
          <w:b/>
          <w:bCs/>
          <w:sz w:val="32"/>
          <w:szCs w:val="32"/>
        </w:rPr>
      </w:pPr>
    </w:p>
    <w:p w14:paraId="5D8E64A3" w14:textId="3AB7A04D" w:rsidR="00B85E9E" w:rsidRPr="00B85E9E" w:rsidRDefault="00B85E9E" w:rsidP="00B85E9E">
      <w:pPr>
        <w:tabs>
          <w:tab w:val="left" w:pos="2638"/>
        </w:tabs>
        <w:rPr>
          <w:rFonts w:ascii="Times New Roman" w:hAnsi="Times New Roman" w:cs="Times New Roman"/>
          <w:sz w:val="32"/>
          <w:szCs w:val="32"/>
        </w:rPr>
      </w:pPr>
      <w:r>
        <w:rPr>
          <w:rFonts w:ascii="Times New Roman" w:hAnsi="Times New Roman" w:cs="Times New Roman"/>
          <w:sz w:val="32"/>
          <w:szCs w:val="32"/>
        </w:rPr>
        <w:tab/>
      </w:r>
    </w:p>
    <w:sectPr w:rsidR="00B85E9E" w:rsidRPr="00B8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6E6D"/>
    <w:multiLevelType w:val="hybridMultilevel"/>
    <w:tmpl w:val="DFBA8440"/>
    <w:lvl w:ilvl="0" w:tplc="F70AD9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83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C7"/>
    <w:rsid w:val="0002212F"/>
    <w:rsid w:val="00027955"/>
    <w:rsid w:val="0004619A"/>
    <w:rsid w:val="0007104B"/>
    <w:rsid w:val="0007280D"/>
    <w:rsid w:val="0007697C"/>
    <w:rsid w:val="000822FC"/>
    <w:rsid w:val="000A1434"/>
    <w:rsid w:val="000A4498"/>
    <w:rsid w:val="000D0B49"/>
    <w:rsid w:val="000D453B"/>
    <w:rsid w:val="000F6E7B"/>
    <w:rsid w:val="00107E66"/>
    <w:rsid w:val="00155062"/>
    <w:rsid w:val="001619C5"/>
    <w:rsid w:val="00186F4A"/>
    <w:rsid w:val="001A0B86"/>
    <w:rsid w:val="001C5B30"/>
    <w:rsid w:val="001D1152"/>
    <w:rsid w:val="0021484D"/>
    <w:rsid w:val="002165FD"/>
    <w:rsid w:val="0026275A"/>
    <w:rsid w:val="002774AD"/>
    <w:rsid w:val="00286388"/>
    <w:rsid w:val="00287194"/>
    <w:rsid w:val="002C2414"/>
    <w:rsid w:val="002C7F6A"/>
    <w:rsid w:val="002F43D5"/>
    <w:rsid w:val="00311CA1"/>
    <w:rsid w:val="00327B64"/>
    <w:rsid w:val="003468BA"/>
    <w:rsid w:val="003557A5"/>
    <w:rsid w:val="00362349"/>
    <w:rsid w:val="00365556"/>
    <w:rsid w:val="00374839"/>
    <w:rsid w:val="00381A5B"/>
    <w:rsid w:val="0038499C"/>
    <w:rsid w:val="003B7E07"/>
    <w:rsid w:val="003E0E39"/>
    <w:rsid w:val="004054A5"/>
    <w:rsid w:val="0043150E"/>
    <w:rsid w:val="00474645"/>
    <w:rsid w:val="004944E7"/>
    <w:rsid w:val="004A7C38"/>
    <w:rsid w:val="00503FFD"/>
    <w:rsid w:val="00536DBF"/>
    <w:rsid w:val="00545DF1"/>
    <w:rsid w:val="00591883"/>
    <w:rsid w:val="00595545"/>
    <w:rsid w:val="005A7FCB"/>
    <w:rsid w:val="005D63A5"/>
    <w:rsid w:val="00615B47"/>
    <w:rsid w:val="00615E35"/>
    <w:rsid w:val="006277FD"/>
    <w:rsid w:val="00631777"/>
    <w:rsid w:val="00645304"/>
    <w:rsid w:val="006470D3"/>
    <w:rsid w:val="00655EB9"/>
    <w:rsid w:val="00672660"/>
    <w:rsid w:val="006934DD"/>
    <w:rsid w:val="00694848"/>
    <w:rsid w:val="006C268E"/>
    <w:rsid w:val="006D12A3"/>
    <w:rsid w:val="006F275C"/>
    <w:rsid w:val="006F5C40"/>
    <w:rsid w:val="007032C7"/>
    <w:rsid w:val="00714E7C"/>
    <w:rsid w:val="00757CF7"/>
    <w:rsid w:val="00760ED4"/>
    <w:rsid w:val="00762A50"/>
    <w:rsid w:val="00826FAA"/>
    <w:rsid w:val="00867C1A"/>
    <w:rsid w:val="00873E07"/>
    <w:rsid w:val="008B4E8C"/>
    <w:rsid w:val="008B79D4"/>
    <w:rsid w:val="00922846"/>
    <w:rsid w:val="009446DE"/>
    <w:rsid w:val="00954D3B"/>
    <w:rsid w:val="00957789"/>
    <w:rsid w:val="00986103"/>
    <w:rsid w:val="00991204"/>
    <w:rsid w:val="009B4ED6"/>
    <w:rsid w:val="009E4187"/>
    <w:rsid w:val="009E47A4"/>
    <w:rsid w:val="00A00D44"/>
    <w:rsid w:val="00A13986"/>
    <w:rsid w:val="00A20002"/>
    <w:rsid w:val="00A32B6D"/>
    <w:rsid w:val="00A41339"/>
    <w:rsid w:val="00A4694A"/>
    <w:rsid w:val="00A6432D"/>
    <w:rsid w:val="00A72B09"/>
    <w:rsid w:val="00A74414"/>
    <w:rsid w:val="00A8768D"/>
    <w:rsid w:val="00A939DC"/>
    <w:rsid w:val="00AA3998"/>
    <w:rsid w:val="00AB1A94"/>
    <w:rsid w:val="00AD0FA0"/>
    <w:rsid w:val="00AD1C55"/>
    <w:rsid w:val="00AD1D6B"/>
    <w:rsid w:val="00B03149"/>
    <w:rsid w:val="00B075B7"/>
    <w:rsid w:val="00B218E9"/>
    <w:rsid w:val="00B677DE"/>
    <w:rsid w:val="00B85E9E"/>
    <w:rsid w:val="00B90A60"/>
    <w:rsid w:val="00BB5AF0"/>
    <w:rsid w:val="00BD068B"/>
    <w:rsid w:val="00C0206F"/>
    <w:rsid w:val="00C105F6"/>
    <w:rsid w:val="00C4062C"/>
    <w:rsid w:val="00C4136E"/>
    <w:rsid w:val="00C802ED"/>
    <w:rsid w:val="00CA18C0"/>
    <w:rsid w:val="00CF3C6E"/>
    <w:rsid w:val="00D07802"/>
    <w:rsid w:val="00D1511F"/>
    <w:rsid w:val="00D17952"/>
    <w:rsid w:val="00D4187C"/>
    <w:rsid w:val="00D70725"/>
    <w:rsid w:val="00D8520F"/>
    <w:rsid w:val="00DA3D85"/>
    <w:rsid w:val="00DC503A"/>
    <w:rsid w:val="00DC5E88"/>
    <w:rsid w:val="00DD078D"/>
    <w:rsid w:val="00DE0C8E"/>
    <w:rsid w:val="00DE4D7C"/>
    <w:rsid w:val="00DE518D"/>
    <w:rsid w:val="00DF1AD3"/>
    <w:rsid w:val="00DF50A4"/>
    <w:rsid w:val="00E10902"/>
    <w:rsid w:val="00E1256D"/>
    <w:rsid w:val="00E21C2B"/>
    <w:rsid w:val="00E25C24"/>
    <w:rsid w:val="00E32233"/>
    <w:rsid w:val="00E346C7"/>
    <w:rsid w:val="00E34CCC"/>
    <w:rsid w:val="00E9456C"/>
    <w:rsid w:val="00EA413C"/>
    <w:rsid w:val="00ED3CD4"/>
    <w:rsid w:val="00EF5C25"/>
    <w:rsid w:val="00F02471"/>
    <w:rsid w:val="00F1085B"/>
    <w:rsid w:val="00F34DA1"/>
    <w:rsid w:val="00F64496"/>
    <w:rsid w:val="00F74E4D"/>
    <w:rsid w:val="00F87DE9"/>
    <w:rsid w:val="00FA3A52"/>
    <w:rsid w:val="00FC58D2"/>
    <w:rsid w:val="00FE708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CF08"/>
  <w15:chartTrackingRefBased/>
  <w15:docId w15:val="{2AA9C114-324E-234D-B314-4AD6302E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1C2B"/>
    <w:rPr>
      <w:sz w:val="16"/>
      <w:szCs w:val="16"/>
    </w:rPr>
  </w:style>
  <w:style w:type="paragraph" w:styleId="CommentText">
    <w:name w:val="annotation text"/>
    <w:basedOn w:val="Normal"/>
    <w:link w:val="CommentTextChar"/>
    <w:uiPriority w:val="99"/>
    <w:semiHidden/>
    <w:unhideWhenUsed/>
    <w:rsid w:val="00E21C2B"/>
    <w:rPr>
      <w:rFonts w:ascii="Times New Roman" w:eastAsia="Times New Roman" w:hAnsi="Times New Roman" w:cs="Times New Roman"/>
      <w:kern w:val="0"/>
      <w:sz w:val="20"/>
      <w:szCs w:val="25"/>
      <w14:ligatures w14:val="none"/>
    </w:rPr>
  </w:style>
  <w:style w:type="character" w:customStyle="1" w:styleId="CommentTextChar">
    <w:name w:val="Comment Text Char"/>
    <w:basedOn w:val="DefaultParagraphFont"/>
    <w:link w:val="CommentText"/>
    <w:uiPriority w:val="99"/>
    <w:semiHidden/>
    <w:rsid w:val="00E21C2B"/>
    <w:rPr>
      <w:rFonts w:ascii="Times New Roman" w:eastAsia="Times New Roman" w:hAnsi="Times New Roman" w:cs="Times New Roman"/>
      <w:kern w:val="0"/>
      <w:sz w:val="20"/>
      <w:szCs w:val="25"/>
      <w14:ligatures w14:val="none"/>
    </w:rPr>
  </w:style>
  <w:style w:type="character" w:styleId="Hyperlink">
    <w:name w:val="Hyperlink"/>
    <w:basedOn w:val="DefaultParagraphFont"/>
    <w:uiPriority w:val="99"/>
    <w:unhideWhenUsed/>
    <w:rsid w:val="00E1256D"/>
    <w:rPr>
      <w:color w:val="0563C1" w:themeColor="hyperlink"/>
      <w:u w:val="single"/>
    </w:rPr>
  </w:style>
  <w:style w:type="character" w:styleId="UnresolvedMention">
    <w:name w:val="Unresolved Mention"/>
    <w:basedOn w:val="DefaultParagraphFont"/>
    <w:uiPriority w:val="99"/>
    <w:semiHidden/>
    <w:unhideWhenUsed/>
    <w:rsid w:val="00E1256D"/>
    <w:rPr>
      <w:color w:val="605E5C"/>
      <w:shd w:val="clear" w:color="auto" w:fill="E1DFDD"/>
    </w:rPr>
  </w:style>
  <w:style w:type="paragraph" w:styleId="ListParagraph">
    <w:name w:val="List Paragraph"/>
    <w:basedOn w:val="Normal"/>
    <w:uiPriority w:val="34"/>
    <w:qFormat/>
    <w:rsid w:val="00DD0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54895">
      <w:bodyDiv w:val="1"/>
      <w:marLeft w:val="0"/>
      <w:marRight w:val="0"/>
      <w:marTop w:val="0"/>
      <w:marBottom w:val="0"/>
      <w:divBdr>
        <w:top w:val="none" w:sz="0" w:space="0" w:color="auto"/>
        <w:left w:val="none" w:sz="0" w:space="0" w:color="auto"/>
        <w:bottom w:val="none" w:sz="0" w:space="0" w:color="auto"/>
        <w:right w:val="none" w:sz="0" w:space="0" w:color="auto"/>
      </w:divBdr>
    </w:div>
    <w:div w:id="16995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MAMUN MONIR</dc:creator>
  <cp:keywords/>
  <dc:description/>
  <cp:lastModifiedBy>MD MAMUN MONIR</cp:lastModifiedBy>
  <cp:revision>10</cp:revision>
  <dcterms:created xsi:type="dcterms:W3CDTF">2025-07-09T05:24:00Z</dcterms:created>
  <dcterms:modified xsi:type="dcterms:W3CDTF">2025-07-23T09:45:00Z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5f225abf-eee8-4144-a123-6f2052d8ea18</vt:lpwstr>
  </property>
</Properties>
</file>