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9799E"/>
    <w:p w14:paraId="5FEEFB8E">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i/>
          <w:iCs/>
          <w:color w:val="000000"/>
          <w:kern w:val="0"/>
          <w:sz w:val="31"/>
          <w:szCs w:val="31"/>
          <w:lang w:val="en-US" w:eastAsia="zh-CN" w:bidi="ar"/>
        </w:rPr>
        <w:t>Supplementary Material</w:t>
      </w:r>
    </w:p>
    <w:p w14:paraId="3D4C320E">
      <w:pPr>
        <w:keepNext w:val="0"/>
        <w:keepLines w:val="0"/>
        <w:pageBreakBefore w:val="0"/>
        <w:widowControl/>
        <w:kinsoku/>
        <w:wordWrap/>
        <w:overflowPunct/>
        <w:topLinePunct w:val="0"/>
        <w:autoSpaceDE/>
        <w:autoSpaceDN/>
        <w:bidi w:val="0"/>
        <w:adjustRightInd w:val="0"/>
        <w:snapToGrid w:val="0"/>
        <w:spacing w:after="0" w:line="480" w:lineRule="auto"/>
        <w:jc w:val="left"/>
        <w:textAlignment w:val="auto"/>
        <w:rPr>
          <w:rFonts w:hint="default" w:ascii="Times New Roman" w:hAnsi="Times New Roman" w:eastAsia="宋体" w:cs="Times New Roman"/>
          <w:b/>
          <w:bCs/>
          <w:sz w:val="28"/>
          <w:szCs w:val="28"/>
          <w:lang w:val="en-US" w:eastAsia="zh-CN"/>
        </w:rPr>
      </w:pPr>
      <w:r>
        <w:rPr>
          <w:rFonts w:ascii="Times New Roman" w:hAnsi="Times New Roman" w:eastAsia="宋体" w:cs="Times New Roman"/>
          <w:b/>
          <w:bCs/>
          <w:sz w:val="28"/>
          <w:szCs w:val="28"/>
          <w:lang w:eastAsia="zh-CN"/>
        </w:rPr>
        <w:t>PD-1 blockade plus capecitabine as curative-intent treatment for tumor mutational burden-high multi-metastatic pancreatic ductal adenocarcinoma</w:t>
      </w:r>
      <w:r>
        <w:rPr>
          <w:rFonts w:hint="eastAsia" w:ascii="Times New Roman" w:hAnsi="Times New Roman" w:eastAsia="宋体" w:cs="Times New Roman"/>
          <w:b/>
          <w:bCs/>
          <w:sz w:val="28"/>
          <w:szCs w:val="28"/>
          <w:lang w:val="en-US" w:eastAsia="zh-CN"/>
        </w:rPr>
        <w:t>: A case report</w:t>
      </w:r>
    </w:p>
    <w:p w14:paraId="0BF03356">
      <w:pPr>
        <w:keepNext w:val="0"/>
        <w:keepLines w:val="0"/>
        <w:pageBreakBefore w:val="0"/>
        <w:widowControl/>
        <w:kinsoku/>
        <w:wordWrap/>
        <w:overflowPunct/>
        <w:topLinePunct w:val="0"/>
        <w:autoSpaceDE/>
        <w:autoSpaceDN/>
        <w:bidi w:val="0"/>
        <w:adjustRightInd w:val="0"/>
        <w:snapToGrid w:val="0"/>
        <w:spacing w:after="0" w:line="480" w:lineRule="auto"/>
        <w:jc w:val="left"/>
        <w:textAlignment w:val="auto"/>
        <w:rPr>
          <w:rFonts w:hint="default" w:ascii="Times New Roman Bold" w:hAnsi="Times New Roman Bold" w:eastAsia="宋体" w:cs="Times New Roman Bold"/>
          <w:b/>
          <w:bCs/>
          <w:sz w:val="24"/>
          <w:szCs w:val="24"/>
          <w:lang w:val="en-US" w:eastAsia="zh-CN"/>
        </w:rPr>
      </w:pPr>
      <w:r>
        <w:rPr>
          <w:rFonts w:hint="default" w:ascii="Times New Roman Bold" w:hAnsi="Times New Roman Bold" w:cs="Times New Roman Bold" w:eastAsiaTheme="majorEastAsia"/>
          <w:b/>
          <w:bCs/>
          <w:sz w:val="24"/>
          <w:szCs w:val="24"/>
          <w:lang w:val="en-US" w:eastAsia="zh-CN"/>
        </w:rPr>
        <w:t>Luyao Ma</w:t>
      </w:r>
      <w:r>
        <w:rPr>
          <w:rFonts w:hint="default" w:ascii="Times New Roman Bold" w:hAnsi="Times New Roman Bold" w:cs="Times New Roman Bold" w:eastAsiaTheme="majorEastAsia"/>
          <w:b/>
          <w:bCs/>
          <w:sz w:val="24"/>
          <w:szCs w:val="24"/>
          <w:vertAlign w:val="superscript"/>
        </w:rPr>
        <w:t>1,#</w:t>
      </w:r>
      <w:r>
        <w:rPr>
          <w:rFonts w:hint="default" w:ascii="Times New Roman Bold" w:hAnsi="Times New Roman Bold" w:cs="Times New Roman Bold" w:eastAsiaTheme="majorEastAsia"/>
          <w:b/>
          <w:bCs/>
          <w:sz w:val="24"/>
          <w:szCs w:val="24"/>
          <w:lang w:val="en-US" w:eastAsia="zh-CN"/>
        </w:rPr>
        <w:t xml:space="preserve">, </w:t>
      </w:r>
      <w:r>
        <w:rPr>
          <w:rFonts w:hint="default" w:ascii="Times New Roman Bold" w:hAnsi="Times New Roman Bold" w:cs="Times New Roman Bold" w:eastAsiaTheme="majorEastAsia"/>
          <w:b/>
          <w:bCs/>
          <w:sz w:val="24"/>
          <w:szCs w:val="24"/>
        </w:rPr>
        <w:t>Yuejun Han</w:t>
      </w:r>
      <w:r>
        <w:rPr>
          <w:rFonts w:hint="default" w:ascii="Times New Roman Bold" w:hAnsi="Times New Roman Bold" w:cs="Times New Roman Bold" w:eastAsiaTheme="majorEastAsia"/>
          <w:b/>
          <w:bCs/>
          <w:sz w:val="24"/>
          <w:szCs w:val="24"/>
          <w:vertAlign w:val="superscript"/>
          <w:lang w:val="en-US"/>
        </w:rPr>
        <w:t>2</w:t>
      </w:r>
      <w:r>
        <w:rPr>
          <w:rFonts w:hint="default" w:ascii="Times New Roman Bold" w:hAnsi="Times New Roman Bold" w:cs="Times New Roman Bold" w:eastAsiaTheme="majorEastAsia"/>
          <w:b/>
          <w:bCs/>
          <w:sz w:val="24"/>
          <w:szCs w:val="24"/>
          <w:vertAlign w:val="superscript"/>
        </w:rPr>
        <w:t>,#</w:t>
      </w:r>
      <w:r>
        <w:rPr>
          <w:rFonts w:hint="default" w:ascii="Times New Roman Bold" w:hAnsi="Times New Roman Bold" w:cs="Times New Roman Bold" w:eastAsiaTheme="majorEastAsia"/>
          <w:b/>
          <w:bCs/>
          <w:sz w:val="24"/>
          <w:szCs w:val="24"/>
        </w:rPr>
        <w:t>, Xingxing Yu</w:t>
      </w:r>
      <w:r>
        <w:rPr>
          <w:rFonts w:hint="default" w:ascii="Times New Roman Bold" w:hAnsi="Times New Roman Bold" w:cs="Times New Roman Bold" w:eastAsiaTheme="majorEastAsia"/>
          <w:b/>
          <w:bCs/>
          <w:sz w:val="24"/>
          <w:szCs w:val="24"/>
          <w:vertAlign w:val="superscript"/>
          <w:lang w:val="en-US"/>
        </w:rPr>
        <w:t>3</w:t>
      </w:r>
      <w:r>
        <w:rPr>
          <w:rFonts w:hint="default" w:ascii="Times New Roman Bold" w:hAnsi="Times New Roman Bold" w:cs="Times New Roman Bold" w:eastAsiaTheme="majorEastAsia"/>
          <w:b/>
          <w:bCs/>
          <w:sz w:val="24"/>
          <w:szCs w:val="24"/>
          <w:vertAlign w:val="superscript"/>
        </w:rPr>
        <w:t>,#</w:t>
      </w:r>
      <w:r>
        <w:rPr>
          <w:rFonts w:hint="default" w:ascii="Times New Roman Bold" w:hAnsi="Times New Roman Bold" w:cs="Times New Roman Bold" w:eastAsiaTheme="majorEastAsia"/>
          <w:b/>
          <w:bCs/>
          <w:sz w:val="24"/>
          <w:szCs w:val="24"/>
        </w:rPr>
        <w:t>,</w:t>
      </w:r>
      <w:r>
        <w:rPr>
          <w:rFonts w:hint="default" w:ascii="Times New Roman Bold" w:hAnsi="Times New Roman Bold" w:cs="Times New Roman Bold" w:eastAsiaTheme="majorEastAsia"/>
          <w:b/>
          <w:bCs/>
          <w:sz w:val="24"/>
          <w:szCs w:val="24"/>
          <w:lang w:val="en-US" w:eastAsia="zh-CN"/>
        </w:rPr>
        <w:t xml:space="preserve"> </w:t>
      </w:r>
      <w:r>
        <w:rPr>
          <w:rFonts w:hint="default" w:ascii="Times New Roman Bold" w:hAnsi="Times New Roman Bold" w:eastAsia="宋体" w:cs="Times New Roman Bold"/>
          <w:b/>
          <w:bCs/>
          <w:sz w:val="24"/>
          <w:szCs w:val="24"/>
          <w:lang w:eastAsia="zh-CN"/>
        </w:rPr>
        <w:t>Ketao Jin</w:t>
      </w:r>
      <w:r>
        <w:rPr>
          <w:rFonts w:hint="default" w:ascii="Times New Roman Bold" w:hAnsi="Times New Roman Bold" w:eastAsia="宋体" w:cs="Times New Roman Bold"/>
          <w:b/>
          <w:bCs/>
          <w:sz w:val="24"/>
          <w:szCs w:val="24"/>
          <w:vertAlign w:val="superscript"/>
          <w:lang w:val="en-US" w:eastAsia="zh-CN"/>
        </w:rPr>
        <w:t>2,*</w:t>
      </w:r>
      <w:r>
        <w:rPr>
          <w:rFonts w:hint="default" w:ascii="Times New Roman Bold" w:hAnsi="Times New Roman Bold" w:eastAsia="宋体" w:cs="Times New Roman Bold"/>
          <w:b/>
          <w:bCs/>
          <w:sz w:val="24"/>
          <w:szCs w:val="24"/>
          <w:lang w:val="en-US" w:eastAsia="zh-CN"/>
        </w:rPr>
        <w:t xml:space="preserve">, </w:t>
      </w:r>
      <w:r>
        <w:rPr>
          <w:rFonts w:hint="default" w:ascii="Times New Roman Bold" w:hAnsi="Times New Roman Bold" w:cs="Times New Roman Bold" w:eastAsiaTheme="majorEastAsia"/>
          <w:b/>
          <w:bCs/>
          <w:sz w:val="24"/>
          <w:szCs w:val="24"/>
        </w:rPr>
        <w:t>Jinfang Xu</w:t>
      </w:r>
      <w:r>
        <w:rPr>
          <w:rFonts w:hint="default" w:ascii="Times New Roman Bold" w:hAnsi="Times New Roman Bold" w:cs="Times New Roman Bold" w:eastAsiaTheme="majorEastAsia"/>
          <w:b/>
          <w:bCs/>
          <w:sz w:val="24"/>
          <w:szCs w:val="24"/>
          <w:vertAlign w:val="superscript"/>
          <w:lang w:val="en-US"/>
        </w:rPr>
        <w:t>4,*</w:t>
      </w:r>
    </w:p>
    <w:p w14:paraId="0501E4CB">
      <w:pPr>
        <w:adjustRightInd w:val="0"/>
        <w:snapToGrid w:val="0"/>
        <w:spacing w:after="0"/>
        <w:rPr>
          <w:rFonts w:hint="default" w:ascii="Times New Roman" w:hAnsi="Times New Roman" w:cs="Times New Roman"/>
          <w:color w:val="222222"/>
          <w:sz w:val="24"/>
          <w:szCs w:val="24"/>
        </w:rPr>
      </w:pPr>
      <w:r>
        <w:rPr>
          <w:rFonts w:hint="default" w:ascii="Times New Roman" w:hAnsi="Times New Roman" w:cs="Times New Roman"/>
          <w:b/>
          <w:szCs w:val="24"/>
          <w:lang w:val="en-GB"/>
        </w:rPr>
        <w:t xml:space="preserve">* Correspondence: </w:t>
      </w:r>
      <w:r>
        <w:rPr>
          <w:rFonts w:hint="default" w:ascii="Times New Roman" w:hAnsi="Times New Roman" w:cs="Times New Roman"/>
          <w:b/>
          <w:color w:val="222222"/>
          <w:sz w:val="24"/>
          <w:szCs w:val="24"/>
        </w:rPr>
        <w:t>Dr. Ketao Jin</w:t>
      </w:r>
      <w:r>
        <w:rPr>
          <w:rFonts w:hint="default" w:ascii="Times New Roman" w:hAnsi="Times New Roman" w:cs="Times New Roman"/>
          <w:color w:val="222222"/>
          <w:sz w:val="24"/>
          <w:szCs w:val="24"/>
        </w:rPr>
        <w:t xml:space="preserve">, </w:t>
      </w:r>
      <w:r>
        <w:rPr>
          <w:rFonts w:hint="default" w:ascii="Times New Roman" w:hAnsi="Times New Roman" w:cs="Times New Roman"/>
          <w:color w:val="222222"/>
          <w:sz w:val="24"/>
          <w:szCs w:val="24"/>
          <w:u w:val="none"/>
        </w:rPr>
        <w:fldChar w:fldCharType="begin"/>
      </w:r>
      <w:r>
        <w:rPr>
          <w:rFonts w:hint="default" w:ascii="Times New Roman" w:hAnsi="Times New Roman" w:cs="Times New Roman"/>
          <w:color w:val="222222"/>
          <w:sz w:val="24"/>
          <w:szCs w:val="24"/>
          <w:u w:val="none"/>
        </w:rPr>
        <w:instrText xml:space="preserve"> HYPERLINK "mailto:jinketao2001@zju.edu.cn" </w:instrText>
      </w:r>
      <w:r>
        <w:rPr>
          <w:rFonts w:hint="default" w:ascii="Times New Roman" w:hAnsi="Times New Roman" w:cs="Times New Roman"/>
          <w:color w:val="222222"/>
          <w:sz w:val="24"/>
          <w:szCs w:val="24"/>
          <w:u w:val="none"/>
        </w:rPr>
        <w:fldChar w:fldCharType="separate"/>
      </w:r>
      <w:r>
        <w:rPr>
          <w:rStyle w:val="8"/>
          <w:rFonts w:hint="default" w:ascii="Times New Roman" w:hAnsi="Times New Roman" w:cs="Times New Roman"/>
          <w:color w:val="222222"/>
          <w:sz w:val="24"/>
          <w:szCs w:val="24"/>
          <w:u w:val="none"/>
        </w:rPr>
        <w:t>jinketao2001@zju.edu.cn</w:t>
      </w:r>
      <w:r>
        <w:rPr>
          <w:rFonts w:hint="default" w:ascii="Times New Roman" w:hAnsi="Times New Roman" w:cs="Times New Roman"/>
          <w:color w:val="222222"/>
          <w:sz w:val="24"/>
          <w:szCs w:val="24"/>
          <w:u w:val="none"/>
        </w:rPr>
        <w:fldChar w:fldCharType="end"/>
      </w:r>
    </w:p>
    <w:p w14:paraId="0EA1E5DB">
      <w:pPr>
        <w:rPr>
          <w:rFonts w:hint="default" w:ascii="Times New Roman" w:hAnsi="Times New Roman" w:cs="Times New Roman"/>
        </w:rPr>
      </w:pPr>
    </w:p>
    <w:p w14:paraId="0A6F1CB6">
      <w:pPr>
        <w:keepNext w:val="0"/>
        <w:keepLines w:val="0"/>
        <w:widowControl/>
        <w:suppressLineNumbers w:val="0"/>
        <w:jc w:val="left"/>
        <w:rPr>
          <w:rFonts w:hint="default" w:ascii="Times New Roman" w:hAnsi="Times New Roman" w:eastAsia="宋体" w:cs="Times New Roman"/>
          <w:b/>
          <w:bCs/>
          <w:color w:val="000000"/>
          <w:kern w:val="0"/>
          <w:sz w:val="24"/>
          <w:szCs w:val="24"/>
          <w:lang w:val="en-US" w:eastAsia="zh-CN" w:bidi="ar"/>
        </w:rPr>
      </w:pPr>
    </w:p>
    <w:p w14:paraId="3645C2D3">
      <w:pPr>
        <w:keepNext w:val="0"/>
        <w:keepLines w:val="0"/>
        <w:widowControl/>
        <w:suppressLineNumbers w:val="0"/>
        <w:jc w:val="left"/>
        <w:rPr>
          <w:rFonts w:hint="default" w:ascii="Times New Roman" w:hAnsi="Times New Roman" w:cs="Times New Roman"/>
        </w:rPr>
      </w:pPr>
      <w:bookmarkStart w:id="1" w:name="_GoBack"/>
      <w:bookmarkEnd w:id="1"/>
      <w:r>
        <w:rPr>
          <w:rFonts w:hint="default" w:ascii="Times New Roman" w:hAnsi="Times New Roman" w:eastAsia="宋体" w:cs="Times New Roman"/>
          <w:b/>
          <w:bCs/>
          <w:color w:val="000000"/>
          <w:kern w:val="0"/>
          <w:sz w:val="24"/>
          <w:szCs w:val="24"/>
          <w:lang w:val="en-US" w:eastAsia="zh-CN" w:bidi="ar"/>
        </w:rPr>
        <w:t>1  Supplementary Data</w:t>
      </w:r>
    </w:p>
    <w:p w14:paraId="2944F4C9">
      <w:pPr>
        <w:rPr>
          <w:rFonts w:hint="default" w:ascii="Times New Roman" w:hAnsi="Times New Roman" w:cs="Times New Roman"/>
        </w:rPr>
      </w:pPr>
    </w:p>
    <w:p w14:paraId="3648255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The methods of NGS were shown as follows:</w:t>
      </w:r>
    </w:p>
    <w:p w14:paraId="17DC5836">
      <w:pPr>
        <w:rPr>
          <w:rFonts w:hint="default" w:ascii="Times New Roman" w:hAnsi="Times New Roman" w:cs="Times New Roman"/>
        </w:rPr>
      </w:pPr>
    </w:p>
    <w:p w14:paraId="51E81FAE">
      <w:pPr>
        <w:rPr>
          <w:rFonts w:hint="default" w:ascii="Times New Roman" w:hAnsi="Times New Roman" w:eastAsia="宋体" w:cs="Times New Roman"/>
          <w:b/>
          <w:bCs/>
          <w:sz w:val="24"/>
          <w:shd w:val="clear" w:color="auto" w:fill="FFFFFF"/>
        </w:rPr>
      </w:pPr>
      <w:r>
        <w:rPr>
          <w:rFonts w:hint="default" w:ascii="Times New Roman" w:hAnsi="Times New Roman" w:eastAsia="宋体" w:cs="Times New Roman"/>
          <w:b/>
          <w:bCs/>
          <w:sz w:val="24"/>
          <w:shd w:val="clear" w:color="auto" w:fill="FFFFFF"/>
        </w:rPr>
        <w:t>DNA extraction and library preparation</w:t>
      </w:r>
    </w:p>
    <w:p w14:paraId="6BCCACD0">
      <w:pPr>
        <w:rPr>
          <w:rFonts w:hint="default" w:ascii="Times New Roman" w:hAnsi="Times New Roman" w:eastAsia="宋体" w:cs="Times New Roman"/>
          <w:color w:val="555555"/>
          <w:sz w:val="24"/>
          <w:shd w:val="clear" w:color="auto" w:fill="FFFFFF"/>
        </w:rPr>
      </w:pPr>
      <w:r>
        <w:rPr>
          <w:rFonts w:hint="default" w:ascii="Times New Roman" w:hAnsi="Times New Roman" w:eastAsia="宋体" w:cs="Times New Roman"/>
          <w:sz w:val="24"/>
          <w:shd w:val="clear" w:color="auto" w:fill="FFFFFF"/>
        </w:rPr>
        <w:t>Tissue DNA and blood controls were extracted using the QIAamp Genomic DNA kit (QIAGEN, Hilden, Germany) according to the manufacturer's instructions, The quantification and quality of the DNA were assessed using Qubit 2.0 fluorimeter with ds DNA HS assay kit (Thermo Fisher Scientific, Inc.) and the Agilent 2100 BioAnalyzer (Agilent Technologies, Inc.). The sequencing libraries were generated according to the manufacturer's instructions (Illumina Inc).</w:t>
      </w:r>
    </w:p>
    <w:p w14:paraId="6A98174F">
      <w:pPr>
        <w:rPr>
          <w:rFonts w:hint="default" w:ascii="Times New Roman" w:hAnsi="Times New Roman" w:eastAsia="宋体" w:cs="Times New Roman"/>
          <w:color w:val="555555"/>
          <w:sz w:val="24"/>
          <w:shd w:val="clear" w:color="auto" w:fill="FFFFFF"/>
        </w:rPr>
      </w:pPr>
    </w:p>
    <w:p w14:paraId="2FEC8EA5">
      <w:pPr>
        <w:rPr>
          <w:rFonts w:hint="default" w:ascii="Times New Roman" w:hAnsi="Times New Roman" w:eastAsia="宋体" w:cs="Times New Roman"/>
          <w:b/>
          <w:bCs/>
          <w:sz w:val="24"/>
          <w:shd w:val="clear" w:color="auto" w:fill="FFFFFF"/>
        </w:rPr>
      </w:pPr>
      <w:r>
        <w:rPr>
          <w:rFonts w:hint="default" w:ascii="Times New Roman" w:hAnsi="Times New Roman" w:eastAsia="宋体" w:cs="Times New Roman"/>
          <w:b/>
          <w:bCs/>
          <w:sz w:val="24"/>
          <w:shd w:val="clear" w:color="auto" w:fill="FFFFFF"/>
        </w:rPr>
        <w:t>Next-generation sequencing</w:t>
      </w:r>
    </w:p>
    <w:p w14:paraId="344CC3D8">
      <w:pPr>
        <w:rPr>
          <w:rFonts w:hint="default" w:ascii="Times New Roman" w:hAnsi="Times New Roman" w:eastAsia="宋体" w:cs="Times New Roman"/>
          <w:sz w:val="24"/>
          <w:shd w:val="clear" w:color="auto" w:fill="FFFFFF"/>
        </w:rPr>
      </w:pPr>
      <w:r>
        <w:rPr>
          <w:rFonts w:hint="default" w:ascii="Times New Roman" w:hAnsi="Times New Roman" w:eastAsia="宋体" w:cs="Times New Roman"/>
          <w:sz w:val="24"/>
          <w:shd w:val="clear" w:color="auto" w:fill="FFFFFF"/>
        </w:rPr>
        <w:t>The libraries were enriched using an Acornmed 808 gene panel. The captured libraries were pooled and sequenced on a NovaSeq6000 system (Illumina Inc). After removing low-quality sequencing data, Burrows-Wheeler Aligner software (BWA, version 0.5.9) was used to align reads to the hg19 version of the human reference genome. Base recalibration was performed using GATK v3.8. The HaplotypeCaller on Genome Analysis Toolkit (GATK; version 3.8) was used to identify variant calling of SNPs and INDELs. Copy number variant calling was conducted using CONTRA v2.1.0.</w:t>
      </w:r>
    </w:p>
    <w:p w14:paraId="6C079AA1">
      <w:pPr>
        <w:rPr>
          <w:rFonts w:hint="default" w:ascii="Times New Roman" w:hAnsi="Times New Roman" w:eastAsia="宋体" w:cs="Times New Roman"/>
          <w:sz w:val="24"/>
          <w:shd w:val="clear" w:color="auto" w:fill="FFFFFF"/>
        </w:rPr>
      </w:pPr>
    </w:p>
    <w:p w14:paraId="43253F85">
      <w:pPr>
        <w:rPr>
          <w:rFonts w:hint="default" w:ascii="Times New Roman" w:hAnsi="Times New Roman" w:eastAsia="宋体" w:cs="Times New Roman"/>
          <w:b/>
          <w:bCs/>
          <w:sz w:val="24"/>
          <w:shd w:val="clear" w:color="auto" w:fill="FFFFFF"/>
        </w:rPr>
      </w:pPr>
      <w:r>
        <w:rPr>
          <w:rFonts w:hint="default" w:ascii="Times New Roman" w:hAnsi="Times New Roman" w:eastAsia="宋体" w:cs="Times New Roman"/>
          <w:b/>
          <w:bCs/>
          <w:sz w:val="24"/>
          <w:shd w:val="clear" w:color="auto" w:fill="FFFFFF"/>
        </w:rPr>
        <w:t>Tumor mutational burden (TMB) estimation</w:t>
      </w:r>
    </w:p>
    <w:p w14:paraId="73E84DC2">
      <w:pPr>
        <w:rPr>
          <w:rFonts w:hint="default" w:ascii="Times New Roman" w:hAnsi="Times New Roman" w:eastAsia="宋体" w:cs="Times New Roman"/>
          <w:sz w:val="24"/>
          <w:shd w:val="clear" w:color="auto" w:fill="FFFFFF"/>
        </w:rPr>
      </w:pPr>
      <w:r>
        <w:rPr>
          <w:rFonts w:hint="default" w:ascii="Times New Roman" w:hAnsi="Times New Roman" w:eastAsia="宋体" w:cs="Times New Roman"/>
          <w:sz w:val="24"/>
          <w:shd w:val="clear" w:color="auto" w:fill="FFFFFF"/>
        </w:rPr>
        <w:t xml:space="preserve">TMB is defined as the number of somatic mutations per Mb, including SNV and INDEL. Variants include synonymous mutations and non-synonymous mutations are filtered. Variants with a mutant allele frequency (MAF) of &gt;1% in the Exome Aggregation Consortium or 1000 Genomes databases were excluded. </w:t>
      </w:r>
    </w:p>
    <w:p w14:paraId="0DA414D1"/>
    <w:p w14:paraId="264E9AFC"/>
    <w:p w14:paraId="0FC9DFE3">
      <w:pPr>
        <w:keepNext w:val="0"/>
        <w:keepLines w:val="0"/>
        <w:widowControl/>
        <w:suppressLineNumbers w:val="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 xml:space="preserve">2 </w:t>
      </w:r>
      <w:r>
        <w:rPr>
          <w:rFonts w:hint="eastAsia"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Supplementary Figures</w:t>
      </w:r>
    </w:p>
    <w:p w14:paraId="07719A5E"/>
    <w:p w14:paraId="149B36F0">
      <w:pPr>
        <w:rPr>
          <w:rFonts w:hint="eastAsia" w:eastAsiaTheme="minorEastAsia"/>
          <w:lang w:eastAsia="zh-CN"/>
        </w:rPr>
      </w:pPr>
      <w:r>
        <w:rPr>
          <w:rFonts w:hint="eastAsia" w:eastAsiaTheme="minorEastAsia"/>
          <w:lang w:eastAsia="zh-CN"/>
        </w:rPr>
        <w:drawing>
          <wp:inline distT="0" distB="0" distL="114300" distR="114300">
            <wp:extent cx="5272405" cy="4723130"/>
            <wp:effectExtent l="0" t="0" r="10795" b="127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4"/>
                    <a:stretch>
                      <a:fillRect/>
                    </a:stretch>
                  </pic:blipFill>
                  <pic:spPr>
                    <a:xfrm>
                      <a:off x="0" y="0"/>
                      <a:ext cx="5272405" cy="4723130"/>
                    </a:xfrm>
                    <a:prstGeom prst="rect">
                      <a:avLst/>
                    </a:prstGeom>
                  </pic:spPr>
                </pic:pic>
              </a:graphicData>
            </a:graphic>
          </wp:inline>
        </w:drawing>
      </w:r>
    </w:p>
    <w:p w14:paraId="354341D4">
      <w:pPr>
        <w:adjustRightInd w:val="0"/>
        <w:snapToGrid w:val="0"/>
        <w:spacing w:after="0" w:line="480" w:lineRule="auto"/>
        <w:jc w:val="left"/>
        <w:rPr>
          <w:rFonts w:ascii="Times New Roman" w:hAnsi="Times New Roman" w:eastAsia="宋体" w:cs="Times New Roman"/>
          <w:sz w:val="24"/>
          <w:szCs w:val="24"/>
          <w:lang w:val="en-GB" w:eastAsia="zh-CN"/>
        </w:rPr>
      </w:pPr>
      <w:bookmarkStart w:id="0" w:name="OLE_LINK1"/>
      <w:r>
        <w:rPr>
          <w:rFonts w:hint="default" w:ascii="Times New Roman" w:hAnsi="Times New Roman" w:eastAsia="宋体" w:cs="Times New Roman"/>
          <w:b/>
          <w:bCs/>
          <w:color w:val="000000"/>
          <w:kern w:val="0"/>
          <w:sz w:val="24"/>
          <w:szCs w:val="24"/>
          <w:lang w:val="en-US" w:eastAsia="zh-CN" w:bidi="ar"/>
        </w:rPr>
        <w:t>Figure</w:t>
      </w:r>
      <w:r>
        <w:rPr>
          <w:rFonts w:hint="eastAsia" w:ascii="Times New Roman" w:hAnsi="Times New Roman" w:eastAsia="宋体" w:cs="Times New Roman"/>
          <w:b/>
          <w:bCs/>
          <w:color w:val="000000"/>
          <w:kern w:val="0"/>
          <w:sz w:val="24"/>
          <w:szCs w:val="24"/>
          <w:lang w:val="en-US" w:eastAsia="zh-CN" w:bidi="ar"/>
        </w:rPr>
        <w:t xml:space="preserve"> 1.</w:t>
      </w:r>
      <w:bookmarkEnd w:id="0"/>
      <w:r>
        <w:rPr>
          <w:rFonts w:ascii="Times New Roman" w:hAnsi="Times New Roman" w:eastAsia="宋体" w:cs="Times New Roman"/>
          <w:sz w:val="24"/>
          <w:szCs w:val="24"/>
          <w:lang w:val="en-GB" w:eastAsia="zh-CN"/>
        </w:rPr>
        <w:t>Comparison of imaging data before and after treatment. (A</w:t>
      </w:r>
      <w:r>
        <w:rPr>
          <w:rFonts w:hint="eastAsia" w:ascii="Times New Roman" w:hAnsi="Times New Roman" w:eastAsia="宋体" w:cs="Times New Roman"/>
          <w:sz w:val="24"/>
          <w:szCs w:val="24"/>
          <w:lang w:val="en-US" w:eastAsia="zh-CN"/>
        </w:rPr>
        <w:t>1-3</w:t>
      </w:r>
      <w:r>
        <w:rPr>
          <w:rFonts w:ascii="Times New Roman" w:hAnsi="Times New Roman" w:eastAsia="宋体" w:cs="Times New Roman"/>
          <w:sz w:val="24"/>
          <w:szCs w:val="24"/>
          <w:lang w:val="en-GB" w:eastAsia="zh-CN"/>
        </w:rPr>
        <w:t>) Imaging data of the patient admitted on May 7, 2022. (A</w:t>
      </w:r>
      <w:r>
        <w:rPr>
          <w:rFonts w:hint="eastAsia" w:ascii="Times New Roman" w:hAnsi="Times New Roman" w:eastAsia="宋体" w:cs="Times New Roman"/>
          <w:sz w:val="24"/>
          <w:szCs w:val="24"/>
          <w:lang w:val="en-US" w:eastAsia="zh-CN"/>
        </w:rPr>
        <w:t>1</w:t>
      </w:r>
      <w:r>
        <w:rPr>
          <w:rFonts w:ascii="Times New Roman" w:hAnsi="Times New Roman" w:eastAsia="宋体" w:cs="Times New Roman"/>
          <w:sz w:val="24"/>
          <w:szCs w:val="24"/>
          <w:lang w:val="en-GB" w:eastAsia="zh-CN"/>
        </w:rPr>
        <w:t>) Upper abdominal magnetic resonance imaging (MRI). White arrows indicate pancreatic tail tumour, with invasion adjacent to the splenic artery and vein, as well as the spleen. (</w:t>
      </w:r>
      <w:r>
        <w:rPr>
          <w:rFonts w:hint="eastAsia" w:ascii="Times New Roman" w:hAnsi="Times New Roman" w:eastAsia="宋体" w:cs="Times New Roman"/>
          <w:sz w:val="24"/>
          <w:szCs w:val="24"/>
          <w:lang w:val="en-US" w:eastAsia="zh-CN"/>
        </w:rPr>
        <w:t>A2</w:t>
      </w:r>
      <w:r>
        <w:rPr>
          <w:rFonts w:ascii="Times New Roman" w:hAnsi="Times New Roman" w:eastAsia="宋体" w:cs="Times New Roman"/>
          <w:sz w:val="24"/>
          <w:szCs w:val="24"/>
          <w:lang w:val="en-GB" w:eastAsia="zh-CN"/>
        </w:rPr>
        <w:t>) Upper abdominal MRI. White areas indicate three metastatic nodules in the right liver, with a maximum diameter of approximately 13 mm. (</w:t>
      </w:r>
      <w:r>
        <w:rPr>
          <w:rFonts w:hint="eastAsia" w:ascii="Times New Roman" w:hAnsi="Times New Roman" w:eastAsia="宋体" w:cs="Times New Roman"/>
          <w:sz w:val="24"/>
          <w:szCs w:val="24"/>
          <w:lang w:val="en-US" w:eastAsia="zh-CN"/>
        </w:rPr>
        <w:t>A3</w:t>
      </w:r>
      <w:r>
        <w:rPr>
          <w:rFonts w:ascii="Times New Roman" w:hAnsi="Times New Roman" w:eastAsia="宋体" w:cs="Times New Roman"/>
          <w:sz w:val="24"/>
          <w:szCs w:val="24"/>
          <w:lang w:val="en-GB" w:eastAsia="zh-CN"/>
        </w:rPr>
        <w:t>) Lung computed tomography (CT). Black arrows indicate multiple metastatic nodules in both lungs, with a maximum diameter of approximately 12 mm. (</w:t>
      </w:r>
      <w:r>
        <w:rPr>
          <w:rFonts w:hint="eastAsia" w:ascii="Times New Roman" w:hAnsi="Times New Roman" w:eastAsia="宋体" w:cs="Times New Roman"/>
          <w:sz w:val="24"/>
          <w:szCs w:val="24"/>
          <w:lang w:val="en-US" w:eastAsia="zh-CN"/>
        </w:rPr>
        <w:t>B1-3</w:t>
      </w:r>
      <w:r>
        <w:rPr>
          <w:rFonts w:ascii="Times New Roman" w:hAnsi="Times New Roman" w:eastAsia="宋体" w:cs="Times New Roman"/>
          <w:sz w:val="24"/>
          <w:szCs w:val="24"/>
          <w:lang w:val="en-GB" w:eastAsia="zh-CN"/>
        </w:rPr>
        <w:t>) Imaging therapy after 4 months of capecitabine combined with nintedanib treatment. (</w:t>
      </w:r>
      <w:r>
        <w:rPr>
          <w:rFonts w:hint="eastAsia" w:ascii="Times New Roman" w:hAnsi="Times New Roman" w:eastAsia="宋体" w:cs="Times New Roman"/>
          <w:sz w:val="24"/>
          <w:szCs w:val="24"/>
          <w:lang w:val="en-US" w:eastAsia="zh-CN"/>
        </w:rPr>
        <w:t>B1-2</w:t>
      </w:r>
      <w:r>
        <w:rPr>
          <w:rFonts w:ascii="Times New Roman" w:hAnsi="Times New Roman" w:eastAsia="宋体" w:cs="Times New Roman"/>
          <w:sz w:val="24"/>
          <w:szCs w:val="24"/>
          <w:lang w:val="en-GB" w:eastAsia="zh-CN"/>
        </w:rPr>
        <w:t>) Upper abdominal MRI showed that pancreatic tumour lesions were smaller than those in May, liver metastases were smaller than before, with a maximum diameter of approximately 10 mm. (</w:t>
      </w:r>
      <w:r>
        <w:rPr>
          <w:rFonts w:hint="eastAsia" w:ascii="Times New Roman" w:hAnsi="Times New Roman" w:eastAsia="宋体" w:cs="Times New Roman"/>
          <w:sz w:val="24"/>
          <w:szCs w:val="24"/>
          <w:lang w:val="en-US" w:eastAsia="zh-CN"/>
        </w:rPr>
        <w:t>B3</w:t>
      </w:r>
      <w:r>
        <w:rPr>
          <w:rFonts w:ascii="Times New Roman" w:hAnsi="Times New Roman" w:eastAsia="宋体" w:cs="Times New Roman"/>
          <w:sz w:val="24"/>
          <w:szCs w:val="24"/>
          <w:lang w:val="en-GB" w:eastAsia="zh-CN"/>
        </w:rPr>
        <w:t>) Lung CT showed that bilateral lung metastases were smaller than before, with a maximum diameter of approximately 8 mm. (</w:t>
      </w:r>
      <w:r>
        <w:rPr>
          <w:rFonts w:hint="eastAsia" w:ascii="Times New Roman" w:hAnsi="Times New Roman" w:eastAsia="宋体" w:cs="Times New Roman"/>
          <w:sz w:val="24"/>
          <w:szCs w:val="24"/>
          <w:lang w:val="en-US" w:eastAsia="zh-CN"/>
        </w:rPr>
        <w:t>C1-3</w:t>
      </w:r>
      <w:r>
        <w:rPr>
          <w:rFonts w:ascii="Times New Roman" w:hAnsi="Times New Roman" w:eastAsia="宋体" w:cs="Times New Roman"/>
          <w:sz w:val="24"/>
          <w:szCs w:val="24"/>
          <w:lang w:val="en-GB" w:eastAsia="zh-CN"/>
        </w:rPr>
        <w:t>) Imaging therapy after 9 months of capecitabine combined with nintedanib treatment. (</w:t>
      </w:r>
      <w:r>
        <w:rPr>
          <w:rFonts w:hint="eastAsia" w:ascii="Times New Roman" w:hAnsi="Times New Roman" w:eastAsia="宋体" w:cs="Times New Roman"/>
          <w:sz w:val="24"/>
          <w:szCs w:val="24"/>
          <w:lang w:val="en-US" w:eastAsia="zh-CN"/>
        </w:rPr>
        <w:t>C1-2</w:t>
      </w:r>
      <w:r>
        <w:rPr>
          <w:rFonts w:ascii="Times New Roman" w:hAnsi="Times New Roman" w:eastAsia="宋体" w:cs="Times New Roman"/>
          <w:sz w:val="24"/>
          <w:szCs w:val="24"/>
          <w:lang w:val="en-GB" w:eastAsia="zh-CN"/>
        </w:rPr>
        <w:t>) Upper abdominal MRI showed that pancreatic tumour lesions were smaller than those in September. No obvious metastatic nodules were observed in the liver, and (</w:t>
      </w:r>
      <w:r>
        <w:rPr>
          <w:rFonts w:hint="eastAsia" w:ascii="Times New Roman" w:hAnsi="Times New Roman" w:eastAsia="宋体" w:cs="Times New Roman"/>
          <w:sz w:val="24"/>
          <w:szCs w:val="24"/>
          <w:lang w:val="en-US" w:eastAsia="zh-CN"/>
        </w:rPr>
        <w:t>C3</w:t>
      </w:r>
      <w:r>
        <w:rPr>
          <w:rFonts w:ascii="Times New Roman" w:hAnsi="Times New Roman" w:eastAsia="宋体" w:cs="Times New Roman"/>
          <w:sz w:val="24"/>
          <w:szCs w:val="24"/>
          <w:lang w:val="en-GB" w:eastAsia="zh-CN"/>
        </w:rPr>
        <w:t>) lung CT showed that bilateral lung metastases were smaller than before, with a maximum diameter of approximately 7 mm. (</w:t>
      </w:r>
      <w:r>
        <w:rPr>
          <w:rFonts w:hint="eastAsia" w:ascii="Times New Roman" w:hAnsi="Times New Roman" w:eastAsia="宋体" w:cs="Times New Roman"/>
          <w:sz w:val="24"/>
          <w:szCs w:val="24"/>
          <w:lang w:val="en-US" w:eastAsia="zh-CN"/>
        </w:rPr>
        <w:t>D1-3</w:t>
      </w:r>
      <w:r>
        <w:rPr>
          <w:rFonts w:ascii="Times New Roman" w:hAnsi="Times New Roman" w:eastAsia="宋体" w:cs="Times New Roman"/>
          <w:sz w:val="24"/>
          <w:szCs w:val="24"/>
          <w:lang w:val="en-GB" w:eastAsia="zh-CN"/>
        </w:rPr>
        <w:t xml:space="preserve">) Imaging therapy after </w:t>
      </w:r>
      <w:r>
        <w:rPr>
          <w:rFonts w:hint="eastAsia" w:ascii="Times New Roman" w:hAnsi="Times New Roman" w:eastAsia="宋体" w:cs="Times New Roman"/>
          <w:sz w:val="24"/>
          <w:szCs w:val="24"/>
          <w:lang w:val="en-US" w:eastAsia="zh-CN"/>
        </w:rPr>
        <w:t>12</w:t>
      </w:r>
      <w:r>
        <w:rPr>
          <w:rFonts w:ascii="Times New Roman" w:hAnsi="Times New Roman" w:eastAsia="宋体" w:cs="Times New Roman"/>
          <w:sz w:val="24"/>
          <w:szCs w:val="24"/>
          <w:lang w:val="en-GB" w:eastAsia="zh-CN"/>
        </w:rPr>
        <w:t xml:space="preserve"> months of capecitabine combined with nintedanib treatment. (</w:t>
      </w:r>
      <w:r>
        <w:rPr>
          <w:rFonts w:hint="eastAsia" w:ascii="Times New Roman" w:hAnsi="Times New Roman" w:eastAsia="宋体" w:cs="Times New Roman"/>
          <w:sz w:val="24"/>
          <w:szCs w:val="24"/>
          <w:lang w:val="en-US" w:eastAsia="zh-CN"/>
        </w:rPr>
        <w:t>D1-2</w:t>
      </w:r>
      <w:r>
        <w:rPr>
          <w:rFonts w:ascii="Times New Roman" w:hAnsi="Times New Roman" w:eastAsia="宋体" w:cs="Times New Roman"/>
          <w:sz w:val="24"/>
          <w:szCs w:val="24"/>
          <w:lang w:val="en-GB" w:eastAsia="zh-CN"/>
        </w:rPr>
        <w:t>) Upper abdominal MRI showed that pancreatic tumour lesions were smaller than those in September. No obvious metastatic nodules were observed in the liver, and (</w:t>
      </w:r>
      <w:r>
        <w:rPr>
          <w:rFonts w:hint="eastAsia" w:ascii="Times New Roman" w:hAnsi="Times New Roman" w:eastAsia="宋体" w:cs="Times New Roman"/>
          <w:sz w:val="24"/>
          <w:szCs w:val="24"/>
          <w:lang w:val="en-US" w:eastAsia="zh-CN"/>
        </w:rPr>
        <w:t>D3</w:t>
      </w:r>
      <w:r>
        <w:rPr>
          <w:rFonts w:ascii="Times New Roman" w:hAnsi="Times New Roman" w:eastAsia="宋体" w:cs="Times New Roman"/>
          <w:sz w:val="24"/>
          <w:szCs w:val="24"/>
          <w:lang w:val="en-GB" w:eastAsia="zh-CN"/>
        </w:rPr>
        <w:t xml:space="preserve">) lung CT showed that bilateral lung metastases were smaller than before, with a maximum diameter of approximately </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lang w:val="en-GB" w:eastAsia="zh-CN"/>
        </w:rPr>
        <w:t xml:space="preserve"> mm.</w:t>
      </w:r>
    </w:p>
    <w:p w14:paraId="750AA24B">
      <w:pPr>
        <w:rPr>
          <w:rFonts w:hint="eastAsia" w:ascii="Times New Roman" w:hAnsi="Times New Roman" w:eastAsia="宋体" w:cs="Times New Roman"/>
          <w:sz w:val="24"/>
          <w:shd w:val="clear" w:color="auto" w:fill="FFFFFF"/>
          <w:lang w:eastAsia="zh-CN"/>
        </w:rPr>
      </w:pPr>
    </w:p>
    <w:p w14:paraId="1EBCDD3D">
      <w:pPr>
        <w:rPr>
          <w:rFonts w:hint="default" w:ascii="Times New Roman" w:hAnsi="Times New Roman" w:eastAsia="宋体" w:cs="Times New Roman"/>
          <w:sz w:val="24"/>
          <w:shd w:val="clear" w:color="auto" w:fill="FFFFFF"/>
        </w:rPr>
      </w:pPr>
      <w:r>
        <w:rPr>
          <w:rFonts w:hint="eastAsia" w:ascii="Times New Roman" w:hAnsi="Times New Roman" w:eastAsia="宋体" w:cs="Times New Roman"/>
          <w:sz w:val="24"/>
          <w:shd w:val="clear" w:color="auto" w:fill="FFFFFF"/>
          <w:lang w:val="en-US" w:eastAsia="zh-CN"/>
        </w:rPr>
        <w:t xml:space="preserve"> </w:t>
      </w:r>
      <w:r>
        <w:rPr>
          <w:rFonts w:hint="default" w:ascii="Times New Roman" w:hAnsi="Times New Roman" w:eastAsia="宋体" w:cs="Times New Roman"/>
          <w:sz w:val="24"/>
          <w:shd w:val="clear" w:color="auto" w:fill="FFFFFF"/>
        </w:rPr>
        <w:drawing>
          <wp:inline distT="0" distB="0" distL="114300" distR="114300">
            <wp:extent cx="5267960" cy="3204210"/>
            <wp:effectExtent l="0" t="0" r="2540" b="8890"/>
            <wp:docPr id="5" name="图片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2"/>
                    <pic:cNvPicPr>
                      <a:picLocks noChangeAspect="1"/>
                    </pic:cNvPicPr>
                  </pic:nvPicPr>
                  <pic:blipFill>
                    <a:blip r:embed="rId5"/>
                    <a:stretch>
                      <a:fillRect/>
                    </a:stretch>
                  </pic:blipFill>
                  <pic:spPr>
                    <a:xfrm>
                      <a:off x="0" y="0"/>
                      <a:ext cx="5267960" cy="3204210"/>
                    </a:xfrm>
                    <a:prstGeom prst="rect">
                      <a:avLst/>
                    </a:prstGeom>
                  </pic:spPr>
                </pic:pic>
              </a:graphicData>
            </a:graphic>
          </wp:inline>
        </w:drawing>
      </w:r>
    </w:p>
    <w:p w14:paraId="7580012A">
      <w:pPr>
        <w:spacing w:line="480" w:lineRule="auto"/>
        <w:rPr>
          <w:rFonts w:hint="default" w:ascii="Times New Roman" w:hAnsi="Times New Roman" w:eastAsia="宋体" w:cs="Times New Roman"/>
          <w:sz w:val="24"/>
          <w:shd w:val="clear" w:color="auto" w:fill="FFFFFF"/>
          <w:lang w:val="en-US" w:eastAsia="zh-CN"/>
        </w:rPr>
      </w:pPr>
      <w:r>
        <w:rPr>
          <w:rFonts w:hint="default" w:ascii="Times New Roman" w:hAnsi="Times New Roman" w:eastAsia="宋体" w:cs="Times New Roman"/>
          <w:b/>
          <w:bCs/>
          <w:color w:val="000000"/>
          <w:kern w:val="0"/>
          <w:sz w:val="24"/>
          <w:szCs w:val="24"/>
          <w:lang w:val="en-US" w:eastAsia="zh-CN" w:bidi="ar"/>
        </w:rPr>
        <w:t>Figure</w:t>
      </w:r>
      <w:r>
        <w:rPr>
          <w:rFonts w:hint="eastAsia" w:ascii="Times New Roman" w:hAnsi="Times New Roman" w:eastAsia="宋体" w:cs="Times New Roman"/>
          <w:b/>
          <w:bCs/>
          <w:color w:val="000000"/>
          <w:kern w:val="0"/>
          <w:sz w:val="24"/>
          <w:szCs w:val="24"/>
          <w:lang w:val="en-US" w:eastAsia="zh-CN" w:bidi="ar"/>
        </w:rPr>
        <w:t xml:space="preserve"> 2. </w:t>
      </w:r>
      <w:r>
        <w:rPr>
          <w:rFonts w:ascii="Times New Roman" w:hAnsi="Times New Roman" w:eastAsia="宋体" w:cs="Times New Roman"/>
          <w:sz w:val="24"/>
          <w:szCs w:val="24"/>
          <w:lang w:val="en-GB" w:eastAsia="zh-CN"/>
        </w:rPr>
        <w:t>Trend plots of tumour parameters after treatment:  (</w:t>
      </w:r>
      <w:r>
        <w:rPr>
          <w:rFonts w:hint="eastAsia" w:ascii="Times New Roman" w:hAnsi="Times New Roman" w:eastAsia="宋体" w:cs="Times New Roman"/>
          <w:sz w:val="24"/>
          <w:szCs w:val="24"/>
          <w:lang w:val="en-US" w:eastAsia="zh-CN"/>
        </w:rPr>
        <w:t>A</w:t>
      </w:r>
      <w:r>
        <w:rPr>
          <w:rFonts w:ascii="Times New Roman" w:hAnsi="Times New Roman" w:eastAsia="宋体" w:cs="Times New Roman"/>
          <w:sz w:val="24"/>
          <w:szCs w:val="24"/>
          <w:lang w:val="en-GB" w:eastAsia="zh-CN"/>
        </w:rPr>
        <w:t xml:space="preserve">) CEA decreased from 14.81 ng/mL to </w:t>
      </w:r>
      <w:r>
        <w:rPr>
          <w:rFonts w:hint="eastAsia" w:ascii="Times New Roman" w:hAnsi="Times New Roman" w:eastAsia="宋体" w:cs="Times New Roman"/>
          <w:sz w:val="24"/>
          <w:szCs w:val="24"/>
          <w:lang w:val="en-US" w:eastAsia="zh-CN"/>
        </w:rPr>
        <w:t>3.39</w:t>
      </w:r>
      <w:r>
        <w:rPr>
          <w:rFonts w:ascii="Times New Roman" w:hAnsi="Times New Roman" w:eastAsia="宋体" w:cs="Times New Roman"/>
          <w:sz w:val="24"/>
          <w:szCs w:val="24"/>
          <w:lang w:val="en-GB" w:eastAsia="zh-CN"/>
        </w:rPr>
        <w:t xml:space="preserve"> ng/mL and</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lang w:val="en-GB" w:eastAsia="zh-CN"/>
        </w:rPr>
        <w:t>(</w:t>
      </w:r>
      <w:r>
        <w:rPr>
          <w:rFonts w:hint="eastAsia" w:ascii="Times New Roman" w:hAnsi="Times New Roman" w:eastAsia="宋体" w:cs="Times New Roman"/>
          <w:sz w:val="24"/>
          <w:szCs w:val="24"/>
          <w:lang w:val="en-US" w:eastAsia="zh-CN"/>
        </w:rPr>
        <w:t>B</w:t>
      </w:r>
      <w:r>
        <w:rPr>
          <w:rFonts w:ascii="Times New Roman" w:hAnsi="Times New Roman" w:eastAsia="宋体" w:cs="Times New Roman"/>
          <w:sz w:val="24"/>
          <w:szCs w:val="24"/>
          <w:lang w:val="en-GB" w:eastAsia="zh-CN"/>
        </w:rPr>
        <w:t xml:space="preserve">) CA19-9 decreased from </w:t>
      </w:r>
      <w:r>
        <w:rPr>
          <w:rFonts w:hint="eastAsia" w:ascii="Times New Roman" w:hAnsi="Times New Roman" w:eastAsia="宋体" w:cs="Times New Roman"/>
          <w:sz w:val="24"/>
          <w:szCs w:val="24"/>
          <w:lang w:val="en-US" w:eastAsia="zh-CN"/>
        </w:rPr>
        <w:t>208.89</w:t>
      </w:r>
      <w:r>
        <w:rPr>
          <w:rFonts w:ascii="Times New Roman" w:hAnsi="Times New Roman" w:eastAsia="宋体" w:cs="Times New Roman"/>
          <w:sz w:val="24"/>
          <w:szCs w:val="24"/>
          <w:lang w:val="en-GB" w:eastAsia="zh-CN"/>
        </w:rPr>
        <w:t xml:space="preserve"> U/mL to </w:t>
      </w:r>
      <w:r>
        <w:rPr>
          <w:rFonts w:hint="eastAsia" w:ascii="Times New Roman" w:hAnsi="Times New Roman" w:eastAsia="宋体" w:cs="Times New Roman"/>
          <w:sz w:val="24"/>
          <w:szCs w:val="24"/>
          <w:lang w:val="en-US" w:eastAsia="zh-CN"/>
        </w:rPr>
        <w:t>23.61</w:t>
      </w:r>
      <w:r>
        <w:rPr>
          <w:rFonts w:ascii="Times New Roman" w:hAnsi="Times New Roman" w:eastAsia="宋体" w:cs="Times New Roman"/>
          <w:sz w:val="24"/>
          <w:szCs w:val="24"/>
          <w:lang w:val="en-GB" w:eastAsia="zh-CN"/>
        </w:rPr>
        <w:t xml:space="preserve"> U/mL</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lang w:val="en-GB" w:eastAsia="zh-CN"/>
        </w:rPr>
        <w:t>(C) Haematoxylin and eosin (H&amp;E) staining after fine needle aspiration of liver metastases showed pancreatic ductal adenocarcinoma metastasis at 200 × magnification. IHC showed that the tumour immune microenvironment (TIME) was positive for CD8</w:t>
      </w:r>
      <w:r>
        <w:rPr>
          <w:rFonts w:ascii="Times New Roman" w:hAnsi="Times New Roman" w:eastAsia="宋体" w:cs="Times New Roman"/>
          <w:sz w:val="24"/>
          <w:szCs w:val="24"/>
          <w:vertAlign w:val="superscript"/>
          <w:lang w:val="en-GB" w:eastAsia="zh-CN"/>
        </w:rPr>
        <w:t>+</w:t>
      </w:r>
      <w:r>
        <w:rPr>
          <w:rFonts w:ascii="Times New Roman" w:hAnsi="Times New Roman" w:eastAsia="宋体" w:cs="Times New Roman"/>
          <w:sz w:val="24"/>
          <w:szCs w:val="24"/>
          <w:lang w:val="en-GB" w:eastAsia="zh-CN"/>
        </w:rPr>
        <w:t xml:space="preserve"> (</w:t>
      </w:r>
      <w:r>
        <w:rPr>
          <w:rFonts w:hint="eastAsia" w:ascii="Times New Roman" w:hAnsi="Times New Roman" w:eastAsia="宋体" w:cs="Times New Roman"/>
          <w:sz w:val="24"/>
          <w:szCs w:val="24"/>
          <w:lang w:val="en-US" w:eastAsia="zh-CN"/>
        </w:rPr>
        <w:t>D</w:t>
      </w:r>
      <w:r>
        <w:rPr>
          <w:rFonts w:ascii="Times New Roman" w:hAnsi="Times New Roman" w:eastAsia="宋体" w:cs="Times New Roman"/>
          <w:sz w:val="24"/>
          <w:szCs w:val="24"/>
          <w:lang w:val="en-GB" w:eastAsia="zh-CN"/>
        </w:rPr>
        <w:t>) and CD4</w:t>
      </w:r>
      <w:r>
        <w:rPr>
          <w:rFonts w:ascii="Times New Roman" w:hAnsi="Times New Roman" w:eastAsia="宋体" w:cs="Times New Roman"/>
          <w:sz w:val="24"/>
          <w:szCs w:val="24"/>
          <w:vertAlign w:val="superscript"/>
          <w:lang w:val="en-GB" w:eastAsia="zh-CN"/>
        </w:rPr>
        <w:t>+</w:t>
      </w:r>
      <w:r>
        <w:rPr>
          <w:rFonts w:ascii="Times New Roman" w:hAnsi="Times New Roman" w:eastAsia="宋体" w:cs="Times New Roman"/>
          <w:sz w:val="24"/>
          <w:szCs w:val="24"/>
          <w:lang w:val="en-GB" w:eastAsia="zh-CN"/>
        </w:rPr>
        <w:t xml:space="preserve"> (</w:t>
      </w:r>
      <w:r>
        <w:rPr>
          <w:rFonts w:hint="eastAsia" w:ascii="Times New Roman" w:hAnsi="Times New Roman" w:eastAsia="宋体" w:cs="Times New Roman"/>
          <w:sz w:val="24"/>
          <w:szCs w:val="24"/>
          <w:lang w:val="en-US" w:eastAsia="zh-CN"/>
        </w:rPr>
        <w:t>E</w:t>
      </w:r>
      <w:r>
        <w:rPr>
          <w:rFonts w:ascii="Times New Roman" w:hAnsi="Times New Roman" w:eastAsia="宋体" w:cs="Times New Roman"/>
          <w:sz w:val="24"/>
          <w:szCs w:val="24"/>
          <w:lang w:val="en-GB" w:eastAsia="zh-CN"/>
        </w:rPr>
        <w:t>) T cells</w:t>
      </w:r>
      <w:r>
        <w:rPr>
          <w:rFonts w:hint="eastAsia" w:ascii="Times New Roman" w:hAnsi="Times New Roman" w:eastAsia="宋体" w:cs="Times New Roman"/>
          <w:sz w:val="24"/>
          <w:szCs w:val="24"/>
          <w:lang w:val="en-US" w:eastAsia="zh-CN"/>
        </w:rPr>
        <w:t>.</w:t>
      </w:r>
    </w:p>
    <w:p w14:paraId="3C1D1F15">
      <w:pPr>
        <w:spacing w:line="480" w:lineRule="auto"/>
        <w:rPr>
          <w:rFonts w:hint="default" w:ascii="Times New Roman" w:hAnsi="Times New Roman" w:eastAsia="宋体" w:cs="Times New Roman"/>
          <w:sz w:val="24"/>
          <w:shd w:val="clear" w:color="auto" w:fill="FFFFFF"/>
          <w:lang w:val="en-GB" w:eastAsia="zh-CN"/>
        </w:rPr>
      </w:pPr>
    </w:p>
    <w:p w14:paraId="4491252E">
      <w:pPr>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Times New Roman" w:hAnsi="Times New Roman" w:eastAsia="宋体"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 xml:space="preserve">Supplementary </w:t>
      </w:r>
      <w:r>
        <w:rPr>
          <w:rFonts w:hint="eastAsia" w:ascii="Times New Roman" w:hAnsi="Times New Roman" w:eastAsia="宋体" w:cs="Times New Roman"/>
          <w:b/>
          <w:bCs/>
          <w:color w:val="000000"/>
          <w:kern w:val="0"/>
          <w:sz w:val="24"/>
          <w:szCs w:val="24"/>
          <w:lang w:val="en-US" w:eastAsia="zh-CN" w:bidi="ar"/>
        </w:rPr>
        <w:t>Table1</w:t>
      </w:r>
    </w:p>
    <w:p w14:paraId="36695728">
      <w:r>
        <w:drawing>
          <wp:inline distT="0" distB="0" distL="114300" distR="114300">
            <wp:extent cx="5266055" cy="4088765"/>
            <wp:effectExtent l="0" t="0" r="444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6055" cy="4088765"/>
                    </a:xfrm>
                    <a:prstGeom prst="rect">
                      <a:avLst/>
                    </a:prstGeom>
                    <a:noFill/>
                    <a:ln>
                      <a:noFill/>
                    </a:ln>
                  </pic:spPr>
                </pic:pic>
              </a:graphicData>
            </a:graphic>
          </wp:inline>
        </w:drawing>
      </w:r>
    </w:p>
    <w:p w14:paraId="12BBA199">
      <w:pPr>
        <w:numPr>
          <w:ilvl w:val="12"/>
          <w:numId w:val="0"/>
        </w:numPr>
        <w:adjustRightInd w:val="0"/>
        <w:snapToGrid w:val="0"/>
        <w:spacing w:after="0" w:line="480" w:lineRule="auto"/>
        <w:jc w:val="left"/>
        <w:rPr>
          <w:rFonts w:hint="default" w:ascii="Times New Roman" w:hAnsi="Times New Roman" w:eastAsia="宋体" w:cs="Times New Roman"/>
          <w:color w:val="FF0000"/>
          <w:sz w:val="24"/>
          <w:szCs w:val="24"/>
          <w:lang w:val="en-US" w:eastAsia="zh-CN"/>
        </w:rPr>
      </w:pPr>
      <w:r>
        <w:rPr>
          <w:rFonts w:ascii="Times New Roman" w:hAnsi="Times New Roman" w:eastAsia="宋体" w:cs="Times New Roman"/>
          <w:sz w:val="24"/>
          <w:szCs w:val="24"/>
          <w:lang w:val="en-GB" w:eastAsia="zh-CN"/>
        </w:rPr>
        <w:t>Analysis of next-generation sequencing (NGS) of tumour tissue</w:t>
      </w:r>
      <w:r>
        <w:rPr>
          <w:rFonts w:hint="eastAsia" w:eastAsia="宋体" w:cs="Times New Roman"/>
          <w:sz w:val="24"/>
          <w:szCs w:val="24"/>
          <w:lang w:val="en-US" w:eastAsia="zh-CN"/>
        </w:rPr>
        <w:t>.</w:t>
      </w:r>
    </w:p>
    <w:p w14:paraId="7F2D02AF">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Times New Roman Bold">
    <w:panose1 w:val="02020503050405090304"/>
    <w:charset w:val="00"/>
    <w:family w:val="auto"/>
    <w:pitch w:val="default"/>
    <w:sig w:usb0="E0000AFF" w:usb1="00007843" w:usb2="00000001" w:usb3="00000000" w:csb0="400001BF" w:csb1="DF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3NzcwNDhhNjJlZWM2MDliYTY4NGUyMzEwMzRmY2UifQ=="/>
  </w:docVars>
  <w:rsids>
    <w:rsidRoot w:val="00000000"/>
    <w:rsid w:val="059D1791"/>
    <w:rsid w:val="18983481"/>
    <w:rsid w:val="2309137A"/>
    <w:rsid w:val="426A6AEC"/>
    <w:rsid w:val="42C62ECD"/>
    <w:rsid w:val="6B0C06F5"/>
    <w:rsid w:val="6FDA64EC"/>
    <w:rsid w:val="705974B6"/>
    <w:rsid w:val="7E46A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844"/>
        <w:tab w:val="right" w:pos="9689"/>
      </w:tabs>
      <w:spacing w:after="0"/>
    </w:pPr>
  </w:style>
  <w:style w:type="paragraph" w:styleId="3">
    <w:name w:val="header"/>
    <w:basedOn w:val="1"/>
    <w:unhideWhenUsed/>
    <w:qFormat/>
    <w:uiPriority w:val="99"/>
    <w:pPr>
      <w:tabs>
        <w:tab w:val="center" w:pos="4844"/>
        <w:tab w:val="right" w:pos="9689"/>
      </w:tabs>
    </w:pPr>
    <w:rPr>
      <w:b/>
    </w:rPr>
  </w:style>
  <w:style w:type="paragraph" w:styleId="4">
    <w:name w:val="Subtitle"/>
    <w:basedOn w:val="1"/>
    <w:next w:val="1"/>
    <w:unhideWhenUsed/>
    <w:qFormat/>
    <w:uiPriority w:val="99"/>
    <w:pPr>
      <w:spacing w:before="240"/>
    </w:pPr>
    <w:rPr>
      <w:rFonts w:cs="Times New Roman"/>
      <w:b/>
      <w:szCs w:val="24"/>
    </w:rPr>
  </w:style>
  <w:style w:type="paragraph" w:styleId="5">
    <w:name w:val="Title"/>
    <w:basedOn w:val="1"/>
    <w:next w:val="1"/>
    <w:qFormat/>
    <w:uiPriority w:val="0"/>
    <w:pPr>
      <w:suppressLineNumbers/>
      <w:spacing w:before="240" w:after="360"/>
      <w:jc w:val="center"/>
    </w:pPr>
    <w:rPr>
      <w:rFonts w:cs="Times New Roman"/>
      <w:b/>
      <w:sz w:val="32"/>
      <w:szCs w:val="32"/>
    </w:rPr>
  </w:style>
  <w:style w:type="character" w:styleId="8">
    <w:name w:val="Hyperlink"/>
    <w:basedOn w:val="7"/>
    <w:unhideWhenUsed/>
    <w:qFormat/>
    <w:uiPriority w:val="99"/>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599</Words>
  <Characters>3511</Characters>
  <Lines>0</Lines>
  <Paragraphs>0</Paragraphs>
  <TotalTime>0</TotalTime>
  <ScaleCrop>false</ScaleCrop>
  <LinksUpToDate>false</LinksUpToDate>
  <CharactersWithSpaces>4099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2023-04-25T20:19:00Z</dcterms:created>
  <dc:creator>hanyuejun</dc:creator>
  <cp:lastModifiedBy>金科涛Be somebody(Dr. Jin)</cp:lastModifiedBy>
  <dcterms:modified xsi:type="dcterms:W3CDTF">2025-06-14T19:58:49Z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921BC87A3A3741D18CAB43FFFE25080E_12</vt:lpwstr>
  </property>
</Properties>
</file>