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5B5D3" w14:textId="77777777" w:rsidR="00C959FB" w:rsidRPr="00C17598" w:rsidRDefault="00C959FB" w:rsidP="00C959FB">
      <w:pPr>
        <w:pStyle w:val="Heading1"/>
        <w:keepNext w:val="0"/>
        <w:keepLines w:val="0"/>
        <w:widowControl w:val="0"/>
        <w:suppressLineNumbers/>
        <w:suppressAutoHyphens/>
        <w:rPr>
          <w:rFonts w:asciiTheme="minorHAnsi" w:hAnsiTheme="minorHAnsi" w:cstheme="minorHAnsi"/>
          <w:b/>
          <w:sz w:val="22"/>
          <w:szCs w:val="22"/>
        </w:rPr>
      </w:pPr>
      <w:r w:rsidRPr="00C17598">
        <w:rPr>
          <w:rFonts w:asciiTheme="minorHAnsi" w:hAnsiTheme="minorHAnsi" w:cstheme="minorHAnsi"/>
          <w:sz w:val="22"/>
          <w:szCs w:val="22"/>
        </w:rPr>
        <w:t>Appendices</w:t>
      </w:r>
    </w:p>
    <w:p w14:paraId="500D3332" w14:textId="77777777" w:rsidR="00C959FB" w:rsidRPr="00C17598" w:rsidRDefault="00C959FB" w:rsidP="00C959FB">
      <w:pPr>
        <w:widowControl w:val="0"/>
        <w:suppressLineNumbers/>
        <w:suppressAutoHyphens/>
        <w:rPr>
          <w:rFonts w:asciiTheme="minorHAnsi" w:hAnsiTheme="minorHAnsi" w:cstheme="minorHAnsi"/>
          <w:sz w:val="22"/>
          <w:szCs w:val="22"/>
        </w:rPr>
      </w:pPr>
    </w:p>
    <w:p w14:paraId="2571F350" w14:textId="77777777" w:rsidR="00C959FB" w:rsidRPr="00C17598" w:rsidRDefault="00C959FB" w:rsidP="00C959FB">
      <w:pPr>
        <w:widowControl w:val="0"/>
        <w:suppressLineNumbers/>
        <w:suppressAutoHyphens/>
        <w:rPr>
          <w:rFonts w:asciiTheme="minorHAnsi" w:hAnsiTheme="minorHAnsi" w:cstheme="minorHAnsi"/>
          <w:sz w:val="22"/>
          <w:szCs w:val="22"/>
        </w:rPr>
      </w:pPr>
      <w:r w:rsidRPr="00C17598">
        <w:rPr>
          <w:rFonts w:asciiTheme="minorHAnsi" w:hAnsiTheme="minorHAnsi" w:cstheme="minorHAnsi"/>
          <w:b/>
          <w:sz w:val="22"/>
          <w:szCs w:val="22"/>
        </w:rPr>
        <w:t>Appendix 1.</w:t>
      </w:r>
      <w:r w:rsidRPr="00C17598">
        <w:rPr>
          <w:rFonts w:asciiTheme="minorHAnsi" w:hAnsiTheme="minorHAnsi" w:cstheme="minorHAnsi"/>
          <w:sz w:val="22"/>
          <w:szCs w:val="22"/>
        </w:rPr>
        <w:t xml:space="preserve"> Taxa examined in this study (ingroups and outgroups), collection data, and publicly available DNA sequences. Collection data of vouchers </w:t>
      </w:r>
      <w:proofErr w:type="gramStart"/>
      <w:r w:rsidRPr="00C17598">
        <w:rPr>
          <w:rFonts w:asciiTheme="minorHAnsi" w:hAnsiTheme="minorHAnsi" w:cstheme="minorHAnsi"/>
          <w:sz w:val="22"/>
          <w:szCs w:val="22"/>
        </w:rPr>
        <w:t>includes:</w:t>
      </w:r>
      <w:proofErr w:type="gramEnd"/>
      <w:r w:rsidRPr="00C17598">
        <w:rPr>
          <w:rFonts w:asciiTheme="minorHAnsi" w:hAnsiTheme="minorHAnsi" w:cstheme="minorHAnsi"/>
          <w:sz w:val="22"/>
          <w:szCs w:val="22"/>
        </w:rPr>
        <w:t xml:space="preserve"> Province, Department, locality, collector and collection number. A number sign (#) after the collection number indicates populations cytogenetically studied. Species are listed in alphabetical order. The herbarium (when available) cited in brackets indicates where the voucher specimen is housed. GenBank accession numbers are included for each of the four genic regions used in the current study (ITS, </w:t>
      </w:r>
      <w:r w:rsidRPr="00C17598">
        <w:rPr>
          <w:rFonts w:asciiTheme="minorHAnsi" w:hAnsiTheme="minorHAnsi" w:cstheme="minorHAnsi"/>
          <w:i/>
          <w:sz w:val="22"/>
          <w:szCs w:val="22"/>
        </w:rPr>
        <w:t>ndh</w:t>
      </w:r>
      <w:r w:rsidRPr="00C17598">
        <w:rPr>
          <w:rFonts w:asciiTheme="minorHAnsi" w:hAnsiTheme="minorHAnsi" w:cstheme="minorHAnsi"/>
          <w:sz w:val="22"/>
          <w:szCs w:val="22"/>
        </w:rPr>
        <w:t>F-</w:t>
      </w:r>
      <w:r w:rsidRPr="00C17598">
        <w:rPr>
          <w:rFonts w:asciiTheme="minorHAnsi" w:hAnsiTheme="minorHAnsi" w:cstheme="minorHAnsi"/>
          <w:i/>
          <w:sz w:val="22"/>
          <w:szCs w:val="22"/>
        </w:rPr>
        <w:t>rpl</w:t>
      </w:r>
      <w:r w:rsidRPr="00C17598">
        <w:rPr>
          <w:rFonts w:asciiTheme="minorHAnsi" w:hAnsiTheme="minorHAnsi" w:cstheme="minorHAnsi"/>
          <w:sz w:val="22"/>
          <w:szCs w:val="22"/>
        </w:rPr>
        <w:t xml:space="preserve">32, </w:t>
      </w:r>
      <w:r w:rsidRPr="00C17598">
        <w:rPr>
          <w:rFonts w:asciiTheme="minorHAnsi" w:hAnsiTheme="minorHAnsi" w:cstheme="minorHAnsi"/>
          <w:i/>
          <w:sz w:val="22"/>
          <w:szCs w:val="22"/>
        </w:rPr>
        <w:t>psb</w:t>
      </w:r>
      <w:r w:rsidRPr="00C17598">
        <w:rPr>
          <w:rFonts w:asciiTheme="minorHAnsi" w:hAnsiTheme="minorHAnsi" w:cstheme="minorHAnsi"/>
          <w:sz w:val="22"/>
          <w:szCs w:val="22"/>
        </w:rPr>
        <w:t>A-</w:t>
      </w:r>
      <w:r w:rsidRPr="00C17598">
        <w:rPr>
          <w:rFonts w:asciiTheme="minorHAnsi" w:hAnsiTheme="minorHAnsi" w:cstheme="minorHAnsi"/>
          <w:i/>
          <w:sz w:val="22"/>
          <w:szCs w:val="22"/>
        </w:rPr>
        <w:t>trn</w:t>
      </w:r>
      <w:r w:rsidRPr="00C17598">
        <w:rPr>
          <w:rFonts w:asciiTheme="minorHAnsi" w:hAnsiTheme="minorHAnsi" w:cstheme="minorHAnsi"/>
          <w:sz w:val="22"/>
          <w:szCs w:val="22"/>
        </w:rPr>
        <w:t xml:space="preserve">H, </w:t>
      </w:r>
      <w:r w:rsidRPr="00C17598">
        <w:rPr>
          <w:rFonts w:asciiTheme="minorHAnsi" w:hAnsiTheme="minorHAnsi" w:cstheme="minorHAnsi"/>
          <w:i/>
          <w:sz w:val="22"/>
          <w:szCs w:val="22"/>
        </w:rPr>
        <w:t>trn</w:t>
      </w:r>
      <w:r w:rsidRPr="00C17598">
        <w:rPr>
          <w:rFonts w:asciiTheme="minorHAnsi" w:hAnsiTheme="minorHAnsi" w:cstheme="minorHAnsi"/>
          <w:sz w:val="22"/>
          <w:szCs w:val="22"/>
        </w:rPr>
        <w:t>L-</w:t>
      </w:r>
      <w:r w:rsidRPr="00C17598">
        <w:rPr>
          <w:rFonts w:asciiTheme="minorHAnsi" w:hAnsiTheme="minorHAnsi" w:cstheme="minorHAnsi"/>
          <w:i/>
          <w:sz w:val="22"/>
          <w:szCs w:val="22"/>
        </w:rPr>
        <w:t>trn</w:t>
      </w:r>
      <w:r w:rsidRPr="00C17598">
        <w:rPr>
          <w:rFonts w:asciiTheme="minorHAnsi" w:hAnsiTheme="minorHAnsi" w:cstheme="minorHAnsi"/>
          <w:sz w:val="22"/>
          <w:szCs w:val="22"/>
        </w:rPr>
        <w:t xml:space="preserve">F). Asterisks (*) indicate sequences obtained from GenBank from previous studies; the remaining sequences were newly generated in this work. CORD = Botanical Museum of Cordoba, Argentina. HAO = Herbarium of the Private University A. Orrego, Trujillo, Peru. Abbreviations: </w:t>
      </w:r>
      <w:r w:rsidRPr="00C17598">
        <w:rPr>
          <w:rFonts w:asciiTheme="minorHAnsi" w:hAnsiTheme="minorHAnsi" w:cstheme="minorHAnsi"/>
          <w:i/>
          <w:sz w:val="22"/>
          <w:szCs w:val="22"/>
        </w:rPr>
        <w:t>w.no.</w:t>
      </w:r>
      <w:r w:rsidRPr="00C17598">
        <w:rPr>
          <w:rFonts w:asciiTheme="minorHAnsi" w:hAnsiTheme="minorHAnsi" w:cstheme="minorHAnsi"/>
          <w:sz w:val="22"/>
          <w:szCs w:val="22"/>
        </w:rPr>
        <w:t>, without number.</w:t>
      </w:r>
    </w:p>
    <w:p w14:paraId="1F8FF7FD" w14:textId="77777777" w:rsidR="00C959FB" w:rsidRPr="00C17598" w:rsidRDefault="00C959FB" w:rsidP="00C959FB">
      <w:pPr>
        <w:widowControl w:val="0"/>
        <w:suppressLineNumbers/>
        <w:suppressAutoHyphens/>
        <w:jc w:val="left"/>
        <w:rPr>
          <w:rFonts w:asciiTheme="minorHAnsi" w:hAnsiTheme="minorHAnsi" w:cstheme="minorHAnsi"/>
          <w:sz w:val="22"/>
          <w:szCs w:val="22"/>
        </w:rPr>
      </w:pPr>
    </w:p>
    <w:p w14:paraId="71297A07" w14:textId="77777777" w:rsidR="00C959FB" w:rsidRPr="00C17598" w:rsidRDefault="00C959FB" w:rsidP="00C959FB">
      <w:pPr>
        <w:widowControl w:val="0"/>
        <w:suppressLineNumbers/>
        <w:suppressAutoHyphens/>
        <w:rPr>
          <w:rFonts w:asciiTheme="minorHAnsi" w:hAnsiTheme="minorHAnsi" w:cstheme="minorHAnsi"/>
          <w:sz w:val="22"/>
          <w:szCs w:val="22"/>
        </w:rPr>
      </w:pPr>
      <w:r w:rsidRPr="00C17598">
        <w:rPr>
          <w:rFonts w:asciiTheme="minorHAnsi" w:hAnsiTheme="minorHAnsi" w:cstheme="minorHAnsi"/>
          <w:b/>
          <w:sz w:val="22"/>
          <w:szCs w:val="22"/>
        </w:rPr>
        <w:t xml:space="preserve">OUTGROUPS: </w:t>
      </w:r>
      <w:r w:rsidRPr="00C17598">
        <w:rPr>
          <w:rFonts w:asciiTheme="minorHAnsi" w:hAnsiTheme="minorHAnsi" w:cstheme="minorHAnsi"/>
          <w:b/>
          <w:i/>
          <w:sz w:val="22"/>
          <w:szCs w:val="22"/>
        </w:rPr>
        <w:t xml:space="preserve">Atropa belladonna </w:t>
      </w:r>
      <w:r w:rsidRPr="00C17598">
        <w:rPr>
          <w:rFonts w:asciiTheme="minorHAnsi" w:hAnsiTheme="minorHAnsi" w:cstheme="minorHAnsi"/>
          <w:sz w:val="22"/>
          <w:szCs w:val="22"/>
        </w:rPr>
        <w:t xml:space="preserve">L., PV624264, PV615303, PV615320, EU580958.1*; </w:t>
      </w:r>
      <w:r w:rsidRPr="00C17598">
        <w:rPr>
          <w:rFonts w:asciiTheme="minorHAnsi" w:hAnsiTheme="minorHAnsi" w:cstheme="minorHAnsi"/>
          <w:b/>
          <w:i/>
          <w:sz w:val="22"/>
          <w:szCs w:val="22"/>
        </w:rPr>
        <w:t xml:space="preserve">Scopolia carniolica </w:t>
      </w:r>
      <w:r w:rsidRPr="00C17598">
        <w:rPr>
          <w:rFonts w:asciiTheme="minorHAnsi" w:hAnsiTheme="minorHAnsi" w:cstheme="minorHAnsi"/>
          <w:sz w:val="22"/>
          <w:szCs w:val="22"/>
        </w:rPr>
        <w:t xml:space="preserve">Jacq., PV624265, PV615304, PV615321, EU581060.1*. — </w:t>
      </w:r>
      <w:r w:rsidRPr="00C17598">
        <w:rPr>
          <w:rFonts w:asciiTheme="minorHAnsi" w:hAnsiTheme="minorHAnsi" w:cstheme="minorHAnsi"/>
          <w:b/>
          <w:sz w:val="22"/>
          <w:szCs w:val="22"/>
        </w:rPr>
        <w:t xml:space="preserve">INGROUPS: </w:t>
      </w:r>
      <w:r w:rsidRPr="00C17598">
        <w:rPr>
          <w:rFonts w:asciiTheme="minorHAnsi" w:hAnsiTheme="minorHAnsi" w:cstheme="minorHAnsi"/>
          <w:b/>
          <w:i/>
          <w:sz w:val="22"/>
          <w:szCs w:val="22"/>
        </w:rPr>
        <w:t>Exodeconus flavus</w:t>
      </w:r>
      <w:r w:rsidRPr="00C17598">
        <w:rPr>
          <w:rFonts w:asciiTheme="minorHAnsi" w:hAnsiTheme="minorHAnsi" w:cstheme="minorHAnsi"/>
          <w:sz w:val="22"/>
          <w:szCs w:val="22"/>
        </w:rPr>
        <w:t xml:space="preserve"> (I.</w:t>
      </w:r>
      <w:proofErr w:type="gramStart"/>
      <w:r w:rsidRPr="00C17598">
        <w:rPr>
          <w:rFonts w:asciiTheme="minorHAnsi" w:hAnsiTheme="minorHAnsi" w:cstheme="minorHAnsi"/>
          <w:sz w:val="22"/>
          <w:szCs w:val="22"/>
        </w:rPr>
        <w:t>M.Johnst</w:t>
      </w:r>
      <w:proofErr w:type="gramEnd"/>
      <w:r w:rsidRPr="00C17598">
        <w:rPr>
          <w:rFonts w:asciiTheme="minorHAnsi" w:hAnsiTheme="minorHAnsi" w:cstheme="minorHAnsi"/>
          <w:sz w:val="22"/>
          <w:szCs w:val="22"/>
        </w:rPr>
        <w:t xml:space="preserve">.) Axelius &amp; D'Arcy, Fernandez 009, PV624274, PV615313, PV615330, PV615345; Peru, Arequipa Dpt., Arequipa Prov., V. Quipuscoa w. no., PV624275, PV615314, PV615331, PV615346; Peru, Arequipa Dpt., Arequipa Prov., S. Leiva González w. no. # (HAO); </w:t>
      </w:r>
      <w:r w:rsidRPr="00C17598">
        <w:rPr>
          <w:rFonts w:asciiTheme="minorHAnsi" w:hAnsiTheme="minorHAnsi" w:cstheme="minorHAnsi"/>
          <w:b/>
          <w:i/>
          <w:sz w:val="22"/>
          <w:szCs w:val="22"/>
        </w:rPr>
        <w:t xml:space="preserve">Exodeconus integrifolius </w:t>
      </w:r>
      <w:r w:rsidRPr="00C17598">
        <w:rPr>
          <w:rFonts w:asciiTheme="minorHAnsi" w:hAnsiTheme="minorHAnsi" w:cstheme="minorHAnsi"/>
          <w:sz w:val="22"/>
          <w:szCs w:val="22"/>
        </w:rPr>
        <w:t xml:space="preserve">(Phil.) Axelius, Argentina, Catamarca Prov., ca. Antofagasta de la Sierra Dpt., G. E. Barboza 4791 # (CORD), PV624280, PV615319, PV615336, PV615351; </w:t>
      </w:r>
      <w:r w:rsidRPr="00C17598">
        <w:rPr>
          <w:rFonts w:asciiTheme="minorHAnsi" w:hAnsiTheme="minorHAnsi" w:cstheme="minorHAnsi"/>
          <w:b/>
          <w:i/>
          <w:sz w:val="22"/>
          <w:szCs w:val="22"/>
        </w:rPr>
        <w:t>Exodeconus maritimus</w:t>
      </w:r>
      <w:r w:rsidRPr="00C17598">
        <w:rPr>
          <w:rFonts w:asciiTheme="minorHAnsi" w:hAnsiTheme="minorHAnsi" w:cstheme="minorHAnsi"/>
          <w:sz w:val="22"/>
          <w:szCs w:val="22"/>
        </w:rPr>
        <w:t xml:space="preserve"> (Benth.) D’Arcy, S. Leiva González 5451, PV624276, PV615315, PV615332, PV615347; Peru, La Libertad Dpt., Trujillo Prov., S. Leiva González 5586 # (HAO); Peru, La Libertad Dpt., Bocatoma-Chavimochi, S. Leiva González 5660 (CORD), PV624277, PV615316, PV615333, PV615348; Peru, La Libertad Dpt., ca. Ascope, S. Knapp &amp; al. 10544 (CORD), PV624278, PV615317, PV615334, PV615349; </w:t>
      </w:r>
      <w:r w:rsidRPr="00C17598">
        <w:rPr>
          <w:rFonts w:asciiTheme="minorHAnsi" w:hAnsiTheme="minorHAnsi" w:cstheme="minorHAnsi"/>
          <w:b/>
          <w:i/>
          <w:sz w:val="22"/>
          <w:szCs w:val="22"/>
        </w:rPr>
        <w:t>Exodeconus miersii</w:t>
      </w:r>
      <w:r w:rsidRPr="00C17598">
        <w:rPr>
          <w:rFonts w:asciiTheme="minorHAnsi" w:hAnsiTheme="minorHAnsi" w:cstheme="minorHAnsi"/>
          <w:sz w:val="22"/>
          <w:szCs w:val="22"/>
        </w:rPr>
        <w:t xml:space="preserve"> (Hook.f.) D’Arcy, Ecuador, Galapagos Prov., Isla Isabela, Bahia Tagus, A. T. Hunziker 25516 (CORD), PV624279, PV615318, PV615335, PV615350; </w:t>
      </w:r>
      <w:r w:rsidRPr="00C17598">
        <w:rPr>
          <w:rFonts w:asciiTheme="minorHAnsi" w:hAnsiTheme="minorHAnsi" w:cstheme="minorHAnsi"/>
          <w:b/>
          <w:i/>
          <w:sz w:val="22"/>
          <w:szCs w:val="22"/>
        </w:rPr>
        <w:t xml:space="preserve">Exodeconus prostratus </w:t>
      </w:r>
      <w:r w:rsidRPr="00C17598">
        <w:rPr>
          <w:rFonts w:asciiTheme="minorHAnsi" w:hAnsiTheme="minorHAnsi" w:cstheme="minorHAnsi"/>
          <w:sz w:val="22"/>
          <w:szCs w:val="22"/>
        </w:rPr>
        <w:t>(L’Hér.) Raf.,</w:t>
      </w:r>
      <w:r w:rsidRPr="00C17598">
        <w:rPr>
          <w:rFonts w:asciiTheme="minorHAnsi" w:hAnsiTheme="minorHAnsi" w:cstheme="minorHAnsi"/>
          <w:b/>
          <w:i/>
          <w:sz w:val="22"/>
          <w:szCs w:val="22"/>
        </w:rPr>
        <w:t xml:space="preserve"> </w:t>
      </w:r>
      <w:r w:rsidRPr="00C17598">
        <w:rPr>
          <w:rFonts w:asciiTheme="minorHAnsi" w:hAnsiTheme="minorHAnsi" w:cstheme="minorHAnsi"/>
          <w:sz w:val="22"/>
          <w:szCs w:val="22"/>
        </w:rPr>
        <w:t xml:space="preserve">Peru, Lima Dpt., Lima Prov., ca. Santa Rosa de Quives, P. Gonzáles 1770 (USM), PV624272, PV615311, PV615328, PV615343; Peru, Ancash Dpt., ca. Tauca, S. Knapp 10641 (CORD), PV624273, PV615312, PV615329, PV615344; Peru, Ancash Dpt., Pallasca Prov., S. Leiva González 5657 # (CORD); </w:t>
      </w:r>
      <w:r w:rsidRPr="00C17598">
        <w:rPr>
          <w:rFonts w:asciiTheme="minorHAnsi" w:hAnsiTheme="minorHAnsi" w:cstheme="minorHAnsi"/>
          <w:b/>
          <w:i/>
          <w:sz w:val="22"/>
          <w:szCs w:val="22"/>
        </w:rPr>
        <w:t>Exodeconus pusillus</w:t>
      </w:r>
      <w:r w:rsidRPr="00C17598">
        <w:rPr>
          <w:rFonts w:asciiTheme="minorHAnsi" w:hAnsiTheme="minorHAnsi" w:cstheme="minorHAnsi"/>
          <w:sz w:val="22"/>
          <w:szCs w:val="22"/>
        </w:rPr>
        <w:t xml:space="preserve"> (Bitter) Axelius, Peru, Arequipa Dpt., Arequipa Prov., ca. Carmen Dos, G. E. Barboza 3943 (CORD), PV624266, PV615305, PV615322, PV615337; Peru, Arequipa Dpt., Arequipa Prov., G. E. Barboza 3944 # (CORD); Peru, Arequipa Dpt., ca. Yura, T. Särkinen &amp; al., 4101 (BM), PV624267, PV615306, PV615323, PV615338; Peru, Arequipa Dpt., Arequipa Prov., Alto Selva Alegre, S. Leiva González &amp; V. Quipuscoa 6041 (HAO), PV624268, PV615307, PV615324, PV615339; </w:t>
      </w:r>
      <w:r w:rsidRPr="00C17598">
        <w:rPr>
          <w:rFonts w:asciiTheme="minorHAnsi" w:hAnsiTheme="minorHAnsi" w:cstheme="minorHAnsi"/>
          <w:b/>
          <w:i/>
          <w:sz w:val="22"/>
          <w:szCs w:val="22"/>
        </w:rPr>
        <w:t xml:space="preserve">Exodeconus </w:t>
      </w:r>
      <w:r w:rsidRPr="00C17598">
        <w:rPr>
          <w:rFonts w:asciiTheme="minorHAnsi" w:hAnsiTheme="minorHAnsi" w:cstheme="minorHAnsi"/>
          <w:b/>
          <w:sz w:val="22"/>
          <w:szCs w:val="22"/>
        </w:rPr>
        <w:t xml:space="preserve">cf. </w:t>
      </w:r>
      <w:r w:rsidRPr="00C17598">
        <w:rPr>
          <w:rFonts w:asciiTheme="minorHAnsi" w:hAnsiTheme="minorHAnsi" w:cstheme="minorHAnsi"/>
          <w:b/>
          <w:i/>
          <w:sz w:val="22"/>
          <w:szCs w:val="22"/>
        </w:rPr>
        <w:t>pusillus</w:t>
      </w:r>
      <w:r w:rsidRPr="00C17598">
        <w:rPr>
          <w:rFonts w:asciiTheme="minorHAnsi" w:hAnsiTheme="minorHAnsi" w:cstheme="minorHAnsi"/>
          <w:sz w:val="22"/>
          <w:szCs w:val="22"/>
        </w:rPr>
        <w:t xml:space="preserve">, Peru, Moquega Dpt., Mariscal Nieto Prov., Torata-Omate, T. Särkinen &amp; al. 4092 (BM), PV624270, PV615309, PV615326, PV615341; Peru, Moquega Dpt., Mariscal Nieto Prov., ca. Omate, Weigend &amp; al., 8380 (BM), PV624270, PV615309, PV615326, PV615341;  </w:t>
      </w:r>
      <w:r w:rsidRPr="00C17598">
        <w:rPr>
          <w:rFonts w:asciiTheme="minorHAnsi" w:hAnsiTheme="minorHAnsi" w:cstheme="minorHAnsi"/>
          <w:b/>
          <w:i/>
          <w:sz w:val="22"/>
          <w:szCs w:val="22"/>
        </w:rPr>
        <w:t xml:space="preserve">Exodeconus </w:t>
      </w:r>
      <w:r w:rsidRPr="00C17598">
        <w:rPr>
          <w:rFonts w:asciiTheme="minorHAnsi" w:hAnsiTheme="minorHAnsi" w:cstheme="minorHAnsi"/>
          <w:b/>
          <w:sz w:val="22"/>
          <w:szCs w:val="22"/>
        </w:rPr>
        <w:t>sp.</w:t>
      </w:r>
      <w:r w:rsidRPr="00C17598">
        <w:rPr>
          <w:rFonts w:asciiTheme="minorHAnsi" w:hAnsiTheme="minorHAnsi" w:cstheme="minorHAnsi"/>
          <w:sz w:val="22"/>
          <w:szCs w:val="22"/>
        </w:rPr>
        <w:t>, Peru, Arequipa Dpt., Arequipa Province, Alto Selva Alegre, Villa Confraternidad, S. Leiva González &amp; V. Quipuscoa 6040 # (HAO), PV624271, PV615310, PV615327, PV615342.</w:t>
      </w:r>
    </w:p>
    <w:p w14:paraId="2AC0A734" w14:textId="77777777" w:rsidR="004E780C" w:rsidRDefault="004E780C"/>
    <w:sectPr w:rsidR="004E780C" w:rsidSect="00C959FB">
      <w:pgSz w:w="11906" w:h="16838"/>
      <w:pgMar w:top="1418" w:right="1418" w:bottom="1418" w:left="1418" w:header="709" w:footer="709"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9FB"/>
    <w:rsid w:val="002978F5"/>
    <w:rsid w:val="003852CF"/>
    <w:rsid w:val="004E780C"/>
    <w:rsid w:val="00AD40B6"/>
    <w:rsid w:val="00C959F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470C7"/>
  <w15:chartTrackingRefBased/>
  <w15:docId w15:val="{AAC36655-0C2F-4416-B527-81E6F1A6F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59FB"/>
    <w:pPr>
      <w:spacing w:after="0" w:line="276" w:lineRule="auto"/>
      <w:jc w:val="both"/>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C959FB"/>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C959FB"/>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C959FB"/>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959FB"/>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C959FB"/>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C959FB"/>
    <w:pPr>
      <w:keepNext/>
      <w:keepLines/>
      <w:spacing w:before="40" w:line="278" w:lineRule="auto"/>
      <w:jc w:val="left"/>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C959FB"/>
    <w:pPr>
      <w:keepNext/>
      <w:keepLines/>
      <w:spacing w:before="40" w:line="278" w:lineRule="auto"/>
      <w:jc w:val="left"/>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C959FB"/>
    <w:pPr>
      <w:keepNext/>
      <w:keepLines/>
      <w:spacing w:line="278" w:lineRule="auto"/>
      <w:jc w:val="left"/>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C959FB"/>
    <w:pPr>
      <w:keepNext/>
      <w:keepLines/>
      <w:spacing w:line="278" w:lineRule="auto"/>
      <w:jc w:val="left"/>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59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59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59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59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59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59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59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59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59FB"/>
    <w:rPr>
      <w:rFonts w:eastAsiaTheme="majorEastAsia" w:cstheme="majorBidi"/>
      <w:color w:val="272727" w:themeColor="text1" w:themeTint="D8"/>
    </w:rPr>
  </w:style>
  <w:style w:type="paragraph" w:styleId="Title">
    <w:name w:val="Title"/>
    <w:basedOn w:val="Normal"/>
    <w:next w:val="Normal"/>
    <w:link w:val="TitleChar"/>
    <w:uiPriority w:val="10"/>
    <w:qFormat/>
    <w:rsid w:val="00C959FB"/>
    <w:pPr>
      <w:spacing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959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59FB"/>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959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59FB"/>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C959FB"/>
    <w:rPr>
      <w:i/>
      <w:iCs/>
      <w:color w:val="404040" w:themeColor="text1" w:themeTint="BF"/>
    </w:rPr>
  </w:style>
  <w:style w:type="paragraph" w:styleId="ListParagraph">
    <w:name w:val="List Paragraph"/>
    <w:basedOn w:val="Normal"/>
    <w:uiPriority w:val="34"/>
    <w:qFormat/>
    <w:rsid w:val="00C959FB"/>
    <w:pPr>
      <w:spacing w:after="160" w:line="278" w:lineRule="auto"/>
      <w:ind w:left="720"/>
      <w:contextualSpacing/>
      <w:jc w:val="left"/>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C959FB"/>
    <w:rPr>
      <w:i/>
      <w:iCs/>
      <w:color w:val="0F4761" w:themeColor="accent1" w:themeShade="BF"/>
    </w:rPr>
  </w:style>
  <w:style w:type="paragraph" w:styleId="IntenseQuote">
    <w:name w:val="Intense Quote"/>
    <w:basedOn w:val="Normal"/>
    <w:next w:val="Normal"/>
    <w:link w:val="IntenseQuoteChar"/>
    <w:uiPriority w:val="30"/>
    <w:qFormat/>
    <w:rsid w:val="00C959F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C959FB"/>
    <w:rPr>
      <w:i/>
      <w:iCs/>
      <w:color w:val="0F4761" w:themeColor="accent1" w:themeShade="BF"/>
    </w:rPr>
  </w:style>
  <w:style w:type="character" w:styleId="IntenseReference">
    <w:name w:val="Intense Reference"/>
    <w:basedOn w:val="DefaultParagraphFont"/>
    <w:uiPriority w:val="32"/>
    <w:qFormat/>
    <w:rsid w:val="00C959FB"/>
    <w:rPr>
      <w:b/>
      <w:bCs/>
      <w:smallCaps/>
      <w:color w:val="0F4761" w:themeColor="accent1" w:themeShade="BF"/>
      <w:spacing w:val="5"/>
    </w:rPr>
  </w:style>
  <w:style w:type="character" w:styleId="LineNumber">
    <w:name w:val="line number"/>
    <w:basedOn w:val="DefaultParagraphFont"/>
    <w:uiPriority w:val="99"/>
    <w:semiHidden/>
    <w:unhideWhenUsed/>
    <w:rsid w:val="00C959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492</Words>
  <Characters>2807</Characters>
  <Application>Microsoft Office Word</Application>
  <DocSecurity>0</DocSecurity>
  <Lines>23</Lines>
  <Paragraphs>6</Paragraphs>
  <ScaleCrop>false</ScaleCrop>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2025-07-28T10:51:00Z</dcterms:created>
  <dcterms:modified xsi:type="dcterms:W3CDTF">2025-07-28T10:51:00Z</dcterms:modified>
</cp:coreProperties>
</file>