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D819E" w14:textId="77777777" w:rsidR="0020368D" w:rsidRPr="0020368D" w:rsidRDefault="0020368D" w:rsidP="0020368D">
      <w:pPr>
        <w:rPr>
          <w:lang w:val="en-US"/>
        </w:rPr>
      </w:pPr>
    </w:p>
    <w:p w14:paraId="49924FDB" w14:textId="7F62F78D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drawing>
          <wp:inline distT="0" distB="0" distL="0" distR="0" wp14:anchorId="460DA0BA" wp14:editId="590A68CA">
            <wp:extent cx="5276850" cy="2667000"/>
            <wp:effectExtent l="0" t="0" r="0" b="0"/>
            <wp:docPr id="90877585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E6D03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S1</w:t>
      </w:r>
      <w:r w:rsidRPr="0020368D">
        <w:rPr>
          <w:lang w:val="en-US"/>
        </w:rPr>
        <w:t xml:space="preserve">. Schematic diagram </w:t>
      </w:r>
      <w:proofErr w:type="gramStart"/>
      <w:r w:rsidRPr="0020368D">
        <w:rPr>
          <w:lang w:val="en-US"/>
        </w:rPr>
        <w:t>illustrating</w:t>
      </w:r>
      <w:proofErr w:type="gramEnd"/>
      <w:r w:rsidRPr="0020368D">
        <w:rPr>
          <w:lang w:val="en-US"/>
        </w:rPr>
        <w:t xml:space="preserve"> the workflow of the energy metabolism-based classifier for gliomas.</w:t>
      </w:r>
    </w:p>
    <w:p w14:paraId="7D78C781" w14:textId="79D8FE47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13DBE3FA" wp14:editId="6265E397">
            <wp:extent cx="5276850" cy="8715375"/>
            <wp:effectExtent l="0" t="0" r="0" b="9525"/>
            <wp:docPr id="133834047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AA1A4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lastRenderedPageBreak/>
        <w:t>Figure S2</w:t>
      </w:r>
      <w:r w:rsidRPr="0020368D">
        <w:rPr>
          <w:lang w:val="en-US"/>
        </w:rPr>
        <w:t>. Consensus clustering and PCA of the TCGA and CGGA datasets.</w:t>
      </w:r>
    </w:p>
    <w:p w14:paraId="6A67DB21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(a, b)</w:t>
      </w:r>
      <w:r w:rsidRPr="0020368D">
        <w:rPr>
          <w:lang w:val="en-US"/>
        </w:rPr>
        <w:t xml:space="preserve"> Heatmaps showing the consensus value matrices from three to four clusters (k) tested via the k-means algorithm in the TCGA dataset. Each row and column </w:t>
      </w:r>
      <w:proofErr w:type="gramStart"/>
      <w:r w:rsidRPr="0020368D">
        <w:rPr>
          <w:lang w:val="en-US"/>
        </w:rPr>
        <w:t>represents</w:t>
      </w:r>
      <w:proofErr w:type="gramEnd"/>
      <w:r w:rsidRPr="0020368D">
        <w:rPr>
          <w:lang w:val="en-US"/>
        </w:rPr>
        <w:t xml:space="preserve"> a sample. Consensus clustering was obtained through 1000 iterations and 80% resampling. The consensus values range from 0 (white) to 1 (dark blue): a value of 1 indicates that two samples always cluster together, whereas 0 indicates that they never cluster together. The bar chart below the dendrogram shows the consensus clustering obtained from the metadata.</w:t>
      </w:r>
    </w:p>
    <w:p w14:paraId="2D4E76ED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(c, d) </w:t>
      </w:r>
      <w:r w:rsidRPr="0020368D">
        <w:rPr>
          <w:lang w:val="en-US"/>
        </w:rPr>
        <w:t>Heatmaps of the consensus value matrices when K=3 and 4 in the CGGA dataset.</w:t>
      </w:r>
    </w:p>
    <w:p w14:paraId="36353831" w14:textId="77777777" w:rsidR="0020368D" w:rsidRPr="0020368D" w:rsidRDefault="0020368D" w:rsidP="0020368D">
      <w:pPr>
        <w:rPr>
          <w:b/>
          <w:bCs/>
          <w:lang w:val="en-US"/>
        </w:rPr>
      </w:pPr>
      <w:r w:rsidRPr="0020368D">
        <w:rPr>
          <w:b/>
          <w:bCs/>
          <w:lang w:val="en-US"/>
        </w:rPr>
        <w:t xml:space="preserve">(e) </w:t>
      </w:r>
      <w:r w:rsidRPr="0020368D">
        <w:rPr>
          <w:lang w:val="en-US"/>
        </w:rPr>
        <w:t>PCA scatter plots for the TCGA datasets when K=2.</w:t>
      </w:r>
    </w:p>
    <w:p w14:paraId="32B97E54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(f) </w:t>
      </w:r>
      <w:r w:rsidRPr="0020368D">
        <w:rPr>
          <w:lang w:val="en-US"/>
        </w:rPr>
        <w:t>PCA scatter plots for the CGGA datasets when K=2.</w:t>
      </w:r>
    </w:p>
    <w:p w14:paraId="11301DC8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lang w:val="en-US"/>
        </w:rPr>
        <w:t>(g)</w:t>
      </w:r>
      <w:r w:rsidRPr="0020368D">
        <w:rPr>
          <w:lang w:val="en-US"/>
        </w:rPr>
        <w:t xml:space="preserve"> Box plots depict the relative mRNA expression levels of metabolism-related genes between metabolic clusters in the TCGA dataset</w:t>
      </w:r>
    </w:p>
    <w:p w14:paraId="7DF33D25" w14:textId="573CEFEF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75C5B094" wp14:editId="1BEFBD46">
            <wp:extent cx="5276850" cy="7486650"/>
            <wp:effectExtent l="0" t="0" r="0" b="0"/>
            <wp:docPr id="9961293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DBD2F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S3</w:t>
      </w:r>
      <w:r w:rsidRPr="0020368D">
        <w:rPr>
          <w:lang w:val="en-US"/>
        </w:rPr>
        <w:t>. Forest plots of multivariate Cox regression analysis in the TCGA and CGGA datasets.</w:t>
      </w:r>
    </w:p>
    <w:p w14:paraId="2DCFA0F2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(a) </w:t>
      </w:r>
      <w:r w:rsidRPr="0020368D">
        <w:rPr>
          <w:lang w:val="en-US"/>
        </w:rPr>
        <w:t>Multivariate Cox regression analysis of the TCGA dataset, adjusted for age, sex, tumor grade, energy metabolism subtype, molecular pathology subtype, and MGMT promoter methylation.</w:t>
      </w:r>
    </w:p>
    <w:p w14:paraId="115E3AE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lastRenderedPageBreak/>
        <w:t xml:space="preserve">(b) </w:t>
      </w:r>
      <w:r w:rsidRPr="0020368D">
        <w:rPr>
          <w:lang w:val="en-US"/>
        </w:rPr>
        <w:t>Multivariate Cox regression analysis of the CGGA dataset, adjusted for age, sex, tumor grade, energy metabolism subtype, molecular pathology subtype, radiotherapy, and chemotherapy.</w:t>
      </w:r>
    </w:p>
    <w:p w14:paraId="6706ABB3" w14:textId="4C6474BE" w:rsidR="0020368D" w:rsidRPr="0020368D" w:rsidRDefault="0020368D" w:rsidP="0020368D">
      <w:pPr>
        <w:rPr>
          <w:b/>
          <w:bCs/>
          <w:lang w:val="en-US"/>
        </w:rPr>
      </w:pPr>
      <w:r w:rsidRPr="0020368D">
        <w:rPr>
          <w:b/>
          <w:lang w:val="en-US"/>
        </w:rPr>
        <w:drawing>
          <wp:inline distT="0" distB="0" distL="0" distR="0" wp14:anchorId="3C1417E6" wp14:editId="5C2D2EAC">
            <wp:extent cx="5276850" cy="3228975"/>
            <wp:effectExtent l="0" t="0" r="0" b="9525"/>
            <wp:docPr id="197619263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5CE91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S4</w:t>
      </w:r>
      <w:r w:rsidRPr="0020368D">
        <w:rPr>
          <w:lang w:val="en-US"/>
        </w:rPr>
        <w:t>. Comparison of CNV and mRNA levels of metabolism-related genes between metabolic clusters.</w:t>
      </w:r>
    </w:p>
    <w:p w14:paraId="420250AA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(a) C</w:t>
      </w:r>
      <w:r w:rsidRPr="0020368D">
        <w:rPr>
          <w:lang w:val="en-US"/>
        </w:rPr>
        <w:t>omparison of CNV amplification or deletion of metabolism-related genes between metabolic clusters.</w:t>
      </w:r>
    </w:p>
    <w:p w14:paraId="6DDD683D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(b) </w:t>
      </w:r>
      <w:r w:rsidRPr="0020368D">
        <w:rPr>
          <w:lang w:val="en-US"/>
        </w:rPr>
        <w:t>Comparison of the mRNA levels of metabolism-related genes between metabolic clusters.</w:t>
      </w:r>
    </w:p>
    <w:p w14:paraId="61F4EE3C" w14:textId="3E885956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69E5AF63" wp14:editId="5648B659">
            <wp:extent cx="5276850" cy="6877050"/>
            <wp:effectExtent l="0" t="0" r="0" b="0"/>
            <wp:docPr id="133826604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87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45A3A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S5</w:t>
      </w:r>
      <w:r w:rsidRPr="0020368D">
        <w:rPr>
          <w:lang w:val="en-US"/>
        </w:rPr>
        <w:t xml:space="preserve">. Performance of classical oncogenic pathways and immune features of </w:t>
      </w:r>
      <w:proofErr w:type="gramStart"/>
      <w:r w:rsidRPr="0020368D">
        <w:rPr>
          <w:lang w:val="en-US"/>
        </w:rPr>
        <w:t>energy metabolic</w:t>
      </w:r>
      <w:proofErr w:type="gramEnd"/>
      <w:r w:rsidRPr="0020368D">
        <w:rPr>
          <w:lang w:val="en-US"/>
        </w:rPr>
        <w:t xml:space="preserve"> clusters in the CGGA dataset.</w:t>
      </w:r>
    </w:p>
    <w:p w14:paraId="00E6222A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(a) </w:t>
      </w:r>
      <w:r w:rsidRPr="0020368D">
        <w:rPr>
          <w:lang w:val="en-US"/>
        </w:rPr>
        <w:t>Quantitative analysis of ten classic oncogenic pathways between metabolic clusters in the CGGA dataset.</w:t>
      </w:r>
    </w:p>
    <w:p w14:paraId="17B9567D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(b) </w:t>
      </w:r>
      <w:r w:rsidRPr="0020368D">
        <w:rPr>
          <w:lang w:val="en-US"/>
        </w:rPr>
        <w:t>Comparison of the mRNA levels of immune checkpoints between metabolic clusters in the CGGA dataset.</w:t>
      </w:r>
    </w:p>
    <w:p w14:paraId="3C37B9DA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lastRenderedPageBreak/>
        <w:t xml:space="preserve">(c) </w:t>
      </w:r>
      <w:r w:rsidRPr="0020368D">
        <w:rPr>
          <w:lang w:val="en-US"/>
        </w:rPr>
        <w:t>Comparison of diverse immune signatures between metabolic clusters in the dataset.</w:t>
      </w:r>
    </w:p>
    <w:p w14:paraId="40E1A744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(d) </w:t>
      </w:r>
      <w:r w:rsidRPr="0020368D">
        <w:rPr>
          <w:lang w:val="en-US"/>
        </w:rPr>
        <w:t>Comparison of scores calculated with the ESTIMATE algorithm between metabolic clusters in the dataset.</w:t>
      </w:r>
    </w:p>
    <w:p w14:paraId="2BDAAD60" w14:textId="152E86BE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2B866B31" wp14:editId="55AA8DB5">
            <wp:extent cx="4486275" cy="8582025"/>
            <wp:effectExtent l="0" t="0" r="9525" b="9525"/>
            <wp:docPr id="32240466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858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A1543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lastRenderedPageBreak/>
        <w:t>Figure S6</w:t>
      </w:r>
      <w:r w:rsidRPr="0020368D">
        <w:rPr>
          <w:lang w:val="en-US"/>
        </w:rPr>
        <w:t>. Abundances of immune cells and stromal cells calculated with the MCP-counter algorithm in the TCGA and CGGA datasets.</w:t>
      </w:r>
    </w:p>
    <w:p w14:paraId="724E9FED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(a) </w:t>
      </w:r>
      <w:r w:rsidRPr="0020368D">
        <w:rPr>
          <w:lang w:val="en-US"/>
        </w:rPr>
        <w:t>Comparison of the abundance of immune and stromal cells between metabolic clusters in the TCGA dataset.</w:t>
      </w:r>
    </w:p>
    <w:p w14:paraId="4D5A3937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(b) </w:t>
      </w:r>
      <w:r w:rsidRPr="0020368D">
        <w:rPr>
          <w:lang w:val="en-US"/>
        </w:rPr>
        <w:t>Comparison of the abundance of immune and stromal cells between metabolic clusters in the CGGA dataset.</w:t>
      </w:r>
    </w:p>
    <w:p w14:paraId="1951BF09" w14:textId="5381AC49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5ECB04CD" wp14:editId="279D2ADA">
            <wp:extent cx="4533900" cy="8810625"/>
            <wp:effectExtent l="0" t="0" r="0" b="9525"/>
            <wp:docPr id="45328828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A7DC1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lastRenderedPageBreak/>
        <w:t>Figure S7</w:t>
      </w:r>
      <w:r w:rsidRPr="0020368D">
        <w:rPr>
          <w:lang w:val="en-US"/>
        </w:rPr>
        <w:t>. Validation of the energy metabolic classifier in the CPTAC dataset.</w:t>
      </w:r>
    </w:p>
    <w:p w14:paraId="43574BE0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(a, b) </w:t>
      </w:r>
      <w:r w:rsidRPr="0020368D">
        <w:rPr>
          <w:lang w:val="en-US"/>
        </w:rPr>
        <w:t xml:space="preserve">Heatmaps of consensus value matrices when K=3 and 4 </w:t>
      </w:r>
      <w:proofErr w:type="gramStart"/>
      <w:r w:rsidRPr="0020368D">
        <w:rPr>
          <w:lang w:val="en-US"/>
        </w:rPr>
        <w:t>in</w:t>
      </w:r>
      <w:proofErr w:type="gramEnd"/>
      <w:r w:rsidRPr="0020368D">
        <w:rPr>
          <w:lang w:val="en-US"/>
        </w:rPr>
        <w:t xml:space="preserve"> the CPTAC dataset.</w:t>
      </w:r>
    </w:p>
    <w:p w14:paraId="0706A67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(c) </w:t>
      </w:r>
      <w:r w:rsidRPr="0020368D">
        <w:rPr>
          <w:lang w:val="en-US"/>
        </w:rPr>
        <w:t>Performance of metabolic classification of PCA in the CPTAC dataset.</w:t>
      </w:r>
    </w:p>
    <w:p w14:paraId="252D181F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(d) </w:t>
      </w:r>
      <w:r w:rsidRPr="0020368D">
        <w:rPr>
          <w:lang w:val="en-US"/>
        </w:rPr>
        <w:t xml:space="preserve">Kaplan-Meier curves of the metabolic classifier in the CPTAC dataset, with log-rank test </w:t>
      </w:r>
      <w:r w:rsidRPr="0020368D">
        <w:rPr>
          <w:i/>
          <w:lang w:val="en-US"/>
        </w:rPr>
        <w:t>P</w:t>
      </w:r>
      <w:r w:rsidRPr="0020368D">
        <w:rPr>
          <w:lang w:val="en-US"/>
        </w:rPr>
        <w:t>-values shown.</w:t>
      </w:r>
    </w:p>
    <w:p w14:paraId="4E031E86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(e) C</w:t>
      </w:r>
      <w:r w:rsidRPr="0020368D">
        <w:rPr>
          <w:lang w:val="en-US"/>
        </w:rPr>
        <w:t>omparison of the abundance of immune and stromal cells between the metabolic clusters in the CPTAC dataset.</w:t>
      </w:r>
    </w:p>
    <w:p w14:paraId="68B6DC89" w14:textId="4BDC1B6B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drawing>
          <wp:inline distT="0" distB="0" distL="0" distR="0" wp14:anchorId="2D8409AF" wp14:editId="2CF84782">
            <wp:extent cx="5276850" cy="5562600"/>
            <wp:effectExtent l="0" t="0" r="0" b="0"/>
            <wp:docPr id="179794171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75626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S8</w:t>
      </w:r>
      <w:r w:rsidRPr="0020368D">
        <w:rPr>
          <w:lang w:val="en-US"/>
        </w:rPr>
        <w:t>. The supplementary profile of OSMR.</w:t>
      </w:r>
    </w:p>
    <w:p w14:paraId="47F0DC9A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lang w:val="en-US"/>
        </w:rPr>
        <w:t>(a)</w:t>
      </w:r>
      <w:r w:rsidRPr="0020368D">
        <w:rPr>
          <w:lang w:val="en-US"/>
        </w:rPr>
        <w:t xml:space="preserve"> The relative mRNA expression of OSMR across transcriptome subtypes of gliomas in the CGGA dataset.</w:t>
      </w:r>
    </w:p>
    <w:p w14:paraId="7E4BCFE4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lang w:val="en-US"/>
        </w:rPr>
        <w:lastRenderedPageBreak/>
        <w:t>(b)</w:t>
      </w:r>
      <w:r w:rsidRPr="0020368D">
        <w:rPr>
          <w:lang w:val="en-US"/>
        </w:rPr>
        <w:t xml:space="preserve"> The relative mRNA expression of OSMR across all WHO grades of gliomas in the CGGA dataset.</w:t>
      </w:r>
    </w:p>
    <w:p w14:paraId="3D7356C3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(c) </w:t>
      </w:r>
      <w:r w:rsidRPr="0020368D">
        <w:rPr>
          <w:lang w:val="en-US"/>
        </w:rPr>
        <w:t xml:space="preserve">Kaplan-Meier curve analysis of </w:t>
      </w:r>
      <w:proofErr w:type="gramStart"/>
      <w:r w:rsidRPr="0020368D">
        <w:rPr>
          <w:lang w:val="en-US"/>
        </w:rPr>
        <w:t>low grade</w:t>
      </w:r>
      <w:proofErr w:type="gramEnd"/>
      <w:r w:rsidRPr="0020368D">
        <w:rPr>
          <w:lang w:val="en-US"/>
        </w:rPr>
        <w:t xml:space="preserve"> gliomas (LGGs) in CGGA dataset stratified by OSMR expression level. </w:t>
      </w:r>
    </w:p>
    <w:p w14:paraId="0CD45747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(d) </w:t>
      </w:r>
      <w:r w:rsidRPr="0020368D">
        <w:rPr>
          <w:lang w:val="en-US"/>
        </w:rPr>
        <w:t>Kaplan-Meier curve analysis of glioblastomas (GBMs) in CGGA dataset stratified by OSMR expression level.</w:t>
      </w:r>
    </w:p>
    <w:p w14:paraId="4924E980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(e, f) </w:t>
      </w:r>
      <w:r w:rsidRPr="0020368D">
        <w:rPr>
          <w:lang w:val="en-US"/>
        </w:rPr>
        <w:t>The correlation analysis of OSMR mRNA expression with HK2 and LDHA mRNA levels in the TCGA dataset.</w:t>
      </w:r>
    </w:p>
    <w:p w14:paraId="281EC1DF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(g)</w:t>
      </w:r>
      <w:r w:rsidRPr="0020368D">
        <w:rPr>
          <w:lang w:val="en-US"/>
        </w:rPr>
        <w:t xml:space="preserve"> OSMR gene silencing showed that the mRNA expression levels of siOSMR-2 and siOSMR-3 were significantly lower than those of the control group in U251 cell line (</w:t>
      </w:r>
      <w:r w:rsidRPr="0020368D">
        <w:rPr>
          <w:i/>
          <w:lang w:val="en-US"/>
        </w:rPr>
        <w:t>P</w:t>
      </w:r>
      <w:r w:rsidRPr="0020368D">
        <w:rPr>
          <w:lang w:val="en-US"/>
        </w:rPr>
        <w:t xml:space="preserve">&lt;0.001, </w:t>
      </w:r>
      <w:r w:rsidRPr="0020368D">
        <w:rPr>
          <w:i/>
          <w:lang w:val="en-US"/>
        </w:rPr>
        <w:t>P</w:t>
      </w:r>
      <w:r w:rsidRPr="0020368D">
        <w:rPr>
          <w:lang w:val="en-US"/>
        </w:rPr>
        <w:t>&lt;0.001).</w:t>
      </w:r>
    </w:p>
    <w:p w14:paraId="3F0050D8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(h)</w:t>
      </w:r>
      <w:r w:rsidRPr="0020368D">
        <w:rPr>
          <w:bCs/>
          <w:lang w:val="en-US"/>
        </w:rPr>
        <w:t xml:space="preserve"> OE-</w:t>
      </w:r>
      <w:r w:rsidRPr="0020368D">
        <w:rPr>
          <w:lang w:val="en-US"/>
        </w:rPr>
        <w:t>OSMR significantly up-regulated the mRNA expression levels of OSMR compared with those in the control group in the LN229 cell line (</w:t>
      </w:r>
      <w:r w:rsidRPr="0020368D">
        <w:rPr>
          <w:i/>
          <w:iCs/>
          <w:lang w:val="en-US"/>
        </w:rPr>
        <w:t>P</w:t>
      </w:r>
      <w:r w:rsidRPr="0020368D">
        <w:rPr>
          <w:lang w:val="en-US"/>
        </w:rPr>
        <w:t>&lt;0.001).</w:t>
      </w:r>
    </w:p>
    <w:p w14:paraId="0A2A373A" w14:textId="77777777" w:rsidR="0020368D" w:rsidRPr="0020368D" w:rsidRDefault="0020368D" w:rsidP="0020368D">
      <w:pPr>
        <w:rPr>
          <w:b/>
          <w:lang w:val="en-US"/>
        </w:rPr>
      </w:pPr>
      <w:r w:rsidRPr="0020368D">
        <w:rPr>
          <w:b/>
          <w:lang w:val="en-US"/>
        </w:rPr>
        <w:t>(</w:t>
      </w:r>
      <w:proofErr w:type="spellStart"/>
      <w:r w:rsidRPr="0020368D">
        <w:rPr>
          <w:b/>
          <w:lang w:val="en-US"/>
        </w:rPr>
        <w:t>i</w:t>
      </w:r>
      <w:proofErr w:type="spellEnd"/>
      <w:r w:rsidRPr="0020368D">
        <w:rPr>
          <w:b/>
          <w:lang w:val="en-US"/>
        </w:rPr>
        <w:t xml:space="preserve">) </w:t>
      </w:r>
      <w:r w:rsidRPr="0020368D">
        <w:rPr>
          <w:lang w:val="en-US"/>
        </w:rPr>
        <w:t xml:space="preserve">Cell survival rate curve of U87 cells treated with different logarithmic concentrations of </w:t>
      </w:r>
      <w:proofErr w:type="spellStart"/>
      <w:r w:rsidRPr="0020368D">
        <w:rPr>
          <w:lang w:val="en-US"/>
        </w:rPr>
        <w:t>ganoderic</w:t>
      </w:r>
      <w:proofErr w:type="spellEnd"/>
      <w:r w:rsidRPr="0020368D">
        <w:rPr>
          <w:lang w:val="en-US"/>
        </w:rPr>
        <w:t xml:space="preserve"> acid A (GA-A).</w:t>
      </w:r>
    </w:p>
    <w:p w14:paraId="10956DDC" w14:textId="20FC09AC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3D7456EA" wp14:editId="74F2C853">
            <wp:extent cx="5276850" cy="6381750"/>
            <wp:effectExtent l="0" t="0" r="0" b="0"/>
            <wp:docPr id="87861472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456D4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S9</w:t>
      </w:r>
      <w:r w:rsidRPr="0020368D">
        <w:rPr>
          <w:lang w:val="en-US"/>
        </w:rPr>
        <w:t xml:space="preserve">. t-SNE plot and </w:t>
      </w:r>
      <w:proofErr w:type="spellStart"/>
      <w:r w:rsidRPr="0020368D">
        <w:rPr>
          <w:lang w:val="en-US"/>
        </w:rPr>
        <w:t>inferCNV</w:t>
      </w:r>
      <w:proofErr w:type="spellEnd"/>
      <w:r w:rsidRPr="0020368D">
        <w:rPr>
          <w:lang w:val="en-US"/>
        </w:rPr>
        <w:t xml:space="preserve"> plots of the CPTAC dataset.</w:t>
      </w:r>
    </w:p>
    <w:p w14:paraId="6EA3EEE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(a) </w:t>
      </w:r>
      <w:r w:rsidRPr="0020368D">
        <w:rPr>
          <w:lang w:val="en-US"/>
        </w:rPr>
        <w:t>t-SNE projections of patients in the CPTAC dataset.</w:t>
      </w:r>
    </w:p>
    <w:p w14:paraId="22115011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(b) </w:t>
      </w:r>
      <w:r w:rsidRPr="0020368D">
        <w:rPr>
          <w:lang w:val="en-US"/>
        </w:rPr>
        <w:t xml:space="preserve">CNV analysis based on </w:t>
      </w:r>
      <w:proofErr w:type="spellStart"/>
      <w:r w:rsidRPr="0020368D">
        <w:rPr>
          <w:lang w:val="en-US"/>
        </w:rPr>
        <w:t>scRNA</w:t>
      </w:r>
      <w:proofErr w:type="spellEnd"/>
      <w:r w:rsidRPr="0020368D">
        <w:rPr>
          <w:lang w:val="en-US"/>
        </w:rPr>
        <w:t>-seq data, showing increased copy number variation on chromosome 7 (red) and loss on chromosome 10 (blue) in tumor cells compared with nonmalignant cells.</w:t>
      </w:r>
    </w:p>
    <w:p w14:paraId="0D39538D" w14:textId="77777777" w:rsidR="0020368D" w:rsidRPr="0020368D" w:rsidRDefault="0020368D" w:rsidP="0020368D">
      <w:pPr>
        <w:rPr>
          <w:lang w:val="en-US"/>
        </w:rPr>
      </w:pPr>
    </w:p>
    <w:p w14:paraId="6B47049D" w14:textId="3B2EA692" w:rsidR="0020368D" w:rsidRPr="0020368D" w:rsidRDefault="0020368D" w:rsidP="0020368D">
      <w:pPr>
        <w:rPr>
          <w:b/>
          <w:bCs/>
          <w:lang w:val="en-US"/>
        </w:rPr>
      </w:pPr>
      <w:r w:rsidRPr="0020368D">
        <w:rPr>
          <w:b/>
          <w:lang w:val="en-US"/>
        </w:rPr>
        <w:lastRenderedPageBreak/>
        <w:drawing>
          <wp:inline distT="0" distB="0" distL="0" distR="0" wp14:anchorId="33372EC4" wp14:editId="73F5E3BC">
            <wp:extent cx="5276850" cy="2657475"/>
            <wp:effectExtent l="0" t="0" r="0" b="9525"/>
            <wp:docPr id="186801063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8E450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S10</w:t>
      </w:r>
      <w:r w:rsidRPr="0020368D">
        <w:rPr>
          <w:lang w:val="en-US"/>
        </w:rPr>
        <w:t>. The correlation scatter plots of metabolic pathways of tumor cells in the CPTAC dataset.</w:t>
      </w:r>
    </w:p>
    <w:p w14:paraId="04AB8C7C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(a) </w:t>
      </w:r>
      <w:r w:rsidRPr="0020368D">
        <w:rPr>
          <w:lang w:val="en-US"/>
        </w:rPr>
        <w:t xml:space="preserve">Correlation scatter plots of glycolysis, fatty acid oxidation, and </w:t>
      </w:r>
      <w:proofErr w:type="spellStart"/>
      <w:r w:rsidRPr="0020368D">
        <w:rPr>
          <w:lang w:val="en-US"/>
        </w:rPr>
        <w:t>glutaminolysis</w:t>
      </w:r>
      <w:proofErr w:type="spellEnd"/>
      <w:r w:rsidRPr="0020368D">
        <w:rPr>
          <w:lang w:val="en-US"/>
        </w:rPr>
        <w:t xml:space="preserve"> with oxidative phosphorylation in glioma cells.</w:t>
      </w:r>
    </w:p>
    <w:p w14:paraId="4439261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(b) </w:t>
      </w:r>
      <w:r w:rsidRPr="0020368D">
        <w:rPr>
          <w:lang w:val="en-US"/>
        </w:rPr>
        <w:t>Correlation scatter plots of different metabolic pathways in glioma cell lines from the CCLE database.</w:t>
      </w:r>
    </w:p>
    <w:p w14:paraId="5F7757A2" w14:textId="6E5245E2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lastRenderedPageBreak/>
        <w:drawing>
          <wp:inline distT="0" distB="0" distL="0" distR="0" wp14:anchorId="6709F449" wp14:editId="66BCA6A7">
            <wp:extent cx="5276850" cy="7286625"/>
            <wp:effectExtent l="0" t="0" r="0" b="9525"/>
            <wp:docPr id="85433670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9D7CB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>Figure S11</w:t>
      </w:r>
      <w:r w:rsidRPr="0020368D">
        <w:rPr>
          <w:lang w:val="en-US"/>
        </w:rPr>
        <w:t xml:space="preserve">. </w:t>
      </w:r>
      <w:proofErr w:type="spellStart"/>
      <w:r w:rsidRPr="0020368D">
        <w:rPr>
          <w:lang w:val="en-US"/>
        </w:rPr>
        <w:t>Pseudotime</w:t>
      </w:r>
      <w:proofErr w:type="spellEnd"/>
      <w:r w:rsidRPr="0020368D">
        <w:rPr>
          <w:lang w:val="en-US"/>
        </w:rPr>
        <w:t xml:space="preserve"> analysis and the proportions of various types of malignant cells.</w:t>
      </w:r>
    </w:p>
    <w:p w14:paraId="7788367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(a, b, c) </w:t>
      </w:r>
      <w:r w:rsidRPr="0020368D">
        <w:rPr>
          <w:lang w:val="en-US"/>
        </w:rPr>
        <w:t>Alterations in hypoxia, angiogenesis, and oxidative phosphorylation pathway activities in tumor cells during the transition from PN to MES.</w:t>
      </w:r>
    </w:p>
    <w:p w14:paraId="3F9EB4D9" w14:textId="77777777" w:rsidR="0020368D" w:rsidRPr="0020368D" w:rsidRDefault="0020368D" w:rsidP="0020368D">
      <w:pPr>
        <w:rPr>
          <w:lang w:val="en-US"/>
        </w:rPr>
      </w:pPr>
      <w:r w:rsidRPr="0020368D">
        <w:rPr>
          <w:b/>
          <w:bCs/>
          <w:lang w:val="en-US"/>
        </w:rPr>
        <w:t xml:space="preserve">(d) </w:t>
      </w:r>
      <w:r w:rsidRPr="0020368D">
        <w:rPr>
          <w:lang w:val="en-US"/>
        </w:rPr>
        <w:t>Proportion chart showing the distribution of different cell types in each patient.</w:t>
      </w:r>
    </w:p>
    <w:p w14:paraId="468CB87B" w14:textId="77777777" w:rsidR="0020368D" w:rsidRPr="0020368D" w:rsidRDefault="0020368D" w:rsidP="0020368D">
      <w:pPr>
        <w:rPr>
          <w:lang w:val="en-US"/>
        </w:rPr>
      </w:pPr>
    </w:p>
    <w:p w14:paraId="1F8E23BF" w14:textId="77777777" w:rsidR="0020368D" w:rsidRPr="0020368D" w:rsidRDefault="0020368D" w:rsidP="0020368D">
      <w:pPr>
        <w:rPr>
          <w:b/>
          <w:lang w:val="en-US"/>
        </w:rPr>
      </w:pPr>
      <w:r w:rsidRPr="0020368D">
        <w:rPr>
          <w:b/>
          <w:lang w:val="en-US"/>
        </w:rPr>
        <w:t>Tables</w:t>
      </w:r>
    </w:p>
    <w:p w14:paraId="2AFE20CB" w14:textId="77777777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t>Table. S1 Four metabolic pathway-related genes.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20368D" w:rsidRPr="0020368D" w14:paraId="1336F30B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CCD61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pathways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006F0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Related genes</w:t>
            </w:r>
          </w:p>
        </w:tc>
      </w:tr>
      <w:tr w:rsidR="0020368D" w:rsidRPr="0020368D" w14:paraId="24908E4C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95E8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Glycolysis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1C5DE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HK1, HK2, HK3, GCK, GPI, PFKM, PFKP, PFKL, PFKFB, PFKFB2, PFKFB3, PFKFB</w:t>
            </w:r>
            <w:proofErr w:type="gramStart"/>
            <w:r w:rsidRPr="0020368D">
              <w:rPr>
                <w:lang w:val="en-US"/>
              </w:rPr>
              <w:t>4 ,ALDOA</w:t>
            </w:r>
            <w:proofErr w:type="gramEnd"/>
            <w:r w:rsidRPr="0020368D">
              <w:rPr>
                <w:lang w:val="en-US"/>
              </w:rPr>
              <w:t>, ALDOB, ALDOC, TPI1, GAPDH, PGK1, PGK2, PGAM1, PGAM2, PGAM</w:t>
            </w:r>
            <w:proofErr w:type="gramStart"/>
            <w:r w:rsidRPr="0020368D">
              <w:rPr>
                <w:lang w:val="en-US"/>
              </w:rPr>
              <w:t>4,BPGM</w:t>
            </w:r>
            <w:proofErr w:type="gramEnd"/>
            <w:r w:rsidRPr="0020368D">
              <w:rPr>
                <w:lang w:val="en-US"/>
              </w:rPr>
              <w:t>, ENO1, ENO2, ENO3, PKLR, PKM, LDHA, LDHB, LDHC, SLC2A1, SLC2A2, SLC2A3, SLC2A4, SLC2A5</w:t>
            </w:r>
          </w:p>
        </w:tc>
      </w:tr>
      <w:tr w:rsidR="0020368D" w:rsidRPr="0020368D" w14:paraId="61128737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FB95F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Pentose phosphate pathway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76174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G6PD, H6PD, PGLS, PGD, RPIA, RPE, RPELI, TKT, TKTL1, TKTL2, TALDO1</w:t>
            </w:r>
          </w:p>
        </w:tc>
      </w:tr>
      <w:tr w:rsidR="0020368D" w:rsidRPr="0020368D" w14:paraId="17923708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A2E49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Fatty acid oxidation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E702D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ACADM, ACADVL, ACADS, ACADL, ACAD9, ACADSB, ACAD8, HADHA, HADHB, HADH, ECHS1, EHHADH, ECI1, ECI2, HSD17B10, ACAA1, ACAA2, ACAT1, CPT1A, CPT1B, CPT1C, CPT2, ADIPOR1, ADIPOR2, BDH2, PPARA, PPARD, ECH1</w:t>
            </w:r>
          </w:p>
        </w:tc>
      </w:tr>
      <w:tr w:rsidR="0020368D" w:rsidRPr="0020368D" w14:paraId="60BA661A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5E8B9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r w:rsidRPr="0020368D">
              <w:rPr>
                <w:lang w:val="en-US"/>
              </w:rPr>
              <w:t>Glutaminolysis</w:t>
            </w:r>
            <w:proofErr w:type="spellEnd"/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DF199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GLS, GLS2, GLUD1, GLUD2, GPT, GOT1, GOT2</w:t>
            </w:r>
          </w:p>
        </w:tc>
      </w:tr>
    </w:tbl>
    <w:p w14:paraId="69EBE675" w14:textId="77777777" w:rsidR="0020368D" w:rsidRPr="0020368D" w:rsidRDefault="0020368D" w:rsidP="0020368D">
      <w:pPr>
        <w:rPr>
          <w:lang w:val="en-US"/>
        </w:rPr>
      </w:pPr>
    </w:p>
    <w:p w14:paraId="19F50FBE" w14:textId="77777777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t xml:space="preserve">Table. S2 </w:t>
      </w:r>
      <w:proofErr w:type="spellStart"/>
      <w:r w:rsidRPr="0020368D">
        <w:rPr>
          <w:lang w:val="en-US"/>
        </w:rPr>
        <w:t>si</w:t>
      </w:r>
      <w:proofErr w:type="spellEnd"/>
      <w:r w:rsidRPr="0020368D">
        <w:rPr>
          <w:lang w:val="en-US"/>
        </w:rPr>
        <w:t>-OSMR and OE-OSMR.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20368D" w:rsidRPr="0020368D" w14:paraId="5229F247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9B73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r w:rsidRPr="0020368D">
              <w:rPr>
                <w:lang w:val="en-US"/>
              </w:rPr>
              <w:t>si</w:t>
            </w:r>
            <w:proofErr w:type="spellEnd"/>
            <w:r w:rsidRPr="0020368D">
              <w:rPr>
                <w:lang w:val="en-US"/>
              </w:rPr>
              <w:t>-OSMR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8A29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Primers</w:t>
            </w:r>
          </w:p>
        </w:tc>
      </w:tr>
      <w:tr w:rsidR="0020368D" w:rsidRPr="0020368D" w14:paraId="2FDB1368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06E27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si-OSMR-1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E9845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proofErr w:type="gramStart"/>
            <w:r w:rsidRPr="0020368D">
              <w:rPr>
                <w:lang w:val="en-US"/>
              </w:rPr>
              <w:t>Sense:GCGUCAGAGUUUGCACUUA</w:t>
            </w:r>
            <w:proofErr w:type="spellEnd"/>
            <w:proofErr w:type="gramEnd"/>
          </w:p>
          <w:p w14:paraId="28B4818F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proofErr w:type="gramStart"/>
            <w:r w:rsidRPr="0020368D">
              <w:rPr>
                <w:lang w:val="en-US"/>
              </w:rPr>
              <w:t>Antisense:UAAGUGCAAACUCUGACGC</w:t>
            </w:r>
            <w:proofErr w:type="spellEnd"/>
            <w:proofErr w:type="gramEnd"/>
          </w:p>
        </w:tc>
      </w:tr>
      <w:tr w:rsidR="0020368D" w:rsidRPr="0020368D" w14:paraId="4A878702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44910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si-OSMR-2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39AD8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Sense: GAUUCUACUGGACAGGAUA</w:t>
            </w:r>
          </w:p>
          <w:p w14:paraId="47881481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proofErr w:type="gramStart"/>
            <w:r w:rsidRPr="0020368D">
              <w:rPr>
                <w:lang w:val="en-US"/>
              </w:rPr>
              <w:t>Antisense:UAUCCUGUCCAGUAGAAUC</w:t>
            </w:r>
            <w:proofErr w:type="spellEnd"/>
            <w:proofErr w:type="gramEnd"/>
          </w:p>
        </w:tc>
      </w:tr>
      <w:tr w:rsidR="0020368D" w:rsidRPr="0020368D" w14:paraId="0CD35CA7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33204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si-OSMR-3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29893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Sense: CUAUUGUGAGGCAAGUCAA</w:t>
            </w:r>
          </w:p>
          <w:p w14:paraId="14940012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proofErr w:type="spellStart"/>
            <w:proofErr w:type="gramStart"/>
            <w:r w:rsidRPr="0020368D">
              <w:rPr>
                <w:lang w:val="en-US"/>
              </w:rPr>
              <w:t>Antisense:UUGACUUGCCUCACAAUAG</w:t>
            </w:r>
            <w:proofErr w:type="spellEnd"/>
            <w:proofErr w:type="gramEnd"/>
          </w:p>
        </w:tc>
      </w:tr>
    </w:tbl>
    <w:p w14:paraId="2396294B" w14:textId="77777777" w:rsidR="0020368D" w:rsidRPr="0020368D" w:rsidRDefault="0020368D" w:rsidP="0020368D">
      <w:pPr>
        <w:rPr>
          <w:lang w:val="en-US"/>
        </w:rPr>
      </w:pPr>
    </w:p>
    <w:p w14:paraId="52BAE5AE" w14:textId="77777777" w:rsidR="0020368D" w:rsidRPr="0020368D" w:rsidRDefault="0020368D" w:rsidP="0020368D">
      <w:pPr>
        <w:rPr>
          <w:lang w:val="en-US"/>
        </w:rPr>
      </w:pPr>
      <w:r w:rsidRPr="0020368D">
        <w:rPr>
          <w:lang w:val="en-US"/>
        </w:rPr>
        <w:t>Table. S3 Primers used for genes.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20368D" w:rsidRPr="0020368D" w14:paraId="7CC5AB66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3055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Genes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D0AD8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Primers</w:t>
            </w:r>
          </w:p>
        </w:tc>
      </w:tr>
      <w:tr w:rsidR="0020368D" w:rsidRPr="0020368D" w14:paraId="3CC2AD34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6B54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lastRenderedPageBreak/>
              <w:t>OSMR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5859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Forward: GGAATGTGCCACACACTTTG</w:t>
            </w:r>
          </w:p>
          <w:p w14:paraId="6B191836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Reverse: ACATTGGTGCCTTCTTCCAC</w:t>
            </w:r>
          </w:p>
        </w:tc>
      </w:tr>
      <w:tr w:rsidR="0020368D" w:rsidRPr="0020368D" w14:paraId="3D451ADF" w14:textId="77777777" w:rsidTr="0020368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B78CA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GAPDH</w:t>
            </w:r>
          </w:p>
        </w:tc>
        <w:tc>
          <w:tcPr>
            <w:tcW w:w="5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58925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Forward: TGACTTCAACAGCGACACCCA</w:t>
            </w:r>
          </w:p>
          <w:p w14:paraId="54FB06EA" w14:textId="77777777" w:rsidR="0020368D" w:rsidRPr="0020368D" w:rsidRDefault="0020368D" w:rsidP="0020368D">
            <w:pPr>
              <w:spacing w:after="160" w:line="278" w:lineRule="auto"/>
              <w:rPr>
                <w:lang w:val="en-US"/>
              </w:rPr>
            </w:pPr>
            <w:r w:rsidRPr="0020368D">
              <w:rPr>
                <w:lang w:val="en-US"/>
              </w:rPr>
              <w:t>Reverse: CACCCTGTTGCTGTAGCCAAA</w:t>
            </w:r>
          </w:p>
        </w:tc>
      </w:tr>
    </w:tbl>
    <w:p w14:paraId="1F24C204" w14:textId="77777777" w:rsidR="0020368D" w:rsidRPr="0020368D" w:rsidRDefault="0020368D" w:rsidP="0020368D">
      <w:pPr>
        <w:rPr>
          <w:lang w:val="en-US"/>
        </w:rPr>
      </w:pPr>
    </w:p>
    <w:p w14:paraId="40F8211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68D"/>
    <w:rsid w:val="0020368D"/>
    <w:rsid w:val="005931E6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C2AD0"/>
  <w15:chartTrackingRefBased/>
  <w15:docId w15:val="{9EC1059D-B2FC-4242-A270-45402DAE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6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6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6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6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6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6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6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6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6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6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6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6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6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03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6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938</Words>
  <Characters>5348</Characters>
  <Application>Microsoft Office Word</Application>
  <DocSecurity>0</DocSecurity>
  <Lines>44</Lines>
  <Paragraphs>12</Paragraphs>
  <ScaleCrop>false</ScaleCrop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2025-07-29T08:58:00Z</dcterms:created>
  <dcterms:modified xsi:type="dcterms:W3CDTF">2025-07-29T08:58:00Z</dcterms:modified>
</cp:coreProperties>
</file>