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428CB" w:rsidRDefault="00C428CB" w:rsidP="00C428CB">
      <w:pPr>
        <w:pBdr>
          <w:top w:val="nil"/>
          <w:left w:val="nil"/>
          <w:bottom w:val="nil"/>
          <w:right w:val="nil"/>
          <w:between w:val="nil"/>
        </w:pBdr>
        <w:rPr>
          <w:rFonts w:ascii="Arial" w:eastAsia="Arial" w:hAnsi="Arial" w:cs="Arial"/>
        </w:rPr>
      </w:pPr>
      <w:r>
        <w:rPr>
          <w:b/>
        </w:rPr>
        <w:t>Supplementary Digital Content 2 - References of the 25 included studies</w:t>
      </w:r>
    </w:p>
    <w:p w:rsidR="00C428CB" w:rsidRPr="00C428CB" w:rsidRDefault="00C428CB" w:rsidP="00C428CB">
      <w:pPr>
        <w:pBdr>
          <w:top w:val="nil"/>
          <w:left w:val="nil"/>
          <w:bottom w:val="nil"/>
          <w:right w:val="nil"/>
          <w:between w:val="nil"/>
        </w:pBdr>
        <w:rPr>
          <w:rFonts w:ascii="Arial" w:eastAsia="Arial" w:hAnsi="Arial" w:cs="Arial"/>
        </w:rPr>
      </w:pPr>
    </w:p>
    <w:p w:rsidR="00BD3168" w:rsidRDefault="00000000">
      <w:pPr>
        <w:numPr>
          <w:ilvl w:val="0"/>
          <w:numId w:val="1"/>
        </w:numPr>
        <w:pBdr>
          <w:top w:val="nil"/>
          <w:left w:val="nil"/>
          <w:bottom w:val="nil"/>
          <w:right w:val="nil"/>
          <w:between w:val="nil"/>
        </w:pBdr>
        <w:rPr>
          <w:rFonts w:ascii="Arial" w:eastAsia="Arial" w:hAnsi="Arial" w:cs="Arial"/>
        </w:rPr>
      </w:pPr>
      <w:r>
        <w:rPr>
          <w:rFonts w:ascii="Arial" w:eastAsia="Arial" w:hAnsi="Arial" w:cs="Arial"/>
          <w:color w:val="222222"/>
        </w:rPr>
        <w:t xml:space="preserve">Shetty N, Nayak RP, </w:t>
      </w:r>
      <w:proofErr w:type="spellStart"/>
      <w:r>
        <w:rPr>
          <w:rFonts w:ascii="Arial" w:eastAsia="Arial" w:hAnsi="Arial" w:cs="Arial"/>
          <w:color w:val="222222"/>
        </w:rPr>
        <w:t>Kaweri</w:t>
      </w:r>
      <w:proofErr w:type="spellEnd"/>
      <w:r>
        <w:rPr>
          <w:rFonts w:ascii="Arial" w:eastAsia="Arial" w:hAnsi="Arial" w:cs="Arial"/>
          <w:color w:val="222222"/>
        </w:rPr>
        <w:t xml:space="preserve"> L, </w:t>
      </w:r>
      <w:proofErr w:type="spellStart"/>
      <w:r>
        <w:rPr>
          <w:rFonts w:ascii="Arial" w:eastAsia="Arial" w:hAnsi="Arial" w:cs="Arial"/>
          <w:color w:val="222222"/>
        </w:rPr>
        <w:t>Kanaradi</w:t>
      </w:r>
      <w:proofErr w:type="spellEnd"/>
      <w:r>
        <w:rPr>
          <w:rFonts w:ascii="Arial" w:eastAsia="Arial" w:hAnsi="Arial" w:cs="Arial"/>
          <w:color w:val="222222"/>
        </w:rPr>
        <w:t xml:space="preserve"> RK, Pisharody AA. 3D visualization system and standard operating microscope for ease of visualization and surgeon comfort during phacoemulsification surgery. Indian Journal of Ophthalmology. 2024 Jan 1;72(1):56-62.</w:t>
      </w:r>
    </w:p>
    <w:p w:rsidR="00BD3168" w:rsidRDefault="00000000">
      <w:pPr>
        <w:numPr>
          <w:ilvl w:val="0"/>
          <w:numId w:val="1"/>
        </w:numPr>
        <w:pBdr>
          <w:top w:val="nil"/>
          <w:left w:val="nil"/>
          <w:bottom w:val="nil"/>
          <w:right w:val="nil"/>
          <w:between w:val="nil"/>
        </w:pBdr>
        <w:rPr>
          <w:rFonts w:ascii="Arial" w:eastAsia="Arial" w:hAnsi="Arial" w:cs="Arial"/>
        </w:rPr>
      </w:pPr>
      <w:r>
        <w:rPr>
          <w:rFonts w:ascii="Arial" w:eastAsia="Arial" w:hAnsi="Arial" w:cs="Arial"/>
          <w:color w:val="222222"/>
        </w:rPr>
        <w:t>Spaulding J, Hall B. The Cutting Efficiency of a Hybrid Phacoemulsification Tip Using High and Low Intraocular Pressure Settings in Different Grades of Cataract. Clinical Ophthalmology. 2024 Dec 31:3271-6.</w:t>
      </w:r>
    </w:p>
    <w:p w:rsidR="00BD3168" w:rsidRDefault="00000000">
      <w:pPr>
        <w:numPr>
          <w:ilvl w:val="0"/>
          <w:numId w:val="1"/>
        </w:numPr>
        <w:pBdr>
          <w:top w:val="nil"/>
          <w:left w:val="nil"/>
          <w:bottom w:val="nil"/>
          <w:right w:val="nil"/>
          <w:between w:val="nil"/>
        </w:pBdr>
        <w:rPr>
          <w:rFonts w:ascii="Arial" w:eastAsia="Arial" w:hAnsi="Arial" w:cs="Arial"/>
        </w:rPr>
      </w:pPr>
      <w:proofErr w:type="spellStart"/>
      <w:r>
        <w:rPr>
          <w:rFonts w:ascii="Arial" w:eastAsia="Arial" w:hAnsi="Arial" w:cs="Arial"/>
          <w:color w:val="222222"/>
        </w:rPr>
        <w:t>Bigyabati</w:t>
      </w:r>
      <w:proofErr w:type="spellEnd"/>
      <w:r>
        <w:rPr>
          <w:rFonts w:ascii="Arial" w:eastAsia="Arial" w:hAnsi="Arial" w:cs="Arial"/>
          <w:color w:val="222222"/>
        </w:rPr>
        <w:t xml:space="preserve"> R, Victor R, Rajkumari B. A STUDY TO COMPARE THE AMOUNT OF ASTIGMATISM FOLLOWING MANUAL SMALL INCISION CATARACT SURGERY AND PHACOEMULSIFICATION. Int J </w:t>
      </w:r>
      <w:proofErr w:type="spellStart"/>
      <w:r>
        <w:rPr>
          <w:rFonts w:ascii="Arial" w:eastAsia="Arial" w:hAnsi="Arial" w:cs="Arial"/>
          <w:color w:val="222222"/>
        </w:rPr>
        <w:t>Acad</w:t>
      </w:r>
      <w:proofErr w:type="spellEnd"/>
      <w:r>
        <w:rPr>
          <w:rFonts w:ascii="Arial" w:eastAsia="Arial" w:hAnsi="Arial" w:cs="Arial"/>
          <w:color w:val="222222"/>
        </w:rPr>
        <w:t xml:space="preserve"> Med Pharm. 2023;5(5):1679-82.</w:t>
      </w:r>
    </w:p>
    <w:p w:rsidR="00BD3168" w:rsidRDefault="00000000">
      <w:pPr>
        <w:numPr>
          <w:ilvl w:val="0"/>
          <w:numId w:val="1"/>
        </w:numPr>
        <w:pBdr>
          <w:top w:val="nil"/>
          <w:left w:val="nil"/>
          <w:bottom w:val="nil"/>
          <w:right w:val="nil"/>
          <w:between w:val="nil"/>
        </w:pBdr>
        <w:rPr>
          <w:rFonts w:ascii="Arial" w:eastAsia="Arial" w:hAnsi="Arial" w:cs="Arial"/>
        </w:rPr>
      </w:pPr>
      <w:r>
        <w:rPr>
          <w:rFonts w:ascii="Arial" w:eastAsia="Arial" w:hAnsi="Arial" w:cs="Arial"/>
          <w:color w:val="222222"/>
        </w:rPr>
        <w:t xml:space="preserve">Ashraf M, </w:t>
      </w:r>
      <w:proofErr w:type="spellStart"/>
      <w:r>
        <w:rPr>
          <w:rFonts w:ascii="Arial" w:eastAsia="Arial" w:hAnsi="Arial" w:cs="Arial"/>
          <w:color w:val="222222"/>
        </w:rPr>
        <w:t>Nazullah</w:t>
      </w:r>
      <w:proofErr w:type="spellEnd"/>
      <w:r>
        <w:rPr>
          <w:rFonts w:ascii="Arial" w:eastAsia="Arial" w:hAnsi="Arial" w:cs="Arial"/>
          <w:color w:val="222222"/>
        </w:rPr>
        <w:t xml:space="preserve"> SK, Rafique M. To Evaluate the Difference in Astigmatism on Keratometry Resulting from Temporal and Superior Corneal Incisions During Phacoemulsification. </w:t>
      </w:r>
      <w:proofErr w:type="spellStart"/>
      <w:r>
        <w:rPr>
          <w:rFonts w:ascii="Arial" w:eastAsia="Arial" w:hAnsi="Arial" w:cs="Arial"/>
          <w:color w:val="222222"/>
        </w:rPr>
        <w:t>InMedical</w:t>
      </w:r>
      <w:proofErr w:type="spellEnd"/>
      <w:r>
        <w:rPr>
          <w:rFonts w:ascii="Arial" w:eastAsia="Arial" w:hAnsi="Arial" w:cs="Arial"/>
          <w:color w:val="222222"/>
        </w:rPr>
        <w:t xml:space="preserve"> Forum Monthly 2024 Mar 30 (Vol. 35, No. 3).</w:t>
      </w:r>
    </w:p>
    <w:p w:rsidR="00BD3168" w:rsidRDefault="00000000">
      <w:pPr>
        <w:numPr>
          <w:ilvl w:val="0"/>
          <w:numId w:val="1"/>
        </w:numPr>
        <w:pBdr>
          <w:top w:val="nil"/>
          <w:left w:val="nil"/>
          <w:bottom w:val="nil"/>
          <w:right w:val="nil"/>
          <w:between w:val="nil"/>
        </w:pBdr>
        <w:rPr>
          <w:rFonts w:ascii="Arial" w:eastAsia="Arial" w:hAnsi="Arial" w:cs="Arial"/>
        </w:rPr>
      </w:pPr>
      <w:r>
        <w:rPr>
          <w:rFonts w:ascii="Arial" w:eastAsia="Arial" w:hAnsi="Arial" w:cs="Arial"/>
          <w:color w:val="222222"/>
        </w:rPr>
        <w:t xml:space="preserve">Ganesh S, Brar S, </w:t>
      </w:r>
      <w:proofErr w:type="spellStart"/>
      <w:r>
        <w:rPr>
          <w:rFonts w:ascii="Arial" w:eastAsia="Arial" w:hAnsi="Arial" w:cs="Arial"/>
          <w:color w:val="222222"/>
        </w:rPr>
        <w:t>Wadhokar</w:t>
      </w:r>
      <w:proofErr w:type="spellEnd"/>
      <w:r>
        <w:rPr>
          <w:rFonts w:ascii="Arial" w:eastAsia="Arial" w:hAnsi="Arial" w:cs="Arial"/>
          <w:color w:val="222222"/>
        </w:rPr>
        <w:t xml:space="preserve"> S. Changes in endothelial cell density following conventional phacoemulsification and femtosecond laser-assisted cataract surgery in eyes with dense cataracts. Journal of Cataract &amp; Refractive Surgery. 2024 May 13:10-97.</w:t>
      </w:r>
    </w:p>
    <w:p w:rsidR="00BD3168" w:rsidRDefault="00000000">
      <w:pPr>
        <w:numPr>
          <w:ilvl w:val="0"/>
          <w:numId w:val="1"/>
        </w:numPr>
        <w:pBdr>
          <w:top w:val="nil"/>
          <w:left w:val="nil"/>
          <w:bottom w:val="nil"/>
          <w:right w:val="nil"/>
          <w:between w:val="nil"/>
        </w:pBdr>
        <w:rPr>
          <w:rFonts w:ascii="Arial" w:eastAsia="Arial" w:hAnsi="Arial" w:cs="Arial"/>
        </w:rPr>
      </w:pPr>
      <w:r>
        <w:rPr>
          <w:rFonts w:ascii="Arial" w:eastAsia="Arial" w:hAnsi="Arial" w:cs="Arial"/>
          <w:color w:val="222222"/>
        </w:rPr>
        <w:t>SHINDE I, JOSHI A, PANDHARIKAR A. Comparison of Surgically-induced Astigmatism using Topography and Keratometry in Patients undergoing Phacoemulsification and Small Incision Cataract Surgery: A Prospective Interventional Study. Journal of Clinical &amp; Diagnostic Research. 2024 Jul 1;18(7).</w:t>
      </w:r>
    </w:p>
    <w:tbl>
      <w:tblPr>
        <w:tblStyle w:val="a"/>
        <w:tblW w:w="6570" w:type="dxa"/>
        <w:tblLayout w:type="fixed"/>
        <w:tblLook w:val="0400" w:firstRow="0" w:lastRow="0" w:firstColumn="0" w:lastColumn="0" w:noHBand="0" w:noVBand="1"/>
      </w:tblPr>
      <w:tblGrid>
        <w:gridCol w:w="6570"/>
      </w:tblGrid>
      <w:tr w:rsidR="00BD3168">
        <w:tc>
          <w:tcPr>
            <w:tcW w:w="6570" w:type="dxa"/>
            <w:tcMar>
              <w:top w:w="120" w:type="dxa"/>
              <w:left w:w="0" w:type="dxa"/>
              <w:bottom w:w="120" w:type="dxa"/>
              <w:right w:w="0" w:type="dxa"/>
            </w:tcMar>
          </w:tcPr>
          <w:p w:rsidR="00BD3168" w:rsidRDefault="00000000">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Rana V, Sinha DK, Dangi M, Gupta A, Bandopadhyay S, Kaushik J, Kumar A, Tripathi AN. Efficacy and safety of the </w:t>
            </w:r>
            <w:proofErr w:type="spellStart"/>
            <w:r>
              <w:rPr>
                <w:rFonts w:ascii="Arial" w:eastAsia="Arial" w:hAnsi="Arial" w:cs="Arial"/>
                <w:color w:val="000000"/>
              </w:rPr>
              <w:t>OZil</w:t>
            </w:r>
            <w:proofErr w:type="spellEnd"/>
            <w:r>
              <w:rPr>
                <w:rFonts w:ascii="Arial" w:eastAsia="Arial" w:hAnsi="Arial" w:cs="Arial"/>
                <w:color w:val="000000"/>
              </w:rPr>
              <w:t xml:space="preserve"> phacoemulsification handpiece in dropped lens fragment surgery: a randomized controlled trial. Romanian Journal of Ophthalmology. 2024 Jul;68(3):287.</w:t>
            </w:r>
          </w:p>
        </w:tc>
      </w:tr>
    </w:tbl>
    <w:p w:rsidR="00BD3168" w:rsidRDefault="00000000">
      <w:pPr>
        <w:numPr>
          <w:ilvl w:val="0"/>
          <w:numId w:val="1"/>
        </w:numPr>
        <w:pBdr>
          <w:top w:val="nil"/>
          <w:left w:val="nil"/>
          <w:bottom w:val="nil"/>
          <w:right w:val="nil"/>
          <w:between w:val="nil"/>
        </w:pBdr>
        <w:rPr>
          <w:rFonts w:ascii="Arial" w:eastAsia="Arial" w:hAnsi="Arial" w:cs="Arial"/>
          <w:color w:val="222222"/>
        </w:rPr>
      </w:pPr>
      <w:r>
        <w:rPr>
          <w:rFonts w:ascii="Arial" w:eastAsia="Arial" w:hAnsi="Arial" w:cs="Arial"/>
          <w:color w:val="222222"/>
        </w:rPr>
        <w:t xml:space="preserve">Tao J, Wan Y, Song X. Comparison of the reverse chopper-assisted </w:t>
      </w:r>
      <w:proofErr w:type="spellStart"/>
      <w:r>
        <w:rPr>
          <w:rFonts w:ascii="Arial" w:eastAsia="Arial" w:hAnsi="Arial" w:cs="Arial"/>
          <w:color w:val="222222"/>
        </w:rPr>
        <w:t>prechop</w:t>
      </w:r>
      <w:proofErr w:type="spellEnd"/>
      <w:r>
        <w:rPr>
          <w:rFonts w:ascii="Arial" w:eastAsia="Arial" w:hAnsi="Arial" w:cs="Arial"/>
          <w:color w:val="222222"/>
        </w:rPr>
        <w:t xml:space="preserve"> and </w:t>
      </w:r>
      <w:proofErr w:type="spellStart"/>
      <w:r>
        <w:rPr>
          <w:rFonts w:ascii="Arial" w:eastAsia="Arial" w:hAnsi="Arial" w:cs="Arial"/>
          <w:color w:val="222222"/>
        </w:rPr>
        <w:t>phaco</w:t>
      </w:r>
      <w:proofErr w:type="spellEnd"/>
      <w:r>
        <w:rPr>
          <w:rFonts w:ascii="Arial" w:eastAsia="Arial" w:hAnsi="Arial" w:cs="Arial"/>
          <w:color w:val="222222"/>
        </w:rPr>
        <w:t xml:space="preserve">-chop </w:t>
      </w:r>
      <w:proofErr w:type="spellStart"/>
      <w:r>
        <w:rPr>
          <w:rFonts w:ascii="Arial" w:eastAsia="Arial" w:hAnsi="Arial" w:cs="Arial"/>
          <w:color w:val="222222"/>
        </w:rPr>
        <w:t>nucleotomy</w:t>
      </w:r>
      <w:proofErr w:type="spellEnd"/>
      <w:r>
        <w:rPr>
          <w:rFonts w:ascii="Arial" w:eastAsia="Arial" w:hAnsi="Arial" w:cs="Arial"/>
          <w:color w:val="222222"/>
        </w:rPr>
        <w:t xml:space="preserve"> techniques during phacoemulsification for cataracts with grade III nuclei: A randomized controlled trial. Annals of Translational Medicine. 2023 Jan 31;11(2):105.</w:t>
      </w:r>
    </w:p>
    <w:p w:rsidR="00BD3168" w:rsidRDefault="00000000">
      <w:pPr>
        <w:numPr>
          <w:ilvl w:val="0"/>
          <w:numId w:val="1"/>
        </w:numPr>
        <w:pBdr>
          <w:top w:val="nil"/>
          <w:left w:val="nil"/>
          <w:bottom w:val="nil"/>
          <w:right w:val="nil"/>
          <w:between w:val="nil"/>
        </w:pBdr>
        <w:rPr>
          <w:rFonts w:ascii="Arial" w:eastAsia="Arial" w:hAnsi="Arial" w:cs="Arial"/>
        </w:rPr>
      </w:pPr>
      <w:proofErr w:type="spellStart"/>
      <w:r>
        <w:rPr>
          <w:rFonts w:ascii="Arial" w:eastAsia="Arial" w:hAnsi="Arial" w:cs="Arial"/>
          <w:color w:val="222222"/>
        </w:rPr>
        <w:t>Akmaz</w:t>
      </w:r>
      <w:proofErr w:type="spellEnd"/>
      <w:r>
        <w:rPr>
          <w:rFonts w:ascii="Arial" w:eastAsia="Arial" w:hAnsi="Arial" w:cs="Arial"/>
          <w:color w:val="222222"/>
        </w:rPr>
        <w:t xml:space="preserve"> B, Kilic D, Duru N. The safety and efficacy of phacoemulsification surgery in uncomplicated cataracts with and without an ophthalmic-</w:t>
      </w:r>
      <w:proofErr w:type="spellStart"/>
      <w:r>
        <w:rPr>
          <w:rFonts w:ascii="Arial" w:eastAsia="Arial" w:hAnsi="Arial" w:cs="Arial"/>
          <w:color w:val="222222"/>
        </w:rPr>
        <w:t>viscosurgical</w:t>
      </w:r>
      <w:proofErr w:type="spellEnd"/>
      <w:r>
        <w:rPr>
          <w:rFonts w:ascii="Arial" w:eastAsia="Arial" w:hAnsi="Arial" w:cs="Arial"/>
          <w:color w:val="222222"/>
        </w:rPr>
        <w:t>-device. European Journal of Ophthalmology. 2023 Jan;33(1):269-77.</w:t>
      </w:r>
    </w:p>
    <w:p w:rsidR="00BD3168" w:rsidRDefault="00000000">
      <w:pPr>
        <w:numPr>
          <w:ilvl w:val="0"/>
          <w:numId w:val="1"/>
        </w:numPr>
        <w:pBdr>
          <w:top w:val="nil"/>
          <w:left w:val="nil"/>
          <w:bottom w:val="nil"/>
          <w:right w:val="nil"/>
          <w:between w:val="nil"/>
        </w:pBdr>
        <w:rPr>
          <w:rFonts w:ascii="Arial" w:eastAsia="Arial" w:hAnsi="Arial" w:cs="Arial"/>
        </w:rPr>
      </w:pPr>
      <w:r>
        <w:rPr>
          <w:rFonts w:ascii="Arial" w:eastAsia="Arial" w:hAnsi="Arial" w:cs="Arial"/>
          <w:color w:val="222222"/>
        </w:rPr>
        <w:t>Liu Z, Lin H, Jin L, Qu B, Liu J, Zheng Y, He M, Luo L, Liu Y. Swab pressing vs stromal hydration to prevent incision leakage and transient collapse of anterior chamber in phacoemulsification: a randomized clinical trial. JAMA ophthalmology. 2023 Jun 1;141(6):574-81.</w:t>
      </w:r>
    </w:p>
    <w:p w:rsidR="00BD3168" w:rsidRDefault="00000000">
      <w:pPr>
        <w:numPr>
          <w:ilvl w:val="0"/>
          <w:numId w:val="1"/>
        </w:numPr>
        <w:pBdr>
          <w:top w:val="nil"/>
          <w:left w:val="nil"/>
          <w:bottom w:val="nil"/>
          <w:right w:val="nil"/>
          <w:between w:val="nil"/>
        </w:pBdr>
        <w:rPr>
          <w:rFonts w:ascii="Arial" w:eastAsia="Arial" w:hAnsi="Arial" w:cs="Arial"/>
        </w:rPr>
      </w:pPr>
      <w:r>
        <w:rPr>
          <w:rFonts w:ascii="Arial" w:eastAsia="Arial" w:hAnsi="Arial" w:cs="Arial"/>
          <w:color w:val="222222"/>
        </w:rPr>
        <w:t xml:space="preserve">Zarei R, Azimi A, </w:t>
      </w:r>
      <w:proofErr w:type="spellStart"/>
      <w:r>
        <w:rPr>
          <w:rFonts w:ascii="Arial" w:eastAsia="Arial" w:hAnsi="Arial" w:cs="Arial"/>
          <w:color w:val="222222"/>
        </w:rPr>
        <w:t>Fakhraei</w:t>
      </w:r>
      <w:proofErr w:type="spellEnd"/>
      <w:r>
        <w:rPr>
          <w:rFonts w:ascii="Arial" w:eastAsia="Arial" w:hAnsi="Arial" w:cs="Arial"/>
          <w:color w:val="222222"/>
        </w:rPr>
        <w:t xml:space="preserve"> G, Eslami Y, </w:t>
      </w:r>
      <w:proofErr w:type="spellStart"/>
      <w:r>
        <w:rPr>
          <w:rFonts w:ascii="Arial" w:eastAsia="Arial" w:hAnsi="Arial" w:cs="Arial"/>
          <w:color w:val="222222"/>
        </w:rPr>
        <w:t>Naderan</w:t>
      </w:r>
      <w:proofErr w:type="spellEnd"/>
      <w:r>
        <w:rPr>
          <w:rFonts w:ascii="Arial" w:eastAsia="Arial" w:hAnsi="Arial" w:cs="Arial"/>
          <w:color w:val="222222"/>
        </w:rPr>
        <w:t xml:space="preserve"> M, Nouri-Mahdavi K, Caprioli J. Combined </w:t>
      </w:r>
      <w:proofErr w:type="spellStart"/>
      <w:r>
        <w:rPr>
          <w:rFonts w:ascii="Arial" w:eastAsia="Arial" w:hAnsi="Arial" w:cs="Arial"/>
          <w:color w:val="222222"/>
        </w:rPr>
        <w:t>phacoviscocanalostomy</w:t>
      </w:r>
      <w:proofErr w:type="spellEnd"/>
      <w:r>
        <w:rPr>
          <w:rFonts w:ascii="Arial" w:eastAsia="Arial" w:hAnsi="Arial" w:cs="Arial"/>
          <w:color w:val="222222"/>
        </w:rPr>
        <w:t xml:space="preserve"> versus phacoemulsification alone in patients with coexisting cataract and mild-to-moderate open-angle glaucoma; a randomized-controlled trial. Eye. 2023 May;37(7):1390-6.</w:t>
      </w:r>
    </w:p>
    <w:p w:rsidR="00BD3168" w:rsidRDefault="00000000">
      <w:pPr>
        <w:numPr>
          <w:ilvl w:val="0"/>
          <w:numId w:val="1"/>
        </w:numPr>
        <w:pBdr>
          <w:top w:val="nil"/>
          <w:left w:val="nil"/>
          <w:bottom w:val="nil"/>
          <w:right w:val="nil"/>
          <w:between w:val="nil"/>
        </w:pBdr>
        <w:rPr>
          <w:rFonts w:ascii="Arial" w:eastAsia="Arial" w:hAnsi="Arial" w:cs="Arial"/>
        </w:rPr>
      </w:pPr>
      <w:r>
        <w:rPr>
          <w:rFonts w:ascii="Arial" w:eastAsia="Arial" w:hAnsi="Arial" w:cs="Arial"/>
          <w:color w:val="222222"/>
        </w:rPr>
        <w:lastRenderedPageBreak/>
        <w:t>Wang S, Tao J, Yu X, Diao W, Bai H, Yao L. Safety and prognosis of phacoemulsification using active sentry and active fluidics with different IOP settings-a randomized, controlled study. BMC ophthalmology. 2024 Aug 16;24(1):350.</w:t>
      </w:r>
    </w:p>
    <w:p w:rsidR="00BD3168" w:rsidRDefault="00000000">
      <w:pPr>
        <w:numPr>
          <w:ilvl w:val="0"/>
          <w:numId w:val="1"/>
        </w:numPr>
        <w:pBdr>
          <w:top w:val="nil"/>
          <w:left w:val="nil"/>
          <w:bottom w:val="nil"/>
          <w:right w:val="nil"/>
          <w:between w:val="nil"/>
        </w:pBdr>
        <w:rPr>
          <w:rFonts w:ascii="Arial" w:eastAsia="Arial" w:hAnsi="Arial" w:cs="Arial"/>
        </w:rPr>
      </w:pPr>
      <w:r>
        <w:rPr>
          <w:rFonts w:ascii="Arial" w:eastAsia="Arial" w:hAnsi="Arial" w:cs="Arial"/>
          <w:color w:val="222222"/>
        </w:rPr>
        <w:t>Rauen MP, Joiner H, Kohler RA, O'Connor S. Phacoemulsification using an active fluidics system at physiologic vs high intraocular pressure: impact on anterior and posterior segment physiology. Journal of Cataract &amp; Refractive Surgery. 2024 Aug 1;50(8):822-7.</w:t>
      </w:r>
    </w:p>
    <w:p w:rsidR="00BD3168" w:rsidRDefault="00000000">
      <w:pPr>
        <w:numPr>
          <w:ilvl w:val="0"/>
          <w:numId w:val="1"/>
        </w:numPr>
        <w:pBdr>
          <w:top w:val="nil"/>
          <w:left w:val="nil"/>
          <w:bottom w:val="nil"/>
          <w:right w:val="nil"/>
          <w:between w:val="nil"/>
        </w:pBdr>
        <w:rPr>
          <w:rFonts w:ascii="Arial" w:eastAsia="Arial" w:hAnsi="Arial" w:cs="Arial"/>
        </w:rPr>
      </w:pPr>
      <w:r>
        <w:rPr>
          <w:rFonts w:ascii="Arial" w:eastAsia="Arial" w:hAnsi="Arial" w:cs="Arial"/>
          <w:color w:val="222222"/>
        </w:rPr>
        <w:t xml:space="preserve">Potti S, </w:t>
      </w:r>
      <w:proofErr w:type="spellStart"/>
      <w:r>
        <w:rPr>
          <w:rFonts w:ascii="Arial" w:eastAsia="Arial" w:hAnsi="Arial" w:cs="Arial"/>
          <w:color w:val="222222"/>
        </w:rPr>
        <w:t>Sodum</w:t>
      </w:r>
      <w:proofErr w:type="spellEnd"/>
      <w:r>
        <w:rPr>
          <w:rFonts w:ascii="Arial" w:eastAsia="Arial" w:hAnsi="Arial" w:cs="Arial"/>
          <w:color w:val="222222"/>
        </w:rPr>
        <w:t xml:space="preserve"> NR. Comparison of pupil expansion devices in small pupil phacoemulsification. Indian Journal of Ophthalmology. 2024 Jul 1;72(</w:t>
      </w:r>
      <w:proofErr w:type="spellStart"/>
      <w:r>
        <w:rPr>
          <w:rFonts w:ascii="Arial" w:eastAsia="Arial" w:hAnsi="Arial" w:cs="Arial"/>
          <w:color w:val="222222"/>
        </w:rPr>
        <w:t>Suppl</w:t>
      </w:r>
      <w:proofErr w:type="spellEnd"/>
      <w:r>
        <w:rPr>
          <w:rFonts w:ascii="Arial" w:eastAsia="Arial" w:hAnsi="Arial" w:cs="Arial"/>
          <w:color w:val="222222"/>
        </w:rPr>
        <w:t xml:space="preserve"> 4</w:t>
      </w:r>
      <w:proofErr w:type="gramStart"/>
      <w:r>
        <w:rPr>
          <w:rFonts w:ascii="Arial" w:eastAsia="Arial" w:hAnsi="Arial" w:cs="Arial"/>
          <w:color w:val="222222"/>
        </w:rPr>
        <w:t>):S</w:t>
      </w:r>
      <w:proofErr w:type="gramEnd"/>
      <w:r>
        <w:rPr>
          <w:rFonts w:ascii="Arial" w:eastAsia="Arial" w:hAnsi="Arial" w:cs="Arial"/>
          <w:color w:val="222222"/>
        </w:rPr>
        <w:t>664-8.</w:t>
      </w:r>
    </w:p>
    <w:p w:rsidR="00BD3168" w:rsidRDefault="00000000">
      <w:pPr>
        <w:numPr>
          <w:ilvl w:val="0"/>
          <w:numId w:val="1"/>
        </w:numPr>
        <w:pBdr>
          <w:top w:val="nil"/>
          <w:left w:val="nil"/>
          <w:bottom w:val="nil"/>
          <w:right w:val="nil"/>
          <w:between w:val="nil"/>
        </w:pBdr>
        <w:rPr>
          <w:rFonts w:ascii="Arial" w:eastAsia="Arial" w:hAnsi="Arial" w:cs="Arial"/>
        </w:rPr>
      </w:pPr>
      <w:r>
        <w:rPr>
          <w:rFonts w:ascii="Arial" w:eastAsia="Arial" w:hAnsi="Arial" w:cs="Arial"/>
          <w:color w:val="222222"/>
        </w:rPr>
        <w:t>Guan GQ, Lin XD, Bao JL, Zhou XZ. Effect of cervical pillow in phacoemulsification surgery for age-related cataract patients: a prospective randomized controlled study. International Ophthalmology. 2024 Jun 11;44(1):232.</w:t>
      </w:r>
    </w:p>
    <w:p w:rsidR="00BD3168" w:rsidRDefault="00000000">
      <w:pPr>
        <w:numPr>
          <w:ilvl w:val="0"/>
          <w:numId w:val="1"/>
        </w:numPr>
        <w:pBdr>
          <w:top w:val="nil"/>
          <w:left w:val="nil"/>
          <w:bottom w:val="nil"/>
          <w:right w:val="nil"/>
          <w:between w:val="nil"/>
        </w:pBdr>
      </w:pPr>
      <w:r>
        <w:rPr>
          <w:rFonts w:ascii="Arial" w:eastAsia="Arial" w:hAnsi="Arial" w:cs="Arial"/>
          <w:color w:val="222222"/>
        </w:rPr>
        <w:t xml:space="preserve">El Sayed YM, </w:t>
      </w:r>
      <w:proofErr w:type="spellStart"/>
      <w:r>
        <w:rPr>
          <w:rFonts w:ascii="Arial" w:eastAsia="Arial" w:hAnsi="Arial" w:cs="Arial"/>
          <w:color w:val="222222"/>
        </w:rPr>
        <w:t>Mettias</w:t>
      </w:r>
      <w:proofErr w:type="spellEnd"/>
      <w:r>
        <w:rPr>
          <w:rFonts w:ascii="Arial" w:eastAsia="Arial" w:hAnsi="Arial" w:cs="Arial"/>
          <w:color w:val="222222"/>
        </w:rPr>
        <w:t xml:space="preserve"> NM, </w:t>
      </w:r>
      <w:proofErr w:type="spellStart"/>
      <w:r>
        <w:rPr>
          <w:rFonts w:ascii="Arial" w:eastAsia="Arial" w:hAnsi="Arial" w:cs="Arial"/>
          <w:color w:val="222222"/>
        </w:rPr>
        <w:t>Elghonemy</w:t>
      </w:r>
      <w:proofErr w:type="spellEnd"/>
      <w:r>
        <w:rPr>
          <w:rFonts w:ascii="Arial" w:eastAsia="Arial" w:hAnsi="Arial" w:cs="Arial"/>
          <w:color w:val="222222"/>
        </w:rPr>
        <w:t xml:space="preserve"> HM, Mostafa YS. Phacoemulsification with gonioscopy‐assisted transluminal trabeculotomy versus phacoemulsification alone in primary angle closure glaucoma: A randomized controlled study. Acta </w:t>
      </w:r>
      <w:proofErr w:type="spellStart"/>
      <w:r>
        <w:rPr>
          <w:rFonts w:ascii="Arial" w:eastAsia="Arial" w:hAnsi="Arial" w:cs="Arial"/>
          <w:color w:val="222222"/>
        </w:rPr>
        <w:t>Ophthalmologica</w:t>
      </w:r>
      <w:proofErr w:type="spellEnd"/>
      <w:r>
        <w:rPr>
          <w:rFonts w:ascii="Arial" w:eastAsia="Arial" w:hAnsi="Arial" w:cs="Arial"/>
          <w:color w:val="222222"/>
        </w:rPr>
        <w:t>. 2024 Mar;102(2</w:t>
      </w:r>
      <w:proofErr w:type="gramStart"/>
      <w:r>
        <w:rPr>
          <w:rFonts w:ascii="Arial" w:eastAsia="Arial" w:hAnsi="Arial" w:cs="Arial"/>
          <w:color w:val="222222"/>
        </w:rPr>
        <w:t>):e</w:t>
      </w:r>
      <w:proofErr w:type="gramEnd"/>
      <w:r>
        <w:rPr>
          <w:rFonts w:ascii="Arial" w:eastAsia="Arial" w:hAnsi="Arial" w:cs="Arial"/>
          <w:color w:val="222222"/>
        </w:rPr>
        <w:t>195-203.</w:t>
      </w:r>
    </w:p>
    <w:p w:rsidR="00BD3168" w:rsidRDefault="00000000">
      <w:pPr>
        <w:numPr>
          <w:ilvl w:val="0"/>
          <w:numId w:val="1"/>
        </w:numPr>
        <w:pBdr>
          <w:top w:val="nil"/>
          <w:left w:val="nil"/>
          <w:bottom w:val="nil"/>
          <w:right w:val="nil"/>
          <w:between w:val="nil"/>
        </w:pBdr>
        <w:rPr>
          <w:rFonts w:ascii="Arial" w:eastAsia="Arial" w:hAnsi="Arial" w:cs="Arial"/>
        </w:rPr>
      </w:pPr>
      <w:r>
        <w:rPr>
          <w:rFonts w:ascii="Arial" w:eastAsia="Arial" w:hAnsi="Arial" w:cs="Arial"/>
          <w:color w:val="222222"/>
        </w:rPr>
        <w:t>Zhou KJ, Huang Y, Wang Y, Pan AP, Shao X, Tu RX, Yu AY. Safety and efficacy of cataract surgery performed with a low-energy femtosecond laser compared with conventional phacoemulsification in Chinese patients: a randomized clinical trial. Eye and Vision. 2023 Jul 2;10(1):31.</w:t>
      </w:r>
    </w:p>
    <w:p w:rsidR="00BD3168" w:rsidRDefault="00000000">
      <w:pPr>
        <w:numPr>
          <w:ilvl w:val="0"/>
          <w:numId w:val="1"/>
        </w:numPr>
        <w:pBdr>
          <w:top w:val="nil"/>
          <w:left w:val="nil"/>
          <w:bottom w:val="nil"/>
          <w:right w:val="nil"/>
          <w:between w:val="nil"/>
        </w:pBdr>
        <w:rPr>
          <w:rFonts w:ascii="Arial" w:eastAsia="Arial" w:hAnsi="Arial" w:cs="Arial"/>
        </w:rPr>
      </w:pPr>
      <w:proofErr w:type="spellStart"/>
      <w:r>
        <w:rPr>
          <w:rFonts w:ascii="Arial" w:eastAsia="Arial" w:hAnsi="Arial" w:cs="Arial"/>
          <w:color w:val="222222"/>
        </w:rPr>
        <w:t>Asanathong</w:t>
      </w:r>
      <w:proofErr w:type="spellEnd"/>
      <w:r>
        <w:rPr>
          <w:rFonts w:ascii="Arial" w:eastAsia="Arial" w:hAnsi="Arial" w:cs="Arial"/>
          <w:color w:val="222222"/>
        </w:rPr>
        <w:t xml:space="preserve"> D. Comparative Evaluation of Phacoemulsification with </w:t>
      </w:r>
      <w:proofErr w:type="spellStart"/>
      <w:r>
        <w:rPr>
          <w:rFonts w:ascii="Arial" w:eastAsia="Arial" w:hAnsi="Arial" w:cs="Arial"/>
          <w:color w:val="222222"/>
        </w:rPr>
        <w:t>Goniosynechialysis</w:t>
      </w:r>
      <w:proofErr w:type="spellEnd"/>
      <w:r>
        <w:rPr>
          <w:rFonts w:ascii="Arial" w:eastAsia="Arial" w:hAnsi="Arial" w:cs="Arial"/>
          <w:color w:val="222222"/>
        </w:rPr>
        <w:t xml:space="preserve"> and Phacoemulsification with </w:t>
      </w:r>
      <w:proofErr w:type="spellStart"/>
      <w:r>
        <w:rPr>
          <w:rFonts w:ascii="Arial" w:eastAsia="Arial" w:hAnsi="Arial" w:cs="Arial"/>
          <w:color w:val="222222"/>
        </w:rPr>
        <w:t>Viscogonioplasty</w:t>
      </w:r>
      <w:proofErr w:type="spellEnd"/>
      <w:r>
        <w:rPr>
          <w:rFonts w:ascii="Arial" w:eastAsia="Arial" w:hAnsi="Arial" w:cs="Arial"/>
          <w:color w:val="222222"/>
        </w:rPr>
        <w:t xml:space="preserve"> in Angle-Closure: A Randomized Clinical Trial. Siriraj Medical Journal. 2024 Dec 1;76(12):810-21.</w:t>
      </w:r>
    </w:p>
    <w:p w:rsidR="00BD3168" w:rsidRDefault="00000000">
      <w:pPr>
        <w:numPr>
          <w:ilvl w:val="0"/>
          <w:numId w:val="1"/>
        </w:numPr>
        <w:pBdr>
          <w:top w:val="nil"/>
          <w:left w:val="nil"/>
          <w:bottom w:val="nil"/>
          <w:right w:val="nil"/>
          <w:between w:val="nil"/>
        </w:pBdr>
        <w:rPr>
          <w:rFonts w:ascii="Arial" w:eastAsia="Arial" w:hAnsi="Arial" w:cs="Arial"/>
        </w:rPr>
      </w:pPr>
      <w:r>
        <w:rPr>
          <w:rFonts w:ascii="Arial" w:eastAsia="Arial" w:hAnsi="Arial" w:cs="Arial"/>
          <w:color w:val="222222"/>
        </w:rPr>
        <w:t>Spaulding, Justin &amp; Hall, Brad. Efficiency of phacoemulsification handpieces with high and low intraocular pressure settings. Journal of Cataract &amp; Refractive Surgery. 2024 Nov 1;51(3):218–21</w:t>
      </w:r>
    </w:p>
    <w:p w:rsidR="00BD3168" w:rsidRDefault="00000000">
      <w:pPr>
        <w:numPr>
          <w:ilvl w:val="0"/>
          <w:numId w:val="1"/>
        </w:numPr>
        <w:rPr>
          <w:rFonts w:ascii="Arial" w:eastAsia="Arial" w:hAnsi="Arial" w:cs="Arial"/>
        </w:rPr>
      </w:pPr>
      <w:r>
        <w:rPr>
          <w:rFonts w:ascii="Arial" w:eastAsia="Arial" w:hAnsi="Arial" w:cs="Arial"/>
          <w:color w:val="222222"/>
        </w:rPr>
        <w:t>Singh N, Kumar R, Singh K. Comparison between direct chop and stop and chop phacoemulsification techniques in grade 3 and 4 cataract patients. International Journal of Life Sciences Biotechnology and Pharma Research. 2024 Jun 1;13(6):7–19.</w:t>
      </w:r>
    </w:p>
    <w:p w:rsidR="00BD3168" w:rsidRDefault="00000000">
      <w:pPr>
        <w:numPr>
          <w:ilvl w:val="0"/>
          <w:numId w:val="1"/>
        </w:numPr>
        <w:pBdr>
          <w:top w:val="nil"/>
          <w:left w:val="nil"/>
          <w:bottom w:val="nil"/>
          <w:right w:val="nil"/>
          <w:between w:val="nil"/>
        </w:pBdr>
        <w:rPr>
          <w:rFonts w:ascii="Arial" w:eastAsia="Arial" w:hAnsi="Arial" w:cs="Arial"/>
        </w:rPr>
      </w:pPr>
      <w:r>
        <w:rPr>
          <w:rFonts w:ascii="Arial" w:eastAsia="Arial" w:hAnsi="Arial" w:cs="Arial"/>
          <w:color w:val="222222"/>
        </w:rPr>
        <w:t xml:space="preserve">Vasavada V, Agrawal D, Vasavada SA, Vasavada AR, Yagnik J. Intraoperative Performance and Early Postoperative Outcomes Following Phacoemulsification </w:t>
      </w:r>
      <w:proofErr w:type="gramStart"/>
      <w:r>
        <w:rPr>
          <w:rFonts w:ascii="Arial" w:eastAsia="Arial" w:hAnsi="Arial" w:cs="Arial"/>
          <w:color w:val="222222"/>
        </w:rPr>
        <w:t>With</w:t>
      </w:r>
      <w:proofErr w:type="gramEnd"/>
      <w:r>
        <w:rPr>
          <w:rFonts w:ascii="Arial" w:eastAsia="Arial" w:hAnsi="Arial" w:cs="Arial"/>
          <w:color w:val="222222"/>
        </w:rPr>
        <w:t xml:space="preserve"> Three Fluidic Systems: A Randomized Trial. Journal of Refractive Surgery. 2024 May 1;40(5</w:t>
      </w:r>
      <w:proofErr w:type="gramStart"/>
      <w:r>
        <w:rPr>
          <w:rFonts w:ascii="Arial" w:eastAsia="Arial" w:hAnsi="Arial" w:cs="Arial"/>
          <w:color w:val="222222"/>
        </w:rPr>
        <w:t>):e</w:t>
      </w:r>
      <w:proofErr w:type="gramEnd"/>
      <w:r>
        <w:rPr>
          <w:rFonts w:ascii="Arial" w:eastAsia="Arial" w:hAnsi="Arial" w:cs="Arial"/>
          <w:color w:val="222222"/>
        </w:rPr>
        <w:t>304-12.</w:t>
      </w:r>
    </w:p>
    <w:p w:rsidR="00BD3168" w:rsidRDefault="00000000">
      <w:pPr>
        <w:numPr>
          <w:ilvl w:val="0"/>
          <w:numId w:val="1"/>
        </w:numPr>
        <w:pBdr>
          <w:top w:val="nil"/>
          <w:left w:val="nil"/>
          <w:bottom w:val="nil"/>
          <w:right w:val="nil"/>
          <w:between w:val="nil"/>
        </w:pBdr>
        <w:rPr>
          <w:rFonts w:ascii="Arial" w:eastAsia="Arial" w:hAnsi="Arial" w:cs="Arial"/>
        </w:rPr>
      </w:pPr>
      <w:r>
        <w:rPr>
          <w:rFonts w:ascii="Arial" w:eastAsia="Arial" w:hAnsi="Arial" w:cs="Arial"/>
          <w:color w:val="222222"/>
        </w:rPr>
        <w:t xml:space="preserve">Wood K, </w:t>
      </w:r>
      <w:proofErr w:type="spellStart"/>
      <w:r>
        <w:rPr>
          <w:rFonts w:ascii="Arial" w:eastAsia="Arial" w:hAnsi="Arial" w:cs="Arial"/>
          <w:color w:val="222222"/>
        </w:rPr>
        <w:t>Pessach</w:t>
      </w:r>
      <w:proofErr w:type="spellEnd"/>
      <w:r>
        <w:rPr>
          <w:rFonts w:ascii="Arial" w:eastAsia="Arial" w:hAnsi="Arial" w:cs="Arial"/>
          <w:color w:val="222222"/>
        </w:rPr>
        <w:t xml:space="preserve"> Y, Kovalyuk N, Lifshitz M, Winter H, Pikkel J. Corneal endothelial cell loss and intraocular pressure following phacoemulsification using a new viscous-cohesive ophthalmic </w:t>
      </w:r>
      <w:proofErr w:type="spellStart"/>
      <w:r>
        <w:rPr>
          <w:rFonts w:ascii="Arial" w:eastAsia="Arial" w:hAnsi="Arial" w:cs="Arial"/>
          <w:color w:val="222222"/>
        </w:rPr>
        <w:t>viscosurgical</w:t>
      </w:r>
      <w:proofErr w:type="spellEnd"/>
      <w:r>
        <w:rPr>
          <w:rFonts w:ascii="Arial" w:eastAsia="Arial" w:hAnsi="Arial" w:cs="Arial"/>
          <w:color w:val="222222"/>
        </w:rPr>
        <w:t xml:space="preserve"> device. International Ophthalmology. 2024 Feb 6;44(1):10.</w:t>
      </w:r>
    </w:p>
    <w:p w:rsidR="00BD3168" w:rsidRDefault="00000000">
      <w:pPr>
        <w:numPr>
          <w:ilvl w:val="0"/>
          <w:numId w:val="1"/>
        </w:numPr>
        <w:pBdr>
          <w:top w:val="nil"/>
          <w:left w:val="nil"/>
          <w:bottom w:val="nil"/>
          <w:right w:val="nil"/>
          <w:between w:val="nil"/>
        </w:pBdr>
        <w:rPr>
          <w:rFonts w:ascii="Arial" w:eastAsia="Arial" w:hAnsi="Arial" w:cs="Arial"/>
        </w:rPr>
      </w:pPr>
      <w:r>
        <w:rPr>
          <w:rFonts w:ascii="Arial" w:eastAsia="Arial" w:hAnsi="Arial" w:cs="Arial"/>
          <w:color w:val="222222"/>
        </w:rPr>
        <w:t xml:space="preserve">Maheshwari D, Grover DS, Ramakrishnan R, Pillai MR, </w:t>
      </w:r>
      <w:proofErr w:type="spellStart"/>
      <w:r>
        <w:rPr>
          <w:rFonts w:ascii="Arial" w:eastAsia="Arial" w:hAnsi="Arial" w:cs="Arial"/>
          <w:color w:val="222222"/>
        </w:rPr>
        <w:t>Chautani</w:t>
      </w:r>
      <w:proofErr w:type="spellEnd"/>
      <w:r>
        <w:rPr>
          <w:rFonts w:ascii="Arial" w:eastAsia="Arial" w:hAnsi="Arial" w:cs="Arial"/>
          <w:color w:val="222222"/>
        </w:rPr>
        <w:t xml:space="preserve"> D, Kader MA. Early outcomes of combined phacoemulsification and ab </w:t>
      </w:r>
      <w:proofErr w:type="spellStart"/>
      <w:r>
        <w:rPr>
          <w:rFonts w:ascii="Arial" w:eastAsia="Arial" w:hAnsi="Arial" w:cs="Arial"/>
          <w:color w:val="222222"/>
        </w:rPr>
        <w:t>interno</w:t>
      </w:r>
      <w:proofErr w:type="spellEnd"/>
      <w:r>
        <w:rPr>
          <w:rFonts w:ascii="Arial" w:eastAsia="Arial" w:hAnsi="Arial" w:cs="Arial"/>
          <w:color w:val="222222"/>
        </w:rPr>
        <w:t xml:space="preserve"> </w:t>
      </w:r>
      <w:proofErr w:type="spellStart"/>
      <w:r>
        <w:rPr>
          <w:rFonts w:ascii="Arial" w:eastAsia="Arial" w:hAnsi="Arial" w:cs="Arial"/>
          <w:color w:val="222222"/>
        </w:rPr>
        <w:t>Tanito</w:t>
      </w:r>
      <w:proofErr w:type="spellEnd"/>
      <w:r>
        <w:rPr>
          <w:rFonts w:ascii="Arial" w:eastAsia="Arial" w:hAnsi="Arial" w:cs="Arial"/>
          <w:color w:val="222222"/>
        </w:rPr>
        <w:t xml:space="preserve"> Microhook trabeculotomy in open-angle glaucoma. Ophthalmology Glaucoma. 2024 Mar 1;7(2):123-30.</w:t>
      </w:r>
    </w:p>
    <w:p w:rsidR="00BD3168" w:rsidRDefault="00000000">
      <w:pPr>
        <w:numPr>
          <w:ilvl w:val="0"/>
          <w:numId w:val="1"/>
        </w:numPr>
        <w:pBdr>
          <w:top w:val="nil"/>
          <w:left w:val="nil"/>
          <w:bottom w:val="nil"/>
          <w:right w:val="nil"/>
          <w:between w:val="nil"/>
        </w:pBdr>
        <w:rPr>
          <w:rFonts w:ascii="Arial" w:eastAsia="Arial" w:hAnsi="Arial" w:cs="Arial"/>
        </w:rPr>
      </w:pPr>
      <w:r>
        <w:rPr>
          <w:rFonts w:ascii="Arial" w:eastAsia="Arial" w:hAnsi="Arial" w:cs="Arial"/>
          <w:color w:val="222222"/>
        </w:rPr>
        <w:t>Vasavada AR, Vasavada SA, Nath V, Vasavada V, Patel P. FLACS vs conventional phacoemulsification by junior cataract surgeons: randomized trial. Journal of Cataract &amp; Refractive Surgery. 2023 Feb 1;49(2):159-64.</w:t>
      </w:r>
    </w:p>
    <w:p w:rsidR="00BD3168" w:rsidRDefault="00000000">
      <w:pPr>
        <w:numPr>
          <w:ilvl w:val="0"/>
          <w:numId w:val="1"/>
        </w:numPr>
        <w:pBdr>
          <w:top w:val="nil"/>
          <w:left w:val="nil"/>
          <w:bottom w:val="nil"/>
          <w:right w:val="nil"/>
          <w:between w:val="nil"/>
        </w:pBdr>
        <w:rPr>
          <w:rFonts w:ascii="Arial" w:eastAsia="Arial" w:hAnsi="Arial" w:cs="Arial"/>
        </w:rPr>
      </w:pPr>
      <w:r>
        <w:rPr>
          <w:rFonts w:ascii="Arial" w:eastAsia="Arial" w:hAnsi="Arial" w:cs="Arial"/>
          <w:color w:val="222222"/>
        </w:rPr>
        <w:lastRenderedPageBreak/>
        <w:t>Cruz JC, Moreno CB, Soares PV, Moscovici BK, Colombo-Barboza GN, Colombo-Barboza LR, Colombo-Barboza MN. Comparison of endothelial cell loss in diabetic patients after conventional phacoemulsification and femtosecond laser-assisted cataract surgery. BMC ophthalmology. 2023 Apr 26;23(1):181.</w:t>
      </w:r>
    </w:p>
    <w:sectPr w:rsidR="00BD3168">
      <w:pgSz w:w="11900" w:h="16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604020202020204"/>
    <w:charset w:val="00"/>
    <w:family w:val="swiss"/>
    <w:pitch w:val="variable"/>
    <w:sig w:usb0="20000287" w:usb1="00000003" w:usb2="00000000" w:usb3="00000000" w:csb0="0000019F" w:csb1="00000000"/>
    <w:embedRegular r:id="rId1" w:fontKey="{0A85AD56-0AE4-E841-ABC7-C1B85C8BEB17}"/>
    <w:embedBold r:id="rId2" w:fontKey="{7577CBCF-A328-8C40-83B7-F6E27EF191F3}"/>
    <w:embedItalic r:id="rId3" w:fontKey="{ABBD1449-E109-C748-B058-1CE3D576F586}"/>
  </w:font>
  <w:font w:name="Aptos Display">
    <w:panose1 w:val="020B0004020202020204"/>
    <w:charset w:val="00"/>
    <w:family w:val="swiss"/>
    <w:pitch w:val="variable"/>
    <w:sig w:usb0="20000287" w:usb1="00000003" w:usb2="00000000" w:usb3="00000000" w:csb0="0000019F" w:csb1="00000000"/>
    <w:embedRegular r:id="rId4" w:fontKey="{576DD77C-5BD2-024F-AA23-5BA8093121A7}"/>
  </w:font>
  <w:font w:name="Times New Roman">
    <w:panose1 w:val="02020603050405020304"/>
    <w:charset w:val="00"/>
    <w:family w:val="roman"/>
    <w:pitch w:val="variable"/>
    <w:sig w:usb0="E0002EFF" w:usb1="C000785B" w:usb2="00000009" w:usb3="00000000" w:csb0="000001FF" w:csb1="00000000"/>
    <w:embedRegular r:id="rId5" w:fontKey="{EBEEEFB9-CD65-E34E-B80F-154BA0C33CED}"/>
    <w:embedBold r:id="rId6" w:fontKey="{E93B86A8-B205-1546-B70A-D79EC42F0E67}"/>
    <w:embedItalic r:id="rId7" w:fontKey="{F210E773-77A1-2B4E-A0D9-B3A6198EB7CB}"/>
  </w:font>
  <w:font w:name="Arial">
    <w:panose1 w:val="020B0604020202020204"/>
    <w:charset w:val="00"/>
    <w:family w:val="swiss"/>
    <w:pitch w:val="variable"/>
    <w:sig w:usb0="E0002AFF" w:usb1="C0007843" w:usb2="00000009" w:usb3="00000000" w:csb0="000001FF" w:csb1="00000000"/>
    <w:embedRegular r:id="rId8" w:fontKey="{C88FE651-FFED-AC41-9328-6E171DB9302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65376C"/>
    <w:multiLevelType w:val="multilevel"/>
    <w:tmpl w:val="B0121F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11768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168"/>
    <w:rsid w:val="002227E5"/>
    <w:rsid w:val="00BD3168"/>
    <w:rsid w:val="00C428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B90D85E"/>
  <w15:docId w15:val="{FE252736-E365-F747-8284-28CA3542D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5F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95F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95F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95F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95F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95FC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5FC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5FC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5FC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95FCE"/>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95F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95F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95F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95F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95F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95F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5F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5F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5FCE"/>
    <w:rPr>
      <w:rFonts w:eastAsiaTheme="majorEastAsia" w:cstheme="majorBidi"/>
      <w:color w:val="272727" w:themeColor="text1" w:themeTint="D8"/>
    </w:rPr>
  </w:style>
  <w:style w:type="character" w:customStyle="1" w:styleId="TitleChar">
    <w:name w:val="Title Char"/>
    <w:basedOn w:val="DefaultParagraphFont"/>
    <w:link w:val="Title"/>
    <w:uiPriority w:val="10"/>
    <w:rsid w:val="00395F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395F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5FC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95FCE"/>
    <w:rPr>
      <w:i/>
      <w:iCs/>
      <w:color w:val="404040" w:themeColor="text1" w:themeTint="BF"/>
    </w:rPr>
  </w:style>
  <w:style w:type="paragraph" w:styleId="ListParagraph">
    <w:name w:val="List Paragraph"/>
    <w:basedOn w:val="Normal"/>
    <w:uiPriority w:val="34"/>
    <w:qFormat/>
    <w:rsid w:val="00395FCE"/>
    <w:pPr>
      <w:ind w:left="720"/>
      <w:contextualSpacing/>
    </w:pPr>
  </w:style>
  <w:style w:type="character" w:styleId="IntenseEmphasis">
    <w:name w:val="Intense Emphasis"/>
    <w:basedOn w:val="DefaultParagraphFont"/>
    <w:uiPriority w:val="21"/>
    <w:qFormat/>
    <w:rsid w:val="00395FCE"/>
    <w:rPr>
      <w:i/>
      <w:iCs/>
      <w:color w:val="0F4761" w:themeColor="accent1" w:themeShade="BF"/>
    </w:rPr>
  </w:style>
  <w:style w:type="paragraph" w:styleId="IntenseQuote">
    <w:name w:val="Intense Quote"/>
    <w:basedOn w:val="Normal"/>
    <w:next w:val="Normal"/>
    <w:link w:val="IntenseQuoteChar"/>
    <w:uiPriority w:val="30"/>
    <w:qFormat/>
    <w:rsid w:val="00395F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95FCE"/>
    <w:rPr>
      <w:i/>
      <w:iCs/>
      <w:color w:val="0F4761" w:themeColor="accent1" w:themeShade="BF"/>
    </w:rPr>
  </w:style>
  <w:style w:type="character" w:styleId="IntenseReference">
    <w:name w:val="Intense Reference"/>
    <w:basedOn w:val="DefaultParagraphFont"/>
    <w:uiPriority w:val="32"/>
    <w:qFormat/>
    <w:rsid w:val="00395FCE"/>
    <w:rPr>
      <w:b/>
      <w:bCs/>
      <w:smallCaps/>
      <w:color w:val="0F4761" w:themeColor="accent1" w:themeShade="BF"/>
      <w:spacing w:val="5"/>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2sPsbd9YlUJflvalrH6HeJ9vog==">CgMxLjA4AHIhMWd1NEpCNTlJY2tiMVM1eVIweFhuQU9kWEh0WWhvaUZ1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913</Words>
  <Characters>5208</Characters>
  <Application>Microsoft Office Word</Application>
  <DocSecurity>0</DocSecurity>
  <Lines>43</Lines>
  <Paragraphs>12</Paragraphs>
  <ScaleCrop>false</ScaleCrop>
  <Company/>
  <LinksUpToDate>false</LinksUpToDate>
  <CharactersWithSpaces>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Omar Farooq</dc:creator>
  <cp:lastModifiedBy>Mark Mil</cp:lastModifiedBy>
  <cp:revision>2</cp:revision>
  <dcterms:created xsi:type="dcterms:W3CDTF">2025-07-19T15:56:00Z</dcterms:created>
  <dcterms:modified xsi:type="dcterms:W3CDTF">2025-07-19T15:56:00Z</dcterms:modified>
</cp:coreProperties>
</file>