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BAB28C" w14:textId="77777777" w:rsidR="00F113B6" w:rsidRDefault="00F113B6" w:rsidP="00F113B6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  <w:r w:rsidRPr="00DA4AAB">
        <w:rPr>
          <w:rFonts w:ascii="Arial" w:hAnsi="Arial" w:cs="Arial"/>
          <w:b/>
          <w:bCs/>
          <w:sz w:val="24"/>
          <w:szCs w:val="24"/>
          <w:lang w:val="en-US"/>
        </w:rPr>
        <w:t>Table 3</w:t>
      </w:r>
      <w:r w:rsidRPr="00DA4AAB">
        <w:rPr>
          <w:rFonts w:ascii="Arial" w:hAnsi="Arial" w:cs="Arial"/>
          <w:sz w:val="24"/>
          <w:szCs w:val="24"/>
          <w:lang w:val="en-US"/>
        </w:rPr>
        <w:t xml:space="preserve"> – Functional performance at 2 and 4 months </w:t>
      </w:r>
    </w:p>
    <w:p w14:paraId="34606719" w14:textId="77777777" w:rsidR="00F113B6" w:rsidRDefault="00F113B6" w:rsidP="00F113B6">
      <w:pPr>
        <w:spacing w:after="0" w:line="480" w:lineRule="auto"/>
        <w:jc w:val="both"/>
        <w:rPr>
          <w:rFonts w:ascii="Arial" w:hAnsi="Arial" w:cs="Arial"/>
          <w:sz w:val="24"/>
          <w:szCs w:val="24"/>
          <w:lang w:val="en-US"/>
        </w:rPr>
      </w:pPr>
    </w:p>
    <w:tbl>
      <w:tblPr>
        <w:tblpPr w:leftFromText="141" w:rightFromText="141" w:vertAnchor="page" w:horzAnchor="margin" w:tblpX="-142" w:tblpY="1846"/>
        <w:tblW w:w="16162" w:type="dxa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6"/>
        <w:gridCol w:w="1489"/>
        <w:gridCol w:w="1830"/>
        <w:gridCol w:w="1491"/>
        <w:gridCol w:w="1773"/>
        <w:gridCol w:w="1275"/>
        <w:gridCol w:w="1219"/>
        <w:gridCol w:w="1900"/>
        <w:gridCol w:w="1268"/>
        <w:gridCol w:w="193"/>
        <w:gridCol w:w="1424"/>
        <w:gridCol w:w="1024"/>
      </w:tblGrid>
      <w:tr w:rsidR="00F113B6" w:rsidRPr="00D42609" w14:paraId="134EEA80" w14:textId="77777777" w:rsidTr="00C34352">
        <w:trPr>
          <w:trHeight w:val="295"/>
        </w:trPr>
        <w:tc>
          <w:tcPr>
            <w:tcW w:w="1276" w:type="dxa"/>
          </w:tcPr>
          <w:p w14:paraId="715FF36F" w14:textId="77777777" w:rsidR="00F113B6" w:rsidRPr="00217D7E" w:rsidRDefault="00F113B6" w:rsidP="00C34352">
            <w:pPr>
              <w:spacing w:after="0" w:line="480" w:lineRule="auto"/>
              <w:ind w:left="-672"/>
              <w:jc w:val="both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1489" w:type="dxa"/>
          </w:tcPr>
          <w:p w14:paraId="090AE2DD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  <w:lang w:val="en-US"/>
              </w:rPr>
            </w:pPr>
          </w:p>
        </w:tc>
        <w:tc>
          <w:tcPr>
            <w:tcW w:w="3321" w:type="dxa"/>
            <w:gridSpan w:val="2"/>
          </w:tcPr>
          <w:p w14:paraId="01ADDD61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</w:rPr>
            </w:pPr>
            <w:r w:rsidRPr="00F22FB0">
              <w:rPr>
                <w:rFonts w:ascii="Arial" w:hAnsi="Arial" w:cs="Arial"/>
                <w:b/>
                <w:bCs/>
              </w:rPr>
              <w:t>GRUPO CTMs</w:t>
            </w:r>
          </w:p>
        </w:tc>
        <w:tc>
          <w:tcPr>
            <w:tcW w:w="1773" w:type="dxa"/>
          </w:tcPr>
          <w:p w14:paraId="06128259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5" w:type="dxa"/>
          </w:tcPr>
          <w:p w14:paraId="0F1F34FA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19" w:type="dxa"/>
          </w:tcPr>
          <w:p w14:paraId="3B401E79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361" w:type="dxa"/>
            <w:gridSpan w:val="3"/>
          </w:tcPr>
          <w:p w14:paraId="25DDD360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</w:rPr>
            </w:pPr>
            <w:r w:rsidRPr="00F22FB0">
              <w:rPr>
                <w:rFonts w:ascii="Arial" w:hAnsi="Arial" w:cs="Arial"/>
                <w:b/>
                <w:bCs/>
              </w:rPr>
              <w:t>GRUPO PLACEBO</w:t>
            </w:r>
          </w:p>
        </w:tc>
        <w:tc>
          <w:tcPr>
            <w:tcW w:w="1424" w:type="dxa"/>
          </w:tcPr>
          <w:p w14:paraId="4A02C9B7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024" w:type="dxa"/>
          </w:tcPr>
          <w:p w14:paraId="68014207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/>
                <w:bCs/>
              </w:rPr>
            </w:pPr>
          </w:p>
        </w:tc>
      </w:tr>
      <w:tr w:rsidR="00F113B6" w:rsidRPr="00D42609" w14:paraId="5907C0C3" w14:textId="77777777" w:rsidTr="00C34352">
        <w:trPr>
          <w:trHeight w:val="245"/>
        </w:trPr>
        <w:tc>
          <w:tcPr>
            <w:tcW w:w="1276" w:type="dxa"/>
            <w:shd w:val="clear" w:color="auto" w:fill="FFFFFF"/>
          </w:tcPr>
          <w:p w14:paraId="5586EFD0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3319" w:type="dxa"/>
            <w:gridSpan w:val="2"/>
            <w:shd w:val="clear" w:color="auto" w:fill="FFFFFF"/>
          </w:tcPr>
          <w:p w14:paraId="34AAEB0F" w14:textId="77777777" w:rsidR="00F113B6" w:rsidRPr="00F22FB0" w:rsidRDefault="00F113B6" w:rsidP="00C34352">
            <w:pPr>
              <w:spacing w:after="0" w:line="480" w:lineRule="auto"/>
              <w:jc w:val="center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2 MONTHS*</w:t>
            </w:r>
          </w:p>
        </w:tc>
        <w:tc>
          <w:tcPr>
            <w:tcW w:w="3264" w:type="dxa"/>
            <w:gridSpan w:val="2"/>
            <w:shd w:val="clear" w:color="auto" w:fill="FFFFFF"/>
          </w:tcPr>
          <w:p w14:paraId="1C0878E4" w14:textId="77777777" w:rsidR="00F113B6" w:rsidRPr="00F22FB0" w:rsidRDefault="00F113B6" w:rsidP="00C34352">
            <w:pPr>
              <w:spacing w:after="0" w:line="480" w:lineRule="auto"/>
              <w:jc w:val="center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4 MONTHS**</w:t>
            </w:r>
          </w:p>
        </w:tc>
        <w:tc>
          <w:tcPr>
            <w:tcW w:w="1275" w:type="dxa"/>
            <w:shd w:val="clear" w:color="auto" w:fill="FFFFFF"/>
          </w:tcPr>
          <w:p w14:paraId="0C127F86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3119" w:type="dxa"/>
            <w:gridSpan w:val="2"/>
            <w:shd w:val="clear" w:color="auto" w:fill="FFFFFF"/>
          </w:tcPr>
          <w:p w14:paraId="3CB2F01A" w14:textId="77777777" w:rsidR="00F113B6" w:rsidRPr="00F22FB0" w:rsidRDefault="00F113B6" w:rsidP="00C34352">
            <w:pPr>
              <w:spacing w:after="0" w:line="480" w:lineRule="auto"/>
              <w:jc w:val="center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2 MONTHS*</w:t>
            </w:r>
          </w:p>
        </w:tc>
        <w:tc>
          <w:tcPr>
            <w:tcW w:w="2885" w:type="dxa"/>
            <w:gridSpan w:val="3"/>
            <w:shd w:val="clear" w:color="auto" w:fill="FFFFFF"/>
          </w:tcPr>
          <w:p w14:paraId="37B1E6AB" w14:textId="77777777" w:rsidR="00F113B6" w:rsidRPr="00F22FB0" w:rsidRDefault="00F113B6" w:rsidP="00C34352">
            <w:pPr>
              <w:spacing w:after="0" w:line="480" w:lineRule="auto"/>
              <w:jc w:val="center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4 MONTHS**</w:t>
            </w:r>
          </w:p>
        </w:tc>
        <w:tc>
          <w:tcPr>
            <w:tcW w:w="1024" w:type="dxa"/>
            <w:shd w:val="clear" w:color="auto" w:fill="FFFFFF"/>
          </w:tcPr>
          <w:p w14:paraId="3EEB0410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  <w:vertAlign w:val="superscript"/>
              </w:rPr>
            </w:pPr>
            <w:r w:rsidRPr="00217D7E">
              <w:rPr>
                <w:rFonts w:ascii="Arial" w:hAnsi="Arial" w:cs="Arial"/>
                <w:bCs/>
              </w:rPr>
              <w:t>p</w:t>
            </w:r>
            <w:r>
              <w:rPr>
                <w:rFonts w:ascii="Arial" w:hAnsi="Arial" w:cs="Arial"/>
                <w:bCs/>
              </w:rPr>
              <w:t>-</w:t>
            </w:r>
            <w:r w:rsidRPr="00217D7E">
              <w:rPr>
                <w:rFonts w:ascii="Arial" w:hAnsi="Arial" w:cs="Arial"/>
                <w:bCs/>
              </w:rPr>
              <w:t>value</w:t>
            </w:r>
            <w:r w:rsidRPr="00217D7E">
              <w:rPr>
                <w:rFonts w:ascii="Arial" w:hAnsi="Arial" w:cs="Arial"/>
                <w:bCs/>
                <w:vertAlign w:val="superscript"/>
              </w:rPr>
              <w:t>a</w:t>
            </w:r>
          </w:p>
        </w:tc>
      </w:tr>
      <w:tr w:rsidR="00F113B6" w:rsidRPr="00D42609" w14:paraId="162433C7" w14:textId="77777777" w:rsidTr="00C34352">
        <w:trPr>
          <w:trHeight w:val="245"/>
        </w:trPr>
        <w:tc>
          <w:tcPr>
            <w:tcW w:w="1276" w:type="dxa"/>
            <w:shd w:val="clear" w:color="auto" w:fill="FFFFFF"/>
          </w:tcPr>
          <w:p w14:paraId="197AE8B6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489" w:type="dxa"/>
            <w:shd w:val="clear" w:color="auto" w:fill="FFFFFF"/>
          </w:tcPr>
          <w:p w14:paraId="1B3E48DD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217D7E">
              <w:rPr>
                <w:rFonts w:ascii="Arial" w:hAnsi="Arial" w:cs="Arial"/>
                <w:bCs/>
              </w:rPr>
              <w:t>Mean±SD</w:t>
            </w:r>
          </w:p>
        </w:tc>
        <w:tc>
          <w:tcPr>
            <w:tcW w:w="1830" w:type="dxa"/>
            <w:shd w:val="clear" w:color="auto" w:fill="FFFFFF"/>
          </w:tcPr>
          <w:p w14:paraId="3F7E0959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Median (IQ)</w:t>
            </w:r>
          </w:p>
        </w:tc>
        <w:tc>
          <w:tcPr>
            <w:tcW w:w="1491" w:type="dxa"/>
            <w:shd w:val="clear" w:color="auto" w:fill="FFFFFF"/>
          </w:tcPr>
          <w:p w14:paraId="6139649C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Mean±SD</w:t>
            </w:r>
          </w:p>
        </w:tc>
        <w:tc>
          <w:tcPr>
            <w:tcW w:w="1773" w:type="dxa"/>
            <w:shd w:val="clear" w:color="auto" w:fill="FFFFFF"/>
          </w:tcPr>
          <w:p w14:paraId="71D5A73C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Median (IQ)</w:t>
            </w:r>
          </w:p>
        </w:tc>
        <w:tc>
          <w:tcPr>
            <w:tcW w:w="1275" w:type="dxa"/>
            <w:shd w:val="clear" w:color="auto" w:fill="FFFFFF"/>
          </w:tcPr>
          <w:p w14:paraId="2C7D9E96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</w:p>
        </w:tc>
        <w:tc>
          <w:tcPr>
            <w:tcW w:w="1219" w:type="dxa"/>
            <w:shd w:val="clear" w:color="auto" w:fill="FFFFFF"/>
          </w:tcPr>
          <w:p w14:paraId="6A39A8A5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Mean±SD</w:t>
            </w:r>
          </w:p>
        </w:tc>
        <w:tc>
          <w:tcPr>
            <w:tcW w:w="1900" w:type="dxa"/>
            <w:shd w:val="clear" w:color="auto" w:fill="FFFFFF"/>
          </w:tcPr>
          <w:p w14:paraId="4107BF12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Median (IQ)</w:t>
            </w:r>
          </w:p>
        </w:tc>
        <w:tc>
          <w:tcPr>
            <w:tcW w:w="1268" w:type="dxa"/>
            <w:shd w:val="clear" w:color="auto" w:fill="FFFFFF"/>
          </w:tcPr>
          <w:p w14:paraId="6139FC6A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Mean±SD</w:t>
            </w:r>
          </w:p>
        </w:tc>
        <w:tc>
          <w:tcPr>
            <w:tcW w:w="1617" w:type="dxa"/>
            <w:gridSpan w:val="2"/>
            <w:shd w:val="clear" w:color="auto" w:fill="FFFFFF"/>
          </w:tcPr>
          <w:p w14:paraId="08955769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Median (IQ)</w:t>
            </w:r>
          </w:p>
        </w:tc>
        <w:tc>
          <w:tcPr>
            <w:tcW w:w="1024" w:type="dxa"/>
            <w:shd w:val="clear" w:color="auto" w:fill="FFFFFF"/>
          </w:tcPr>
          <w:p w14:paraId="64471602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</w:p>
        </w:tc>
      </w:tr>
      <w:tr w:rsidR="00F113B6" w:rsidRPr="00D42609" w14:paraId="60E78E82" w14:textId="77777777" w:rsidTr="00C34352">
        <w:trPr>
          <w:trHeight w:val="245"/>
        </w:trPr>
        <w:tc>
          <w:tcPr>
            <w:tcW w:w="1276" w:type="dxa"/>
            <w:shd w:val="clear" w:color="auto" w:fill="FFFFFF"/>
            <w:vAlign w:val="center"/>
          </w:tcPr>
          <w:p w14:paraId="05E32619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HGS (kg)</w:t>
            </w:r>
          </w:p>
          <w:p w14:paraId="76394786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(n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=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5)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14:paraId="0E79D399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24.4± 7.0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72B7480E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22 (21.0-25.0)</w:t>
            </w:r>
          </w:p>
        </w:tc>
        <w:tc>
          <w:tcPr>
            <w:tcW w:w="1491" w:type="dxa"/>
            <w:shd w:val="clear" w:color="auto" w:fill="FFFFFF"/>
            <w:vAlign w:val="center"/>
          </w:tcPr>
          <w:p w14:paraId="7C54391E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31.0 ± 6.7</w:t>
            </w:r>
          </w:p>
        </w:tc>
        <w:tc>
          <w:tcPr>
            <w:tcW w:w="1773" w:type="dxa"/>
            <w:shd w:val="clear" w:color="auto" w:fill="FFFFFF"/>
            <w:vAlign w:val="center"/>
          </w:tcPr>
          <w:p w14:paraId="462033CD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29.0 (26.0-37.0)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5C701BB5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HGS (kg)</w:t>
            </w:r>
          </w:p>
          <w:p w14:paraId="53E3DF98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(n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=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6805B92F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20.1 ± 9.2</w:t>
            </w:r>
          </w:p>
        </w:tc>
        <w:tc>
          <w:tcPr>
            <w:tcW w:w="1900" w:type="dxa"/>
            <w:shd w:val="clear" w:color="auto" w:fill="FFFFFF"/>
            <w:vAlign w:val="center"/>
          </w:tcPr>
          <w:p w14:paraId="3E9E40A7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17.5 (14.8-23.5)</w:t>
            </w:r>
          </w:p>
        </w:tc>
        <w:tc>
          <w:tcPr>
            <w:tcW w:w="1268" w:type="dxa"/>
            <w:shd w:val="clear" w:color="auto" w:fill="FFFFFF"/>
            <w:vAlign w:val="center"/>
          </w:tcPr>
          <w:p w14:paraId="582314D1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25.3± 7.8</w:t>
            </w:r>
          </w:p>
        </w:tc>
        <w:tc>
          <w:tcPr>
            <w:tcW w:w="1617" w:type="dxa"/>
            <w:gridSpan w:val="2"/>
            <w:shd w:val="clear" w:color="auto" w:fill="FFFFFF"/>
            <w:vAlign w:val="center"/>
          </w:tcPr>
          <w:p w14:paraId="54E28113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24 (19.5-29.8)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107E8601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217D7E">
              <w:rPr>
                <w:rFonts w:ascii="Arial" w:hAnsi="Arial" w:cs="Arial"/>
                <w:bCs/>
              </w:rPr>
              <w:t>0.0</w:t>
            </w:r>
            <w:r>
              <w:rPr>
                <w:rFonts w:ascii="Arial" w:hAnsi="Arial" w:cs="Arial"/>
                <w:bCs/>
              </w:rPr>
              <w:t>09</w:t>
            </w:r>
          </w:p>
        </w:tc>
      </w:tr>
      <w:tr w:rsidR="00F113B6" w:rsidRPr="00D42609" w14:paraId="1422B2DA" w14:textId="77777777" w:rsidTr="00C34352">
        <w:trPr>
          <w:trHeight w:val="245"/>
        </w:trPr>
        <w:tc>
          <w:tcPr>
            <w:tcW w:w="1276" w:type="dxa"/>
            <w:shd w:val="clear" w:color="auto" w:fill="FFFFFF"/>
            <w:vAlign w:val="center"/>
          </w:tcPr>
          <w:p w14:paraId="2E52E945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GS (m/s)</w:t>
            </w:r>
          </w:p>
          <w:p w14:paraId="3DCBBFF4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(n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=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14:paraId="4C8FBCD8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1.2± 0.2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414C9611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1.2 (1.0-1.3)</w:t>
            </w:r>
          </w:p>
        </w:tc>
        <w:tc>
          <w:tcPr>
            <w:tcW w:w="1491" w:type="dxa"/>
            <w:shd w:val="clear" w:color="auto" w:fill="FFFFFF"/>
            <w:vAlign w:val="center"/>
          </w:tcPr>
          <w:p w14:paraId="3225DDB9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1.3± 0.2</w:t>
            </w:r>
          </w:p>
        </w:tc>
        <w:tc>
          <w:tcPr>
            <w:tcW w:w="1773" w:type="dxa"/>
            <w:shd w:val="clear" w:color="auto" w:fill="FFFFFF"/>
            <w:vAlign w:val="center"/>
          </w:tcPr>
          <w:p w14:paraId="71B7C9FC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1.3 (1.2-1.4)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32CCC933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GS (m/s)</w:t>
            </w:r>
          </w:p>
          <w:p w14:paraId="754F7EB8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(n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=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05BD46D8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1.1± 0.2</w:t>
            </w:r>
          </w:p>
        </w:tc>
        <w:tc>
          <w:tcPr>
            <w:tcW w:w="1900" w:type="dxa"/>
            <w:shd w:val="clear" w:color="auto" w:fill="FFFFFF"/>
            <w:vAlign w:val="center"/>
          </w:tcPr>
          <w:p w14:paraId="49537275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1.1 (1.0-1.2)</w:t>
            </w:r>
          </w:p>
        </w:tc>
        <w:tc>
          <w:tcPr>
            <w:tcW w:w="1268" w:type="dxa"/>
            <w:shd w:val="clear" w:color="auto" w:fill="FFFFFF"/>
            <w:vAlign w:val="center"/>
          </w:tcPr>
          <w:p w14:paraId="215ACFDE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1.2± 0.2</w:t>
            </w:r>
          </w:p>
        </w:tc>
        <w:tc>
          <w:tcPr>
            <w:tcW w:w="1617" w:type="dxa"/>
            <w:gridSpan w:val="2"/>
            <w:shd w:val="clear" w:color="auto" w:fill="FFFFFF"/>
            <w:vAlign w:val="center"/>
          </w:tcPr>
          <w:p w14:paraId="33E53790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1.2 (1.1-1.3)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7B9166D3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217D7E">
              <w:rPr>
                <w:rFonts w:ascii="Arial" w:hAnsi="Arial" w:cs="Arial"/>
                <w:bCs/>
              </w:rPr>
              <w:t>0.1</w:t>
            </w:r>
            <w:r>
              <w:rPr>
                <w:rFonts w:ascii="Arial" w:hAnsi="Arial" w:cs="Arial"/>
                <w:bCs/>
              </w:rPr>
              <w:t>09</w:t>
            </w:r>
          </w:p>
        </w:tc>
      </w:tr>
      <w:tr w:rsidR="00F113B6" w:rsidRPr="00D42609" w14:paraId="4713E088" w14:textId="77777777" w:rsidTr="00C34352">
        <w:trPr>
          <w:trHeight w:val="245"/>
        </w:trPr>
        <w:tc>
          <w:tcPr>
            <w:tcW w:w="1276" w:type="dxa"/>
            <w:shd w:val="clear" w:color="auto" w:fill="FFFFFF"/>
            <w:vAlign w:val="center"/>
          </w:tcPr>
          <w:p w14:paraId="123414F6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217D7E">
              <w:rPr>
                <w:rFonts w:ascii="Arial" w:hAnsi="Arial" w:cs="Arial"/>
                <w:bCs/>
              </w:rPr>
              <w:t>TUG (s)</w:t>
            </w:r>
          </w:p>
          <w:p w14:paraId="7314EAF2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217D7E">
              <w:rPr>
                <w:rFonts w:ascii="Arial" w:hAnsi="Arial" w:cs="Arial"/>
                <w:bCs/>
              </w:rPr>
              <w:t>(n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217D7E">
              <w:rPr>
                <w:rFonts w:ascii="Arial" w:hAnsi="Arial" w:cs="Arial"/>
                <w:bCs/>
              </w:rPr>
              <w:t>=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217D7E"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1489" w:type="dxa"/>
            <w:shd w:val="clear" w:color="auto" w:fill="FFFFFF"/>
            <w:vAlign w:val="center"/>
          </w:tcPr>
          <w:p w14:paraId="04862DFE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217D7E">
              <w:rPr>
                <w:rFonts w:ascii="Arial" w:hAnsi="Arial" w:cs="Arial"/>
                <w:bCs/>
              </w:rPr>
              <w:t>9.2± 1.9</w:t>
            </w:r>
          </w:p>
        </w:tc>
        <w:tc>
          <w:tcPr>
            <w:tcW w:w="1830" w:type="dxa"/>
            <w:shd w:val="clear" w:color="auto" w:fill="FFFFFF"/>
            <w:vAlign w:val="center"/>
          </w:tcPr>
          <w:p w14:paraId="2A9F284A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9.8 (8.5-10.5)</w:t>
            </w:r>
          </w:p>
        </w:tc>
        <w:tc>
          <w:tcPr>
            <w:tcW w:w="1491" w:type="dxa"/>
            <w:shd w:val="clear" w:color="auto" w:fill="FFFFFF"/>
            <w:vAlign w:val="center"/>
          </w:tcPr>
          <w:p w14:paraId="36D96F82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7.8±0.8</w:t>
            </w:r>
          </w:p>
        </w:tc>
        <w:tc>
          <w:tcPr>
            <w:tcW w:w="1773" w:type="dxa"/>
            <w:shd w:val="clear" w:color="auto" w:fill="FFFFFF"/>
            <w:vAlign w:val="center"/>
          </w:tcPr>
          <w:p w14:paraId="4E9792C9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7.8 (7.3-8.2)</w:t>
            </w:r>
          </w:p>
        </w:tc>
        <w:tc>
          <w:tcPr>
            <w:tcW w:w="1275" w:type="dxa"/>
            <w:shd w:val="clear" w:color="auto" w:fill="FFFFFF"/>
            <w:vAlign w:val="center"/>
          </w:tcPr>
          <w:p w14:paraId="27E70A94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TUG (s)</w:t>
            </w:r>
          </w:p>
          <w:p w14:paraId="658D9645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(n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=</w:t>
            </w:r>
            <w:r>
              <w:rPr>
                <w:rFonts w:ascii="Arial" w:hAnsi="Arial" w:cs="Arial"/>
                <w:bCs/>
              </w:rPr>
              <w:t xml:space="preserve"> </w:t>
            </w:r>
            <w:r w:rsidRPr="00F22FB0">
              <w:rPr>
                <w:rFonts w:ascii="Arial" w:hAnsi="Arial" w:cs="Arial"/>
                <w:bCs/>
              </w:rPr>
              <w:t>4)</w:t>
            </w:r>
          </w:p>
        </w:tc>
        <w:tc>
          <w:tcPr>
            <w:tcW w:w="1219" w:type="dxa"/>
            <w:shd w:val="clear" w:color="auto" w:fill="FFFFFF"/>
            <w:vAlign w:val="center"/>
          </w:tcPr>
          <w:p w14:paraId="03CAD25A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12.4± 2.4</w:t>
            </w:r>
          </w:p>
        </w:tc>
        <w:tc>
          <w:tcPr>
            <w:tcW w:w="1900" w:type="dxa"/>
            <w:shd w:val="clear" w:color="auto" w:fill="FFFFFF"/>
            <w:vAlign w:val="center"/>
          </w:tcPr>
          <w:p w14:paraId="16F46EC9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13.2 (12.0-13.5)</w:t>
            </w:r>
          </w:p>
        </w:tc>
        <w:tc>
          <w:tcPr>
            <w:tcW w:w="1268" w:type="dxa"/>
            <w:shd w:val="clear" w:color="auto" w:fill="FFFFFF"/>
            <w:vAlign w:val="center"/>
          </w:tcPr>
          <w:p w14:paraId="3A4ACF50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9.8± 3.3</w:t>
            </w:r>
          </w:p>
        </w:tc>
        <w:tc>
          <w:tcPr>
            <w:tcW w:w="1617" w:type="dxa"/>
            <w:gridSpan w:val="2"/>
            <w:shd w:val="clear" w:color="auto" w:fill="FFFFFF"/>
            <w:vAlign w:val="center"/>
          </w:tcPr>
          <w:p w14:paraId="6300160A" w14:textId="77777777" w:rsidR="00F113B6" w:rsidRPr="00F22FB0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F22FB0">
              <w:rPr>
                <w:rFonts w:ascii="Arial" w:hAnsi="Arial" w:cs="Arial"/>
                <w:bCs/>
              </w:rPr>
              <w:t>9.0 (7.5-11.3)</w:t>
            </w:r>
          </w:p>
        </w:tc>
        <w:tc>
          <w:tcPr>
            <w:tcW w:w="1024" w:type="dxa"/>
            <w:shd w:val="clear" w:color="auto" w:fill="FFFFFF"/>
            <w:vAlign w:val="center"/>
          </w:tcPr>
          <w:p w14:paraId="155A5FA4" w14:textId="77777777" w:rsidR="00F113B6" w:rsidRPr="00217D7E" w:rsidRDefault="00F113B6" w:rsidP="00C34352">
            <w:pPr>
              <w:spacing w:after="0" w:line="480" w:lineRule="auto"/>
              <w:jc w:val="both"/>
              <w:rPr>
                <w:rFonts w:ascii="Arial" w:hAnsi="Arial" w:cs="Arial"/>
                <w:bCs/>
              </w:rPr>
            </w:pPr>
            <w:r w:rsidRPr="00217D7E">
              <w:rPr>
                <w:rFonts w:ascii="Arial" w:hAnsi="Arial" w:cs="Arial"/>
                <w:bCs/>
              </w:rPr>
              <w:t>0.0</w:t>
            </w:r>
            <w:r>
              <w:rPr>
                <w:rFonts w:ascii="Arial" w:hAnsi="Arial" w:cs="Arial"/>
                <w:bCs/>
              </w:rPr>
              <w:t>39</w:t>
            </w:r>
          </w:p>
        </w:tc>
      </w:tr>
    </w:tbl>
    <w:p w14:paraId="6099A5F5" w14:textId="77777777" w:rsidR="00F113B6" w:rsidRPr="001D1474" w:rsidRDefault="00F113B6" w:rsidP="00F113B6">
      <w:pPr>
        <w:spacing w:after="0"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1D1474">
        <w:rPr>
          <w:rFonts w:ascii="Arial" w:hAnsi="Arial" w:cs="Arial"/>
          <w:sz w:val="20"/>
          <w:szCs w:val="20"/>
          <w:lang w:val="en-US"/>
        </w:rPr>
        <w:t>ABBREVIATIONS: GS</w:t>
      </w:r>
      <w:r>
        <w:rPr>
          <w:rFonts w:ascii="Arial" w:hAnsi="Arial" w:cs="Arial"/>
          <w:sz w:val="20"/>
          <w:szCs w:val="20"/>
          <w:lang w:val="en-US"/>
        </w:rPr>
        <w:t>:</w:t>
      </w:r>
      <w:r w:rsidRPr="001D1474">
        <w:rPr>
          <w:rFonts w:ascii="Arial" w:hAnsi="Arial" w:cs="Arial"/>
          <w:sz w:val="20"/>
          <w:szCs w:val="20"/>
          <w:lang w:val="en-US"/>
        </w:rPr>
        <w:t xml:space="preserve"> gait speed; HGS</w:t>
      </w:r>
      <w:r>
        <w:rPr>
          <w:rFonts w:ascii="Arial" w:hAnsi="Arial" w:cs="Arial"/>
          <w:sz w:val="20"/>
          <w:szCs w:val="20"/>
          <w:lang w:val="en-US"/>
        </w:rPr>
        <w:t>:</w:t>
      </w:r>
      <w:r w:rsidRPr="001D1474">
        <w:rPr>
          <w:rFonts w:ascii="Arial" w:hAnsi="Arial" w:cs="Arial"/>
          <w:sz w:val="20"/>
          <w:szCs w:val="20"/>
          <w:lang w:val="en-US"/>
        </w:rPr>
        <w:t xml:space="preserve"> handgrip strength; MSCs</w:t>
      </w:r>
      <w:r>
        <w:rPr>
          <w:rFonts w:ascii="Arial" w:hAnsi="Arial" w:cs="Arial"/>
          <w:sz w:val="20"/>
          <w:szCs w:val="20"/>
          <w:lang w:val="en-US"/>
        </w:rPr>
        <w:t xml:space="preserve">: </w:t>
      </w:r>
      <w:r w:rsidRPr="001D1474">
        <w:rPr>
          <w:rFonts w:ascii="Arial" w:hAnsi="Arial" w:cs="Arial"/>
          <w:sz w:val="20"/>
          <w:szCs w:val="20"/>
          <w:lang w:val="en-US"/>
        </w:rPr>
        <w:t xml:space="preserve">mesenchymal </w:t>
      </w:r>
      <w:r w:rsidRPr="001D1474">
        <w:rPr>
          <w:rFonts w:ascii="Arial" w:hAnsi="Arial" w:cs="Arial"/>
          <w:bCs/>
          <w:sz w:val="20"/>
          <w:szCs w:val="20"/>
          <w:lang w:val="en-US"/>
        </w:rPr>
        <w:t>stromal cells</w:t>
      </w:r>
      <w:r w:rsidRPr="001D1474">
        <w:rPr>
          <w:rFonts w:ascii="Arial" w:hAnsi="Arial" w:cs="Arial"/>
          <w:sz w:val="20"/>
          <w:szCs w:val="20"/>
          <w:lang w:val="en-US"/>
        </w:rPr>
        <w:t>; TUG</w:t>
      </w:r>
      <w:r>
        <w:rPr>
          <w:rFonts w:ascii="Arial" w:hAnsi="Arial" w:cs="Arial"/>
          <w:sz w:val="20"/>
          <w:szCs w:val="20"/>
          <w:lang w:val="en-US"/>
        </w:rPr>
        <w:t xml:space="preserve">: </w:t>
      </w:r>
      <w:r w:rsidRPr="001D1474">
        <w:rPr>
          <w:rFonts w:ascii="Arial" w:hAnsi="Arial" w:cs="Arial"/>
          <w:sz w:val="20"/>
          <w:szCs w:val="20"/>
          <w:lang w:val="en-US"/>
        </w:rPr>
        <w:t>timed up and go.</w:t>
      </w:r>
    </w:p>
    <w:p w14:paraId="01809F12" w14:textId="77777777" w:rsidR="00F113B6" w:rsidRPr="00F258FE" w:rsidRDefault="00F113B6" w:rsidP="00F113B6">
      <w:pPr>
        <w:spacing w:after="0" w:line="480" w:lineRule="auto"/>
        <w:jc w:val="both"/>
        <w:rPr>
          <w:rFonts w:ascii="Arial" w:hAnsi="Arial" w:cs="Arial"/>
          <w:sz w:val="20"/>
          <w:szCs w:val="20"/>
          <w:lang w:val="en-US"/>
        </w:rPr>
      </w:pPr>
      <w:r w:rsidRPr="001D1474">
        <w:rPr>
          <w:rFonts w:ascii="Arial" w:hAnsi="Arial" w:cs="Arial"/>
          <w:sz w:val="20"/>
          <w:szCs w:val="20"/>
          <w:lang w:val="en-US"/>
        </w:rPr>
        <w:t xml:space="preserve"> * There was no difference between the MSCs group and the placebo group when comparing the same period (</w:t>
      </w:r>
      <w:r>
        <w:rPr>
          <w:rFonts w:ascii="Arial" w:hAnsi="Arial" w:cs="Arial"/>
          <w:sz w:val="20"/>
          <w:szCs w:val="20"/>
          <w:lang w:val="en-US"/>
        </w:rPr>
        <w:t>two</w:t>
      </w:r>
      <w:r w:rsidRPr="001D1474">
        <w:rPr>
          <w:rFonts w:ascii="Arial" w:hAnsi="Arial" w:cs="Arial"/>
          <w:sz w:val="20"/>
          <w:szCs w:val="20"/>
          <w:lang w:val="en-US"/>
        </w:rPr>
        <w:t xml:space="preserve"> months) (p&gt;0.05). Only one patient in the MSCs group did not reach the score for </w:t>
      </w:r>
      <w:r>
        <w:rPr>
          <w:rFonts w:ascii="Arial" w:hAnsi="Arial" w:cs="Arial"/>
          <w:sz w:val="20"/>
          <w:szCs w:val="20"/>
          <w:lang w:val="en-US"/>
        </w:rPr>
        <w:t>GS</w:t>
      </w:r>
      <w:r w:rsidRPr="001D1474">
        <w:rPr>
          <w:rFonts w:ascii="Arial" w:hAnsi="Arial" w:cs="Arial"/>
          <w:sz w:val="20"/>
          <w:szCs w:val="20"/>
          <w:lang w:val="en-US"/>
        </w:rPr>
        <w:t xml:space="preserve"> and TUG in the 2-month evaluation and was removed from the analysis between groups</w:t>
      </w:r>
    </w:p>
    <w:p w14:paraId="3E631AB4" w14:textId="77777777" w:rsidR="00F113B6" w:rsidRDefault="00F113B6" w:rsidP="00F113B6">
      <w:pPr>
        <w:spacing w:after="0" w:line="480" w:lineRule="auto"/>
        <w:ind w:right="112"/>
        <w:jc w:val="both"/>
        <w:rPr>
          <w:rFonts w:ascii="Arial" w:hAnsi="Arial" w:cs="Arial"/>
          <w:bCs/>
          <w:sz w:val="20"/>
          <w:szCs w:val="20"/>
          <w:lang w:val="en-US"/>
        </w:rPr>
      </w:pPr>
      <w:r w:rsidRPr="00E55DC7">
        <w:rPr>
          <w:rFonts w:ascii="Arial" w:hAnsi="Arial" w:cs="Arial"/>
          <w:bCs/>
          <w:sz w:val="20"/>
          <w:szCs w:val="20"/>
          <w:lang w:val="en-US"/>
        </w:rPr>
        <w:t>** There was no difference between the MSCs group and the placebo group when comparing the same period (four months) (p&gt;0.05</w:t>
      </w:r>
      <w:r>
        <w:rPr>
          <w:rFonts w:ascii="Arial" w:hAnsi="Arial" w:cs="Arial"/>
          <w:bCs/>
          <w:sz w:val="20"/>
          <w:szCs w:val="20"/>
          <w:lang w:val="en-US"/>
        </w:rPr>
        <w:t>)</w:t>
      </w:r>
    </w:p>
    <w:p w14:paraId="7B0448D3" w14:textId="77777777" w:rsidR="00F113B6" w:rsidRPr="00E55DC7" w:rsidRDefault="00F113B6" w:rsidP="00F113B6">
      <w:pPr>
        <w:spacing w:after="0" w:line="480" w:lineRule="auto"/>
        <w:jc w:val="both"/>
        <w:rPr>
          <w:rFonts w:ascii="Arial" w:hAnsi="Arial" w:cs="Arial"/>
          <w:bCs/>
          <w:sz w:val="20"/>
          <w:szCs w:val="20"/>
          <w:lang w:val="en-US"/>
        </w:rPr>
      </w:pPr>
      <w:r w:rsidRPr="00E55DC7">
        <w:rPr>
          <w:rFonts w:ascii="Arial" w:hAnsi="Arial" w:cs="Arial"/>
          <w:bCs/>
          <w:sz w:val="20"/>
          <w:szCs w:val="20"/>
          <w:vertAlign w:val="superscript"/>
          <w:lang w:val="en-US"/>
        </w:rPr>
        <w:t>a</w:t>
      </w:r>
      <w:r w:rsidRPr="00E55DC7">
        <w:rPr>
          <w:rFonts w:ascii="Arial" w:hAnsi="Arial" w:cs="Arial"/>
          <w:bCs/>
          <w:sz w:val="20"/>
          <w:szCs w:val="20"/>
          <w:lang w:val="en-US"/>
        </w:rPr>
        <w:t xml:space="preserve"> Comparison of two and four months between the groups according to the nonparametric Wilcoxon test</w:t>
      </w:r>
      <w:r>
        <w:rPr>
          <w:rFonts w:ascii="Arial" w:hAnsi="Arial" w:cs="Arial"/>
          <w:bCs/>
          <w:sz w:val="20"/>
          <w:szCs w:val="20"/>
          <w:lang w:val="en-US"/>
        </w:rPr>
        <w:t>.</w:t>
      </w:r>
    </w:p>
    <w:p w14:paraId="674D70F6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3B6"/>
    <w:rsid w:val="002E281E"/>
    <w:rsid w:val="003201BB"/>
    <w:rsid w:val="004365E5"/>
    <w:rsid w:val="00865217"/>
    <w:rsid w:val="00F11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28A620"/>
  <w15:chartTrackingRefBased/>
  <w15:docId w15:val="{6AC9C192-B82C-4BA9-971A-0202182C2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3B6"/>
    <w:pPr>
      <w:spacing w:line="259" w:lineRule="auto"/>
    </w:pPr>
    <w:rPr>
      <w:sz w:val="22"/>
      <w:szCs w:val="22"/>
      <w:lang w:val="pt-BR"/>
    </w:rPr>
  </w:style>
  <w:style w:type="paragraph" w:styleId="Heading1">
    <w:name w:val="heading 1"/>
    <w:basedOn w:val="Normal"/>
    <w:next w:val="Normal"/>
    <w:link w:val="Heading1Char"/>
    <w:uiPriority w:val="9"/>
    <w:qFormat/>
    <w:rsid w:val="00F113B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13B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13B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13B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13B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13B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13B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13B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13B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113B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13B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13B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13B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13B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13B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13B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13B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13B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13B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113B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113B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113B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13B6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113B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113B6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113B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13B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13B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13B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187</Words>
  <Characters>1066</Characters>
  <Application>Microsoft Office Word</Application>
  <DocSecurity>0</DocSecurity>
  <Lines>8</Lines>
  <Paragraphs>2</Paragraphs>
  <ScaleCrop>false</ScaleCrop>
  <Company>Springer Nature</Company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2025-08-05T09:07:00Z</dcterms:created>
  <dcterms:modified xsi:type="dcterms:W3CDTF">2025-08-05T09:08:00Z</dcterms:modified>
</cp:coreProperties>
</file>