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F8B24" w14:textId="0FD67552" w:rsidR="006A563F" w:rsidRPr="00CA7DCF" w:rsidRDefault="006A563F" w:rsidP="006A563F">
      <w:pPr>
        <w:jc w:val="both"/>
        <w:rPr>
          <w:rFonts w:hint="eastAsia"/>
          <w:b/>
          <w:bCs/>
          <w:sz w:val="44"/>
          <w:szCs w:val="44"/>
        </w:rPr>
      </w:pPr>
      <w:r w:rsidRPr="546EFE73">
        <w:rPr>
          <w:b/>
          <w:bCs/>
          <w:sz w:val="36"/>
          <w:szCs w:val="36"/>
          <w:lang w:val="en-US"/>
        </w:rPr>
        <w:t>Supplementary material</w:t>
      </w:r>
    </w:p>
    <w:p w14:paraId="1511099C" w14:textId="274380CC" w:rsidR="005136DA" w:rsidRPr="00A67E56" w:rsidRDefault="005136DA" w:rsidP="546EFE73">
      <w:pPr>
        <w:jc w:val="both"/>
        <w:rPr>
          <w:rFonts w:hint="eastAsia"/>
          <w:b/>
          <w:bCs/>
          <w:sz w:val="32"/>
          <w:szCs w:val="32"/>
        </w:rPr>
      </w:pPr>
      <w:r w:rsidRPr="546EFE73">
        <w:rPr>
          <w:b/>
          <w:bCs/>
          <w:sz w:val="32"/>
          <w:szCs w:val="32"/>
        </w:rPr>
        <w:t>Mapping high-impact groups across dietary sustainability and nutrition</w:t>
      </w:r>
    </w:p>
    <w:p w14:paraId="21DD6A93" w14:textId="77777777" w:rsidR="00E40024" w:rsidRDefault="00E40024" w:rsidP="00050418">
      <w:pPr>
        <w:pStyle w:val="NoSpacing"/>
        <w:rPr>
          <w:sz w:val="20"/>
          <w:szCs w:val="20"/>
          <w:lang w:val="en-GB"/>
        </w:rPr>
      </w:pPr>
    </w:p>
    <w:sdt>
      <w:sdtPr>
        <w:rPr>
          <w:sz w:val="20"/>
          <w:szCs w:val="20"/>
          <w:lang w:val="en-GB"/>
        </w:rPr>
        <w:id w:val="666824798"/>
        <w:docPartObj>
          <w:docPartGallery w:val="Table of Contents"/>
          <w:docPartUnique/>
        </w:docPartObj>
      </w:sdtPr>
      <w:sdtEndPr>
        <w:rPr>
          <w:b/>
          <w:bCs/>
          <w:sz w:val="24"/>
          <w:szCs w:val="24"/>
        </w:rPr>
      </w:sdtEndPr>
      <w:sdtContent>
        <w:p w14:paraId="28211373" w14:textId="4B9B5A20" w:rsidR="00E6409C" w:rsidRPr="0020642A" w:rsidRDefault="00E6409C" w:rsidP="00050418">
          <w:pPr>
            <w:pStyle w:val="NoSpacing"/>
            <w:rPr>
              <w:rFonts w:hint="eastAsia"/>
              <w:b/>
              <w:sz w:val="16"/>
              <w:szCs w:val="16"/>
            </w:rPr>
          </w:pPr>
          <w:r w:rsidRPr="0020642A">
            <w:rPr>
              <w:sz w:val="16"/>
              <w:szCs w:val="16"/>
            </w:rPr>
            <w:t>Contents</w:t>
          </w:r>
        </w:p>
        <w:p w14:paraId="4F3450EF" w14:textId="5A388657" w:rsidR="00C812E5" w:rsidRPr="00C812E5" w:rsidRDefault="00E6409C">
          <w:pPr>
            <w:pStyle w:val="TOC1"/>
            <w:tabs>
              <w:tab w:val="right" w:leader="dot" w:pos="9016"/>
            </w:tabs>
            <w:rPr>
              <w:rFonts w:hint="eastAsia"/>
              <w:noProof/>
              <w:sz w:val="20"/>
              <w:szCs w:val="20"/>
            </w:rPr>
          </w:pPr>
          <w:r w:rsidRPr="00C812E5">
            <w:rPr>
              <w:sz w:val="8"/>
              <w:szCs w:val="8"/>
            </w:rPr>
            <w:fldChar w:fldCharType="begin"/>
          </w:r>
          <w:r w:rsidRPr="00C812E5">
            <w:rPr>
              <w:sz w:val="8"/>
              <w:szCs w:val="8"/>
            </w:rPr>
            <w:instrText xml:space="preserve"> TOC \o "1-3" \h \z \u </w:instrText>
          </w:r>
          <w:r w:rsidRPr="00C812E5">
            <w:rPr>
              <w:sz w:val="8"/>
              <w:szCs w:val="8"/>
            </w:rPr>
            <w:fldChar w:fldCharType="separate"/>
          </w:r>
          <w:hyperlink w:anchor="_Toc204093427" w:history="1">
            <w:r w:rsidR="00C812E5" w:rsidRPr="00C812E5">
              <w:rPr>
                <w:rStyle w:val="Hyperlink"/>
                <w:b/>
                <w:bCs/>
                <w:noProof/>
                <w:sz w:val="20"/>
                <w:szCs w:val="20"/>
              </w:rPr>
              <w:t>1.1 MATILDA datasets</w:t>
            </w:r>
            <w:r w:rsidR="00C812E5" w:rsidRPr="00C812E5">
              <w:rPr>
                <w:noProof/>
                <w:webHidden/>
                <w:sz w:val="20"/>
                <w:szCs w:val="20"/>
              </w:rPr>
              <w:tab/>
            </w:r>
            <w:r w:rsidR="00C812E5" w:rsidRPr="00C812E5">
              <w:rPr>
                <w:noProof/>
                <w:webHidden/>
                <w:sz w:val="20"/>
                <w:szCs w:val="20"/>
              </w:rPr>
              <w:fldChar w:fldCharType="begin"/>
            </w:r>
            <w:r w:rsidR="00C812E5" w:rsidRPr="00C812E5">
              <w:rPr>
                <w:noProof/>
                <w:webHidden/>
                <w:sz w:val="20"/>
                <w:szCs w:val="20"/>
              </w:rPr>
              <w:instrText xml:space="preserve"> PAGEREF _Toc204093427 \h </w:instrText>
            </w:r>
            <w:r w:rsidR="00C812E5" w:rsidRPr="00C812E5">
              <w:rPr>
                <w:noProof/>
                <w:webHidden/>
                <w:sz w:val="20"/>
                <w:szCs w:val="20"/>
              </w:rPr>
            </w:r>
            <w:r w:rsidR="00C812E5" w:rsidRPr="00C812E5">
              <w:rPr>
                <w:noProof/>
                <w:webHidden/>
                <w:sz w:val="20"/>
                <w:szCs w:val="20"/>
              </w:rPr>
              <w:fldChar w:fldCharType="separate"/>
            </w:r>
            <w:r w:rsidR="00C812E5" w:rsidRPr="00C812E5">
              <w:rPr>
                <w:noProof/>
                <w:webHidden/>
                <w:sz w:val="20"/>
                <w:szCs w:val="20"/>
              </w:rPr>
              <w:t>2</w:t>
            </w:r>
            <w:r w:rsidR="00C812E5" w:rsidRPr="00C812E5">
              <w:rPr>
                <w:noProof/>
                <w:webHidden/>
                <w:sz w:val="20"/>
                <w:szCs w:val="20"/>
              </w:rPr>
              <w:fldChar w:fldCharType="end"/>
            </w:r>
          </w:hyperlink>
        </w:p>
        <w:p w14:paraId="2511CC20" w14:textId="56A352CB" w:rsidR="00C812E5" w:rsidRPr="00C812E5" w:rsidRDefault="00C812E5">
          <w:pPr>
            <w:pStyle w:val="TOC1"/>
            <w:tabs>
              <w:tab w:val="right" w:leader="dot" w:pos="9016"/>
            </w:tabs>
            <w:rPr>
              <w:rFonts w:hint="eastAsia"/>
              <w:noProof/>
              <w:sz w:val="20"/>
              <w:szCs w:val="20"/>
            </w:rPr>
          </w:pPr>
          <w:hyperlink w:anchor="_Toc204093428" w:history="1">
            <w:r w:rsidRPr="00C812E5">
              <w:rPr>
                <w:rStyle w:val="Hyperlink"/>
                <w:b/>
                <w:bCs/>
                <w:noProof/>
                <w:sz w:val="20"/>
                <w:szCs w:val="20"/>
              </w:rPr>
              <w:t>1.12 The Food and Agriculture Biomass Input–Output Model (FABIO)</w:t>
            </w:r>
            <w:r w:rsidRPr="00C812E5">
              <w:rPr>
                <w:noProof/>
                <w:webHidden/>
                <w:sz w:val="20"/>
                <w:szCs w:val="20"/>
              </w:rPr>
              <w:tab/>
            </w:r>
            <w:r w:rsidRPr="00C812E5">
              <w:rPr>
                <w:noProof/>
                <w:webHidden/>
                <w:sz w:val="20"/>
                <w:szCs w:val="20"/>
              </w:rPr>
              <w:fldChar w:fldCharType="begin"/>
            </w:r>
            <w:r w:rsidRPr="00C812E5">
              <w:rPr>
                <w:noProof/>
                <w:webHidden/>
                <w:sz w:val="20"/>
                <w:szCs w:val="20"/>
              </w:rPr>
              <w:instrText xml:space="preserve"> PAGEREF _Toc204093428 \h </w:instrText>
            </w:r>
            <w:r w:rsidRPr="00C812E5">
              <w:rPr>
                <w:noProof/>
                <w:webHidden/>
                <w:sz w:val="20"/>
                <w:szCs w:val="20"/>
              </w:rPr>
            </w:r>
            <w:r w:rsidRPr="00C812E5">
              <w:rPr>
                <w:noProof/>
                <w:webHidden/>
                <w:sz w:val="20"/>
                <w:szCs w:val="20"/>
              </w:rPr>
              <w:fldChar w:fldCharType="separate"/>
            </w:r>
            <w:r w:rsidRPr="00C812E5">
              <w:rPr>
                <w:noProof/>
                <w:webHidden/>
                <w:sz w:val="20"/>
                <w:szCs w:val="20"/>
              </w:rPr>
              <w:t>3</w:t>
            </w:r>
            <w:r w:rsidRPr="00C812E5">
              <w:rPr>
                <w:noProof/>
                <w:webHidden/>
                <w:sz w:val="20"/>
                <w:szCs w:val="20"/>
              </w:rPr>
              <w:fldChar w:fldCharType="end"/>
            </w:r>
          </w:hyperlink>
        </w:p>
        <w:p w14:paraId="36D09F4C" w14:textId="2D6044DB" w:rsidR="00C812E5" w:rsidRPr="00C812E5" w:rsidRDefault="00C812E5">
          <w:pPr>
            <w:pStyle w:val="TOC1"/>
            <w:tabs>
              <w:tab w:val="right" w:leader="dot" w:pos="9016"/>
            </w:tabs>
            <w:rPr>
              <w:rFonts w:hint="eastAsia"/>
              <w:noProof/>
              <w:sz w:val="20"/>
              <w:szCs w:val="20"/>
            </w:rPr>
          </w:pPr>
          <w:hyperlink w:anchor="_Toc204093429" w:history="1">
            <w:r w:rsidRPr="00C812E5">
              <w:rPr>
                <w:rStyle w:val="Hyperlink"/>
                <w:b/>
                <w:bCs/>
                <w:noProof/>
                <w:sz w:val="20"/>
                <w:szCs w:val="20"/>
              </w:rPr>
              <w:t>1.13 Alternative Healthy Eating Index (AHEI)</w:t>
            </w:r>
            <w:r w:rsidRPr="00C812E5">
              <w:rPr>
                <w:noProof/>
                <w:webHidden/>
                <w:sz w:val="20"/>
                <w:szCs w:val="20"/>
              </w:rPr>
              <w:tab/>
            </w:r>
            <w:r w:rsidRPr="00C812E5">
              <w:rPr>
                <w:noProof/>
                <w:webHidden/>
                <w:sz w:val="20"/>
                <w:szCs w:val="20"/>
              </w:rPr>
              <w:fldChar w:fldCharType="begin"/>
            </w:r>
            <w:r w:rsidRPr="00C812E5">
              <w:rPr>
                <w:noProof/>
                <w:webHidden/>
                <w:sz w:val="20"/>
                <w:szCs w:val="20"/>
              </w:rPr>
              <w:instrText xml:space="preserve"> PAGEREF _Toc204093429 \h </w:instrText>
            </w:r>
            <w:r w:rsidRPr="00C812E5">
              <w:rPr>
                <w:noProof/>
                <w:webHidden/>
                <w:sz w:val="20"/>
                <w:szCs w:val="20"/>
              </w:rPr>
            </w:r>
            <w:r w:rsidRPr="00C812E5">
              <w:rPr>
                <w:noProof/>
                <w:webHidden/>
                <w:sz w:val="20"/>
                <w:szCs w:val="20"/>
              </w:rPr>
              <w:fldChar w:fldCharType="separate"/>
            </w:r>
            <w:r w:rsidRPr="00C812E5">
              <w:rPr>
                <w:noProof/>
                <w:webHidden/>
                <w:sz w:val="20"/>
                <w:szCs w:val="20"/>
              </w:rPr>
              <w:t>3</w:t>
            </w:r>
            <w:r w:rsidRPr="00C812E5">
              <w:rPr>
                <w:noProof/>
                <w:webHidden/>
                <w:sz w:val="20"/>
                <w:szCs w:val="20"/>
              </w:rPr>
              <w:fldChar w:fldCharType="end"/>
            </w:r>
          </w:hyperlink>
        </w:p>
        <w:p w14:paraId="7C7BFEDF" w14:textId="2F3AF09C" w:rsidR="00C812E5" w:rsidRPr="00C812E5" w:rsidRDefault="00C812E5">
          <w:pPr>
            <w:pStyle w:val="TOC1"/>
            <w:tabs>
              <w:tab w:val="right" w:leader="dot" w:pos="9016"/>
            </w:tabs>
            <w:rPr>
              <w:rFonts w:hint="eastAsia"/>
              <w:noProof/>
              <w:sz w:val="20"/>
              <w:szCs w:val="20"/>
            </w:rPr>
          </w:pPr>
          <w:hyperlink w:anchor="_Toc204093430" w:history="1">
            <w:r w:rsidRPr="00C812E5">
              <w:rPr>
                <w:rStyle w:val="Hyperlink"/>
                <w:b/>
                <w:bCs/>
                <w:noProof/>
                <w:sz w:val="20"/>
                <w:szCs w:val="20"/>
              </w:rPr>
              <w:t>1.14 MATILDA modelling approach</w:t>
            </w:r>
            <w:r w:rsidRPr="00C812E5">
              <w:rPr>
                <w:noProof/>
                <w:webHidden/>
                <w:sz w:val="20"/>
                <w:szCs w:val="20"/>
              </w:rPr>
              <w:tab/>
            </w:r>
            <w:r w:rsidRPr="00C812E5">
              <w:rPr>
                <w:noProof/>
                <w:webHidden/>
                <w:sz w:val="20"/>
                <w:szCs w:val="20"/>
              </w:rPr>
              <w:fldChar w:fldCharType="begin"/>
            </w:r>
            <w:r w:rsidRPr="00C812E5">
              <w:rPr>
                <w:noProof/>
                <w:webHidden/>
                <w:sz w:val="20"/>
                <w:szCs w:val="20"/>
              </w:rPr>
              <w:instrText xml:space="preserve"> PAGEREF _Toc204093430 \h </w:instrText>
            </w:r>
            <w:r w:rsidRPr="00C812E5">
              <w:rPr>
                <w:noProof/>
                <w:webHidden/>
                <w:sz w:val="20"/>
                <w:szCs w:val="20"/>
              </w:rPr>
            </w:r>
            <w:r w:rsidRPr="00C812E5">
              <w:rPr>
                <w:noProof/>
                <w:webHidden/>
                <w:sz w:val="20"/>
                <w:szCs w:val="20"/>
              </w:rPr>
              <w:fldChar w:fldCharType="separate"/>
            </w:r>
            <w:r w:rsidRPr="00C812E5">
              <w:rPr>
                <w:noProof/>
                <w:webHidden/>
                <w:sz w:val="20"/>
                <w:szCs w:val="20"/>
              </w:rPr>
              <w:t>4</w:t>
            </w:r>
            <w:r w:rsidRPr="00C812E5">
              <w:rPr>
                <w:noProof/>
                <w:webHidden/>
                <w:sz w:val="20"/>
                <w:szCs w:val="20"/>
              </w:rPr>
              <w:fldChar w:fldCharType="end"/>
            </w:r>
          </w:hyperlink>
        </w:p>
        <w:p w14:paraId="3BEDB02A" w14:textId="7E790AFC" w:rsidR="00C812E5" w:rsidRPr="00C812E5" w:rsidRDefault="00C812E5">
          <w:pPr>
            <w:pStyle w:val="TOC1"/>
            <w:tabs>
              <w:tab w:val="right" w:leader="dot" w:pos="9016"/>
            </w:tabs>
            <w:rPr>
              <w:rFonts w:hint="eastAsia"/>
              <w:noProof/>
              <w:sz w:val="20"/>
              <w:szCs w:val="20"/>
            </w:rPr>
          </w:pPr>
          <w:hyperlink w:anchor="_Toc204093431" w:history="1">
            <w:r w:rsidRPr="00C812E5">
              <w:rPr>
                <w:rStyle w:val="Hyperlink"/>
                <w:b/>
                <w:bCs/>
                <w:noProof/>
                <w:sz w:val="20"/>
                <w:szCs w:val="20"/>
              </w:rPr>
              <w:t>1.15 Sensitivity analysis</w:t>
            </w:r>
            <w:r w:rsidRPr="00C812E5">
              <w:rPr>
                <w:noProof/>
                <w:webHidden/>
                <w:sz w:val="20"/>
                <w:szCs w:val="20"/>
              </w:rPr>
              <w:tab/>
            </w:r>
            <w:r w:rsidRPr="00C812E5">
              <w:rPr>
                <w:noProof/>
                <w:webHidden/>
                <w:sz w:val="20"/>
                <w:szCs w:val="20"/>
              </w:rPr>
              <w:fldChar w:fldCharType="begin"/>
            </w:r>
            <w:r w:rsidRPr="00C812E5">
              <w:rPr>
                <w:noProof/>
                <w:webHidden/>
                <w:sz w:val="20"/>
                <w:szCs w:val="20"/>
              </w:rPr>
              <w:instrText xml:space="preserve"> PAGEREF _Toc204093431 \h </w:instrText>
            </w:r>
            <w:r w:rsidRPr="00C812E5">
              <w:rPr>
                <w:noProof/>
                <w:webHidden/>
                <w:sz w:val="20"/>
                <w:szCs w:val="20"/>
              </w:rPr>
            </w:r>
            <w:r w:rsidRPr="00C812E5">
              <w:rPr>
                <w:noProof/>
                <w:webHidden/>
                <w:sz w:val="20"/>
                <w:szCs w:val="20"/>
              </w:rPr>
              <w:fldChar w:fldCharType="separate"/>
            </w:r>
            <w:r w:rsidRPr="00C812E5">
              <w:rPr>
                <w:noProof/>
                <w:webHidden/>
                <w:sz w:val="20"/>
                <w:szCs w:val="20"/>
              </w:rPr>
              <w:t>7</w:t>
            </w:r>
            <w:r w:rsidRPr="00C812E5">
              <w:rPr>
                <w:noProof/>
                <w:webHidden/>
                <w:sz w:val="20"/>
                <w:szCs w:val="20"/>
              </w:rPr>
              <w:fldChar w:fldCharType="end"/>
            </w:r>
          </w:hyperlink>
        </w:p>
        <w:p w14:paraId="288C1E8A" w14:textId="252B1D19" w:rsidR="00C812E5" w:rsidRPr="00C812E5" w:rsidRDefault="00C812E5">
          <w:pPr>
            <w:pStyle w:val="TOC1"/>
            <w:tabs>
              <w:tab w:val="right" w:leader="dot" w:pos="9016"/>
            </w:tabs>
            <w:rPr>
              <w:rFonts w:hint="eastAsia"/>
              <w:noProof/>
              <w:sz w:val="20"/>
              <w:szCs w:val="20"/>
            </w:rPr>
          </w:pPr>
          <w:hyperlink w:anchor="_Toc204093432" w:history="1">
            <w:r w:rsidRPr="00C812E5">
              <w:rPr>
                <w:rStyle w:val="Hyperlink"/>
                <w:b/>
                <w:bCs/>
                <w:noProof/>
                <w:sz w:val="20"/>
                <w:szCs w:val="20"/>
              </w:rPr>
              <w:t>1.2 Multilevel regression model</w:t>
            </w:r>
            <w:r w:rsidRPr="00C812E5">
              <w:rPr>
                <w:noProof/>
                <w:webHidden/>
                <w:sz w:val="20"/>
                <w:szCs w:val="20"/>
              </w:rPr>
              <w:tab/>
            </w:r>
            <w:r w:rsidRPr="00C812E5">
              <w:rPr>
                <w:noProof/>
                <w:webHidden/>
                <w:sz w:val="20"/>
                <w:szCs w:val="20"/>
              </w:rPr>
              <w:fldChar w:fldCharType="begin"/>
            </w:r>
            <w:r w:rsidRPr="00C812E5">
              <w:rPr>
                <w:noProof/>
                <w:webHidden/>
                <w:sz w:val="20"/>
                <w:szCs w:val="20"/>
              </w:rPr>
              <w:instrText xml:space="preserve"> PAGEREF _Toc204093432 \h </w:instrText>
            </w:r>
            <w:r w:rsidRPr="00C812E5">
              <w:rPr>
                <w:noProof/>
                <w:webHidden/>
                <w:sz w:val="20"/>
                <w:szCs w:val="20"/>
              </w:rPr>
            </w:r>
            <w:r w:rsidRPr="00C812E5">
              <w:rPr>
                <w:noProof/>
                <w:webHidden/>
                <w:sz w:val="20"/>
                <w:szCs w:val="20"/>
              </w:rPr>
              <w:fldChar w:fldCharType="separate"/>
            </w:r>
            <w:r w:rsidRPr="00C812E5">
              <w:rPr>
                <w:noProof/>
                <w:webHidden/>
                <w:sz w:val="20"/>
                <w:szCs w:val="20"/>
              </w:rPr>
              <w:t>10</w:t>
            </w:r>
            <w:r w:rsidRPr="00C812E5">
              <w:rPr>
                <w:noProof/>
                <w:webHidden/>
                <w:sz w:val="20"/>
                <w:szCs w:val="20"/>
              </w:rPr>
              <w:fldChar w:fldCharType="end"/>
            </w:r>
          </w:hyperlink>
        </w:p>
        <w:p w14:paraId="227C6176" w14:textId="0BFED870" w:rsidR="00C812E5" w:rsidRPr="00C812E5" w:rsidRDefault="00C812E5">
          <w:pPr>
            <w:pStyle w:val="TOC1"/>
            <w:tabs>
              <w:tab w:val="right" w:leader="dot" w:pos="9016"/>
            </w:tabs>
            <w:rPr>
              <w:rFonts w:hint="eastAsia"/>
              <w:noProof/>
              <w:sz w:val="20"/>
              <w:szCs w:val="20"/>
            </w:rPr>
          </w:pPr>
          <w:hyperlink w:anchor="_Toc204093433" w:history="1">
            <w:r w:rsidRPr="00C812E5">
              <w:rPr>
                <w:rStyle w:val="Hyperlink"/>
                <w:b/>
                <w:bCs/>
                <w:noProof/>
                <w:sz w:val="20"/>
                <w:szCs w:val="20"/>
              </w:rPr>
              <w:t>Supplementary Table 1 – Environmental indicators integrated into FABIO for diet-related footprinting</w:t>
            </w:r>
            <w:r w:rsidRPr="00C812E5">
              <w:rPr>
                <w:noProof/>
                <w:webHidden/>
                <w:sz w:val="20"/>
                <w:szCs w:val="20"/>
              </w:rPr>
              <w:tab/>
            </w:r>
            <w:r w:rsidRPr="00C812E5">
              <w:rPr>
                <w:noProof/>
                <w:webHidden/>
                <w:sz w:val="20"/>
                <w:szCs w:val="20"/>
              </w:rPr>
              <w:fldChar w:fldCharType="begin"/>
            </w:r>
            <w:r w:rsidRPr="00C812E5">
              <w:rPr>
                <w:noProof/>
                <w:webHidden/>
                <w:sz w:val="20"/>
                <w:szCs w:val="20"/>
              </w:rPr>
              <w:instrText xml:space="preserve"> PAGEREF _Toc204093433 \h </w:instrText>
            </w:r>
            <w:r w:rsidRPr="00C812E5">
              <w:rPr>
                <w:noProof/>
                <w:webHidden/>
                <w:sz w:val="20"/>
                <w:szCs w:val="20"/>
              </w:rPr>
            </w:r>
            <w:r w:rsidRPr="00C812E5">
              <w:rPr>
                <w:noProof/>
                <w:webHidden/>
                <w:sz w:val="20"/>
                <w:szCs w:val="20"/>
              </w:rPr>
              <w:fldChar w:fldCharType="separate"/>
            </w:r>
            <w:r w:rsidRPr="00C812E5">
              <w:rPr>
                <w:noProof/>
                <w:webHidden/>
                <w:sz w:val="20"/>
                <w:szCs w:val="20"/>
              </w:rPr>
              <w:t>13</w:t>
            </w:r>
            <w:r w:rsidRPr="00C812E5">
              <w:rPr>
                <w:noProof/>
                <w:webHidden/>
                <w:sz w:val="20"/>
                <w:szCs w:val="20"/>
              </w:rPr>
              <w:fldChar w:fldCharType="end"/>
            </w:r>
          </w:hyperlink>
        </w:p>
        <w:p w14:paraId="18B3B0BB" w14:textId="0DA13959" w:rsidR="00C812E5" w:rsidRPr="00C812E5" w:rsidRDefault="00C812E5">
          <w:pPr>
            <w:pStyle w:val="TOC1"/>
            <w:tabs>
              <w:tab w:val="right" w:leader="dot" w:pos="9016"/>
            </w:tabs>
            <w:rPr>
              <w:rFonts w:hint="eastAsia"/>
              <w:noProof/>
              <w:sz w:val="20"/>
              <w:szCs w:val="20"/>
            </w:rPr>
          </w:pPr>
          <w:hyperlink w:anchor="_Toc204093434" w:history="1">
            <w:r w:rsidRPr="00C812E5">
              <w:rPr>
                <w:rStyle w:val="Hyperlink"/>
                <w:b/>
                <w:bCs/>
                <w:noProof/>
                <w:sz w:val="20"/>
                <w:szCs w:val="20"/>
                <w:lang w:val="it-IT"/>
              </w:rPr>
              <w:t>Supplementary Table 2. Scoring thresholds for AHEI components</w:t>
            </w:r>
            <w:r w:rsidRPr="00C812E5">
              <w:rPr>
                <w:noProof/>
                <w:webHidden/>
                <w:sz w:val="20"/>
                <w:szCs w:val="20"/>
              </w:rPr>
              <w:tab/>
            </w:r>
            <w:r w:rsidRPr="00C812E5">
              <w:rPr>
                <w:noProof/>
                <w:webHidden/>
                <w:sz w:val="20"/>
                <w:szCs w:val="20"/>
              </w:rPr>
              <w:fldChar w:fldCharType="begin"/>
            </w:r>
            <w:r w:rsidRPr="00C812E5">
              <w:rPr>
                <w:noProof/>
                <w:webHidden/>
                <w:sz w:val="20"/>
                <w:szCs w:val="20"/>
              </w:rPr>
              <w:instrText xml:space="preserve"> PAGEREF _Toc204093434 \h </w:instrText>
            </w:r>
            <w:r w:rsidRPr="00C812E5">
              <w:rPr>
                <w:noProof/>
                <w:webHidden/>
                <w:sz w:val="20"/>
                <w:szCs w:val="20"/>
              </w:rPr>
            </w:r>
            <w:r w:rsidRPr="00C812E5">
              <w:rPr>
                <w:noProof/>
                <w:webHidden/>
                <w:sz w:val="20"/>
                <w:szCs w:val="20"/>
              </w:rPr>
              <w:fldChar w:fldCharType="separate"/>
            </w:r>
            <w:r w:rsidRPr="00C812E5">
              <w:rPr>
                <w:noProof/>
                <w:webHidden/>
                <w:sz w:val="20"/>
                <w:szCs w:val="20"/>
              </w:rPr>
              <w:t>13</w:t>
            </w:r>
            <w:r w:rsidRPr="00C812E5">
              <w:rPr>
                <w:noProof/>
                <w:webHidden/>
                <w:sz w:val="20"/>
                <w:szCs w:val="20"/>
              </w:rPr>
              <w:fldChar w:fldCharType="end"/>
            </w:r>
          </w:hyperlink>
        </w:p>
        <w:p w14:paraId="408FA6A3" w14:textId="15B57970" w:rsidR="00C812E5" w:rsidRPr="00C812E5" w:rsidRDefault="00C812E5">
          <w:pPr>
            <w:pStyle w:val="TOC1"/>
            <w:tabs>
              <w:tab w:val="right" w:leader="dot" w:pos="9016"/>
            </w:tabs>
            <w:rPr>
              <w:rFonts w:hint="eastAsia"/>
              <w:noProof/>
              <w:sz w:val="20"/>
              <w:szCs w:val="20"/>
            </w:rPr>
          </w:pPr>
          <w:hyperlink w:anchor="_Toc204093435" w:history="1">
            <w:r w:rsidRPr="00C812E5">
              <w:rPr>
                <w:rStyle w:val="Hyperlink"/>
                <w:b/>
                <w:bCs/>
                <w:noProof/>
                <w:sz w:val="20"/>
                <w:szCs w:val="20"/>
              </w:rPr>
              <w:t>Supplementary Table 3. Mapping of food categories between FABIO and GDD classifications</w:t>
            </w:r>
            <w:r w:rsidRPr="00C812E5">
              <w:rPr>
                <w:noProof/>
                <w:webHidden/>
                <w:sz w:val="20"/>
                <w:szCs w:val="20"/>
              </w:rPr>
              <w:tab/>
            </w:r>
            <w:r w:rsidRPr="00C812E5">
              <w:rPr>
                <w:noProof/>
                <w:webHidden/>
                <w:sz w:val="20"/>
                <w:szCs w:val="20"/>
              </w:rPr>
              <w:fldChar w:fldCharType="begin"/>
            </w:r>
            <w:r w:rsidRPr="00C812E5">
              <w:rPr>
                <w:noProof/>
                <w:webHidden/>
                <w:sz w:val="20"/>
                <w:szCs w:val="20"/>
              </w:rPr>
              <w:instrText xml:space="preserve"> PAGEREF _Toc204093435 \h </w:instrText>
            </w:r>
            <w:r w:rsidRPr="00C812E5">
              <w:rPr>
                <w:noProof/>
                <w:webHidden/>
                <w:sz w:val="20"/>
                <w:szCs w:val="20"/>
              </w:rPr>
            </w:r>
            <w:r w:rsidRPr="00C812E5">
              <w:rPr>
                <w:noProof/>
                <w:webHidden/>
                <w:sz w:val="20"/>
                <w:szCs w:val="20"/>
              </w:rPr>
              <w:fldChar w:fldCharType="separate"/>
            </w:r>
            <w:r w:rsidRPr="00C812E5">
              <w:rPr>
                <w:noProof/>
                <w:webHidden/>
                <w:sz w:val="20"/>
                <w:szCs w:val="20"/>
              </w:rPr>
              <w:t>14</w:t>
            </w:r>
            <w:r w:rsidRPr="00C812E5">
              <w:rPr>
                <w:noProof/>
                <w:webHidden/>
                <w:sz w:val="20"/>
                <w:szCs w:val="20"/>
              </w:rPr>
              <w:fldChar w:fldCharType="end"/>
            </w:r>
          </w:hyperlink>
        </w:p>
        <w:p w14:paraId="61F8979A" w14:textId="25328534" w:rsidR="00C812E5" w:rsidRPr="00C812E5" w:rsidRDefault="00C812E5">
          <w:pPr>
            <w:pStyle w:val="TOC1"/>
            <w:tabs>
              <w:tab w:val="right" w:leader="dot" w:pos="9016"/>
            </w:tabs>
            <w:rPr>
              <w:rFonts w:hint="eastAsia"/>
              <w:noProof/>
              <w:sz w:val="20"/>
              <w:szCs w:val="20"/>
            </w:rPr>
          </w:pPr>
          <w:hyperlink w:anchor="_Toc204093436" w:history="1">
            <w:r w:rsidRPr="00C812E5">
              <w:rPr>
                <w:rStyle w:val="Hyperlink"/>
                <w:b/>
                <w:bCs/>
                <w:noProof/>
                <w:sz w:val="20"/>
                <w:szCs w:val="20"/>
              </w:rPr>
              <w:t>Supplementary Table 4. Diet-related environmental impacts (logarithmic transformation) as related to the AHEI-score in Multilevel regression models</w:t>
            </w:r>
            <w:r w:rsidRPr="00C812E5">
              <w:rPr>
                <w:rStyle w:val="Hyperlink"/>
                <w:b/>
                <w:bCs/>
                <w:noProof/>
                <w:sz w:val="20"/>
                <w:szCs w:val="20"/>
                <w:vertAlign w:val="superscript"/>
              </w:rPr>
              <w:t>†</w:t>
            </w:r>
            <w:r w:rsidRPr="00C812E5">
              <w:rPr>
                <w:noProof/>
                <w:webHidden/>
                <w:sz w:val="20"/>
                <w:szCs w:val="20"/>
              </w:rPr>
              <w:tab/>
            </w:r>
            <w:r w:rsidRPr="00C812E5">
              <w:rPr>
                <w:noProof/>
                <w:webHidden/>
                <w:sz w:val="20"/>
                <w:szCs w:val="20"/>
              </w:rPr>
              <w:fldChar w:fldCharType="begin"/>
            </w:r>
            <w:r w:rsidRPr="00C812E5">
              <w:rPr>
                <w:noProof/>
                <w:webHidden/>
                <w:sz w:val="20"/>
                <w:szCs w:val="20"/>
              </w:rPr>
              <w:instrText xml:space="preserve"> PAGEREF _Toc204093436 \h </w:instrText>
            </w:r>
            <w:r w:rsidRPr="00C812E5">
              <w:rPr>
                <w:noProof/>
                <w:webHidden/>
                <w:sz w:val="20"/>
                <w:szCs w:val="20"/>
              </w:rPr>
            </w:r>
            <w:r w:rsidRPr="00C812E5">
              <w:rPr>
                <w:noProof/>
                <w:webHidden/>
                <w:sz w:val="20"/>
                <w:szCs w:val="20"/>
              </w:rPr>
              <w:fldChar w:fldCharType="separate"/>
            </w:r>
            <w:r w:rsidRPr="00C812E5">
              <w:rPr>
                <w:noProof/>
                <w:webHidden/>
                <w:sz w:val="20"/>
                <w:szCs w:val="20"/>
              </w:rPr>
              <w:t>15</w:t>
            </w:r>
            <w:r w:rsidRPr="00C812E5">
              <w:rPr>
                <w:noProof/>
                <w:webHidden/>
                <w:sz w:val="20"/>
                <w:szCs w:val="20"/>
              </w:rPr>
              <w:fldChar w:fldCharType="end"/>
            </w:r>
          </w:hyperlink>
        </w:p>
        <w:p w14:paraId="18DCC75D" w14:textId="3AE4FAC0" w:rsidR="00C812E5" w:rsidRPr="00C812E5" w:rsidRDefault="00C812E5">
          <w:pPr>
            <w:pStyle w:val="TOC1"/>
            <w:tabs>
              <w:tab w:val="right" w:leader="dot" w:pos="9016"/>
            </w:tabs>
            <w:rPr>
              <w:rFonts w:hint="eastAsia"/>
              <w:noProof/>
              <w:sz w:val="20"/>
              <w:szCs w:val="20"/>
            </w:rPr>
          </w:pPr>
          <w:hyperlink w:anchor="_Toc204093437" w:history="1">
            <w:r w:rsidRPr="00C812E5">
              <w:rPr>
                <w:rStyle w:val="Hyperlink"/>
                <w:b/>
                <w:bCs/>
                <w:noProof/>
                <w:sz w:val="20"/>
                <w:szCs w:val="20"/>
              </w:rPr>
              <w:t>Supplementary Table 5. Diet-related environmental impacts (logarithmic transformed) as related to the AHEI-score in general linear regression model</w:t>
            </w:r>
            <w:r w:rsidRPr="00C812E5">
              <w:rPr>
                <w:rStyle w:val="Hyperlink"/>
                <w:b/>
                <w:bCs/>
                <w:noProof/>
                <w:sz w:val="20"/>
                <w:szCs w:val="20"/>
                <w:vertAlign w:val="superscript"/>
              </w:rPr>
              <w:t>†</w:t>
            </w:r>
            <w:r w:rsidRPr="00C812E5">
              <w:rPr>
                <w:noProof/>
                <w:webHidden/>
                <w:sz w:val="20"/>
                <w:szCs w:val="20"/>
              </w:rPr>
              <w:tab/>
            </w:r>
            <w:r w:rsidRPr="00C812E5">
              <w:rPr>
                <w:noProof/>
                <w:webHidden/>
                <w:sz w:val="20"/>
                <w:szCs w:val="20"/>
              </w:rPr>
              <w:fldChar w:fldCharType="begin"/>
            </w:r>
            <w:r w:rsidRPr="00C812E5">
              <w:rPr>
                <w:noProof/>
                <w:webHidden/>
                <w:sz w:val="20"/>
                <w:szCs w:val="20"/>
              </w:rPr>
              <w:instrText xml:space="preserve"> PAGEREF _Toc204093437 \h </w:instrText>
            </w:r>
            <w:r w:rsidRPr="00C812E5">
              <w:rPr>
                <w:noProof/>
                <w:webHidden/>
                <w:sz w:val="20"/>
                <w:szCs w:val="20"/>
              </w:rPr>
            </w:r>
            <w:r w:rsidRPr="00C812E5">
              <w:rPr>
                <w:noProof/>
                <w:webHidden/>
                <w:sz w:val="20"/>
                <w:szCs w:val="20"/>
              </w:rPr>
              <w:fldChar w:fldCharType="separate"/>
            </w:r>
            <w:r w:rsidRPr="00C812E5">
              <w:rPr>
                <w:noProof/>
                <w:webHidden/>
                <w:sz w:val="20"/>
                <w:szCs w:val="20"/>
              </w:rPr>
              <w:t>16</w:t>
            </w:r>
            <w:r w:rsidRPr="00C812E5">
              <w:rPr>
                <w:noProof/>
                <w:webHidden/>
                <w:sz w:val="20"/>
                <w:szCs w:val="20"/>
              </w:rPr>
              <w:fldChar w:fldCharType="end"/>
            </w:r>
          </w:hyperlink>
        </w:p>
        <w:p w14:paraId="68D8FB25" w14:textId="73766AB8" w:rsidR="00C812E5" w:rsidRPr="00C812E5" w:rsidRDefault="00C812E5">
          <w:pPr>
            <w:pStyle w:val="TOC1"/>
            <w:tabs>
              <w:tab w:val="right" w:leader="dot" w:pos="9016"/>
            </w:tabs>
            <w:rPr>
              <w:rFonts w:hint="eastAsia"/>
              <w:noProof/>
              <w:sz w:val="20"/>
              <w:szCs w:val="20"/>
            </w:rPr>
          </w:pPr>
          <w:hyperlink w:anchor="_Toc204093438" w:history="1">
            <w:r w:rsidRPr="00C812E5">
              <w:rPr>
                <w:rStyle w:val="Hyperlink"/>
                <w:b/>
                <w:bCs/>
                <w:noProof/>
                <w:sz w:val="20"/>
                <w:szCs w:val="20"/>
              </w:rPr>
              <w:t>Supplementary Table 6. Relative comparison of dietary GHG emissions (FAO energy-adjusted) vs. GDD-based GHG emissions</w:t>
            </w:r>
            <w:r w:rsidRPr="00C812E5">
              <w:rPr>
                <w:noProof/>
                <w:webHidden/>
                <w:sz w:val="20"/>
                <w:szCs w:val="20"/>
              </w:rPr>
              <w:tab/>
            </w:r>
            <w:r w:rsidRPr="00C812E5">
              <w:rPr>
                <w:noProof/>
                <w:webHidden/>
                <w:sz w:val="20"/>
                <w:szCs w:val="20"/>
              </w:rPr>
              <w:fldChar w:fldCharType="begin"/>
            </w:r>
            <w:r w:rsidRPr="00C812E5">
              <w:rPr>
                <w:noProof/>
                <w:webHidden/>
                <w:sz w:val="20"/>
                <w:szCs w:val="20"/>
              </w:rPr>
              <w:instrText xml:space="preserve"> PAGEREF _Toc204093438 \h </w:instrText>
            </w:r>
            <w:r w:rsidRPr="00C812E5">
              <w:rPr>
                <w:noProof/>
                <w:webHidden/>
                <w:sz w:val="20"/>
                <w:szCs w:val="20"/>
              </w:rPr>
            </w:r>
            <w:r w:rsidRPr="00C812E5">
              <w:rPr>
                <w:noProof/>
                <w:webHidden/>
                <w:sz w:val="20"/>
                <w:szCs w:val="20"/>
              </w:rPr>
              <w:fldChar w:fldCharType="separate"/>
            </w:r>
            <w:r w:rsidRPr="00C812E5">
              <w:rPr>
                <w:noProof/>
                <w:webHidden/>
                <w:sz w:val="20"/>
                <w:szCs w:val="20"/>
              </w:rPr>
              <w:t>17</w:t>
            </w:r>
            <w:r w:rsidRPr="00C812E5">
              <w:rPr>
                <w:noProof/>
                <w:webHidden/>
                <w:sz w:val="20"/>
                <w:szCs w:val="20"/>
              </w:rPr>
              <w:fldChar w:fldCharType="end"/>
            </w:r>
          </w:hyperlink>
        </w:p>
        <w:p w14:paraId="6727BBC4" w14:textId="2815C7E7" w:rsidR="00C812E5" w:rsidRPr="00C812E5" w:rsidRDefault="00C812E5">
          <w:pPr>
            <w:pStyle w:val="TOC1"/>
            <w:tabs>
              <w:tab w:val="right" w:leader="dot" w:pos="9016"/>
            </w:tabs>
            <w:rPr>
              <w:rFonts w:hint="eastAsia"/>
              <w:noProof/>
              <w:sz w:val="20"/>
              <w:szCs w:val="20"/>
            </w:rPr>
          </w:pPr>
          <w:hyperlink w:anchor="_Toc204093439" w:history="1">
            <w:r w:rsidRPr="00C812E5">
              <w:rPr>
                <w:rStyle w:val="Hyperlink"/>
                <w:b/>
                <w:bCs/>
                <w:noProof/>
                <w:sz w:val="20"/>
                <w:szCs w:val="20"/>
              </w:rPr>
              <w:t>Supplementary Figure 1. Proportion of dietary GHG emissions, Water Use, and Land Use by food group and demographic subgroup</w:t>
            </w:r>
            <w:r w:rsidRPr="00C812E5">
              <w:rPr>
                <w:noProof/>
                <w:webHidden/>
                <w:sz w:val="20"/>
                <w:szCs w:val="20"/>
              </w:rPr>
              <w:tab/>
            </w:r>
            <w:r w:rsidRPr="00C812E5">
              <w:rPr>
                <w:noProof/>
                <w:webHidden/>
                <w:sz w:val="20"/>
                <w:szCs w:val="20"/>
              </w:rPr>
              <w:fldChar w:fldCharType="begin"/>
            </w:r>
            <w:r w:rsidRPr="00C812E5">
              <w:rPr>
                <w:noProof/>
                <w:webHidden/>
                <w:sz w:val="20"/>
                <w:szCs w:val="20"/>
              </w:rPr>
              <w:instrText xml:space="preserve"> PAGEREF _Toc204093439 \h </w:instrText>
            </w:r>
            <w:r w:rsidRPr="00C812E5">
              <w:rPr>
                <w:noProof/>
                <w:webHidden/>
                <w:sz w:val="20"/>
                <w:szCs w:val="20"/>
              </w:rPr>
            </w:r>
            <w:r w:rsidRPr="00C812E5">
              <w:rPr>
                <w:noProof/>
                <w:webHidden/>
                <w:sz w:val="20"/>
                <w:szCs w:val="20"/>
              </w:rPr>
              <w:fldChar w:fldCharType="separate"/>
            </w:r>
            <w:r w:rsidRPr="00C812E5">
              <w:rPr>
                <w:noProof/>
                <w:webHidden/>
                <w:sz w:val="20"/>
                <w:szCs w:val="20"/>
              </w:rPr>
              <w:t>23</w:t>
            </w:r>
            <w:r w:rsidRPr="00C812E5">
              <w:rPr>
                <w:noProof/>
                <w:webHidden/>
                <w:sz w:val="20"/>
                <w:szCs w:val="20"/>
              </w:rPr>
              <w:fldChar w:fldCharType="end"/>
            </w:r>
          </w:hyperlink>
        </w:p>
        <w:p w14:paraId="7A5B3BAC" w14:textId="0A1120F1" w:rsidR="00C812E5" w:rsidRPr="00C812E5" w:rsidRDefault="00C812E5">
          <w:pPr>
            <w:pStyle w:val="TOC1"/>
            <w:tabs>
              <w:tab w:val="right" w:leader="dot" w:pos="9016"/>
            </w:tabs>
            <w:rPr>
              <w:rFonts w:hint="eastAsia"/>
              <w:noProof/>
              <w:sz w:val="20"/>
              <w:szCs w:val="20"/>
            </w:rPr>
          </w:pPr>
          <w:hyperlink w:anchor="_Toc204093440" w:history="1">
            <w:r w:rsidRPr="00C812E5">
              <w:rPr>
                <w:rStyle w:val="Hyperlink"/>
                <w:b/>
                <w:bCs/>
                <w:noProof/>
                <w:sz w:val="20"/>
                <w:szCs w:val="20"/>
              </w:rPr>
              <w:t>Supplementary Figure 2. Distribution of Water Use, and Land Use across AHEI score deciles by socio-demographic subgroups</w:t>
            </w:r>
            <w:r w:rsidRPr="00C812E5">
              <w:rPr>
                <w:noProof/>
                <w:webHidden/>
                <w:sz w:val="20"/>
                <w:szCs w:val="20"/>
              </w:rPr>
              <w:tab/>
            </w:r>
            <w:r w:rsidRPr="00C812E5">
              <w:rPr>
                <w:noProof/>
                <w:webHidden/>
                <w:sz w:val="20"/>
                <w:szCs w:val="20"/>
              </w:rPr>
              <w:fldChar w:fldCharType="begin"/>
            </w:r>
            <w:r w:rsidRPr="00C812E5">
              <w:rPr>
                <w:noProof/>
                <w:webHidden/>
                <w:sz w:val="20"/>
                <w:szCs w:val="20"/>
              </w:rPr>
              <w:instrText xml:space="preserve"> PAGEREF _Toc204093440 \h </w:instrText>
            </w:r>
            <w:r w:rsidRPr="00C812E5">
              <w:rPr>
                <w:noProof/>
                <w:webHidden/>
                <w:sz w:val="20"/>
                <w:szCs w:val="20"/>
              </w:rPr>
            </w:r>
            <w:r w:rsidRPr="00C812E5">
              <w:rPr>
                <w:noProof/>
                <w:webHidden/>
                <w:sz w:val="20"/>
                <w:szCs w:val="20"/>
              </w:rPr>
              <w:fldChar w:fldCharType="separate"/>
            </w:r>
            <w:r w:rsidRPr="00C812E5">
              <w:rPr>
                <w:noProof/>
                <w:webHidden/>
                <w:sz w:val="20"/>
                <w:szCs w:val="20"/>
              </w:rPr>
              <w:t>24</w:t>
            </w:r>
            <w:r w:rsidRPr="00C812E5">
              <w:rPr>
                <w:noProof/>
                <w:webHidden/>
                <w:sz w:val="20"/>
                <w:szCs w:val="20"/>
              </w:rPr>
              <w:fldChar w:fldCharType="end"/>
            </w:r>
          </w:hyperlink>
        </w:p>
        <w:p w14:paraId="190D1DCA" w14:textId="263852D9" w:rsidR="00C812E5" w:rsidRPr="00C812E5" w:rsidRDefault="00C812E5">
          <w:pPr>
            <w:pStyle w:val="TOC1"/>
            <w:tabs>
              <w:tab w:val="right" w:leader="dot" w:pos="9016"/>
            </w:tabs>
            <w:rPr>
              <w:rFonts w:hint="eastAsia"/>
              <w:noProof/>
              <w:sz w:val="20"/>
              <w:szCs w:val="20"/>
            </w:rPr>
          </w:pPr>
          <w:hyperlink w:anchor="_Toc204093441" w:history="1">
            <w:r w:rsidRPr="00C812E5">
              <w:rPr>
                <w:rStyle w:val="Hyperlink"/>
                <w:b/>
                <w:bCs/>
                <w:noProof/>
                <w:sz w:val="20"/>
                <w:szCs w:val="20"/>
              </w:rPr>
              <w:t>Supplementary Figure 3. Distribution of total dietary GHG emissions across demographic subgroups, weighted by population size</w:t>
            </w:r>
            <w:r w:rsidRPr="00C812E5">
              <w:rPr>
                <w:noProof/>
                <w:webHidden/>
                <w:sz w:val="20"/>
                <w:szCs w:val="20"/>
              </w:rPr>
              <w:tab/>
            </w:r>
            <w:r w:rsidRPr="00C812E5">
              <w:rPr>
                <w:noProof/>
                <w:webHidden/>
                <w:sz w:val="20"/>
                <w:szCs w:val="20"/>
              </w:rPr>
              <w:fldChar w:fldCharType="begin"/>
            </w:r>
            <w:r w:rsidRPr="00C812E5">
              <w:rPr>
                <w:noProof/>
                <w:webHidden/>
                <w:sz w:val="20"/>
                <w:szCs w:val="20"/>
              </w:rPr>
              <w:instrText xml:space="preserve"> PAGEREF _Toc204093441 \h </w:instrText>
            </w:r>
            <w:r w:rsidRPr="00C812E5">
              <w:rPr>
                <w:noProof/>
                <w:webHidden/>
                <w:sz w:val="20"/>
                <w:szCs w:val="20"/>
              </w:rPr>
            </w:r>
            <w:r w:rsidRPr="00C812E5">
              <w:rPr>
                <w:noProof/>
                <w:webHidden/>
                <w:sz w:val="20"/>
                <w:szCs w:val="20"/>
              </w:rPr>
              <w:fldChar w:fldCharType="separate"/>
            </w:r>
            <w:r w:rsidRPr="00C812E5">
              <w:rPr>
                <w:noProof/>
                <w:webHidden/>
                <w:sz w:val="20"/>
                <w:szCs w:val="20"/>
              </w:rPr>
              <w:t>24</w:t>
            </w:r>
            <w:r w:rsidRPr="00C812E5">
              <w:rPr>
                <w:noProof/>
                <w:webHidden/>
                <w:sz w:val="20"/>
                <w:szCs w:val="20"/>
              </w:rPr>
              <w:fldChar w:fldCharType="end"/>
            </w:r>
          </w:hyperlink>
        </w:p>
        <w:p w14:paraId="17F3DB20" w14:textId="273C7BDE" w:rsidR="00E6409C" w:rsidRPr="00CA7DCF" w:rsidRDefault="00E6409C" w:rsidP="00050418">
          <w:pPr>
            <w:pStyle w:val="NoSpacing"/>
            <w:rPr>
              <w:rFonts w:hint="eastAsia"/>
            </w:rPr>
          </w:pPr>
          <w:r w:rsidRPr="00C812E5">
            <w:rPr>
              <w:b/>
              <w:bCs/>
              <w:noProof/>
              <w:sz w:val="8"/>
              <w:szCs w:val="8"/>
            </w:rPr>
            <w:fldChar w:fldCharType="end"/>
          </w:r>
        </w:p>
      </w:sdtContent>
    </w:sdt>
    <w:p w14:paraId="431D8E6D" w14:textId="77777777" w:rsidR="00E40024" w:rsidRDefault="00E40024" w:rsidP="00E40024">
      <w:bookmarkStart w:id="0" w:name="_Toc204093427"/>
    </w:p>
    <w:p w14:paraId="722F3862" w14:textId="77777777" w:rsidR="00E40024" w:rsidRPr="00E40024" w:rsidRDefault="00E40024" w:rsidP="00E40024"/>
    <w:p w14:paraId="1487DFD4" w14:textId="77777777" w:rsidR="00E40024" w:rsidRDefault="00E40024" w:rsidP="00E40024"/>
    <w:p w14:paraId="12E17B9D" w14:textId="77777777" w:rsidR="00E40024" w:rsidRDefault="00E40024" w:rsidP="00E40024"/>
    <w:p w14:paraId="67A4396C" w14:textId="77777777" w:rsidR="00E40024" w:rsidRDefault="00E40024" w:rsidP="00E40024"/>
    <w:p w14:paraId="66877E7E" w14:textId="77777777" w:rsidR="00E40024" w:rsidRPr="00E40024" w:rsidRDefault="00E40024" w:rsidP="00E40024"/>
    <w:p w14:paraId="7F60A8FE" w14:textId="5D519A2C" w:rsidR="25A612C5" w:rsidRDefault="25A612C5" w:rsidP="6B6B33D6">
      <w:pPr>
        <w:pStyle w:val="Heading1"/>
        <w:jc w:val="both"/>
        <w:rPr>
          <w:b/>
          <w:bCs/>
          <w:color w:val="auto"/>
          <w:sz w:val="32"/>
          <w:szCs w:val="32"/>
        </w:rPr>
      </w:pPr>
      <w:r w:rsidRPr="0FC594A6">
        <w:rPr>
          <w:b/>
          <w:bCs/>
          <w:color w:val="auto"/>
          <w:sz w:val="32"/>
          <w:szCs w:val="32"/>
        </w:rPr>
        <w:lastRenderedPageBreak/>
        <w:t>1.</w:t>
      </w:r>
      <w:r w:rsidR="004D6961">
        <w:rPr>
          <w:rFonts w:hint="eastAsia"/>
          <w:b/>
          <w:bCs/>
          <w:color w:val="auto"/>
          <w:sz w:val="32"/>
          <w:szCs w:val="32"/>
        </w:rPr>
        <w:t>1</w:t>
      </w:r>
      <w:r w:rsidRPr="0FC594A6">
        <w:rPr>
          <w:b/>
          <w:bCs/>
          <w:color w:val="auto"/>
          <w:sz w:val="32"/>
          <w:szCs w:val="32"/>
        </w:rPr>
        <w:t xml:space="preserve"> </w:t>
      </w:r>
      <w:r w:rsidRPr="33E6E758">
        <w:rPr>
          <w:b/>
          <w:bCs/>
          <w:color w:val="auto"/>
          <w:sz w:val="32"/>
          <w:szCs w:val="32"/>
        </w:rPr>
        <w:t>MATILDA</w:t>
      </w:r>
      <w:r w:rsidRPr="0FC594A6">
        <w:rPr>
          <w:b/>
          <w:bCs/>
          <w:color w:val="auto"/>
          <w:sz w:val="32"/>
          <w:szCs w:val="32"/>
        </w:rPr>
        <w:t xml:space="preserve"> </w:t>
      </w:r>
      <w:r w:rsidRPr="650C8162">
        <w:rPr>
          <w:b/>
          <w:bCs/>
          <w:color w:val="auto"/>
          <w:sz w:val="32"/>
          <w:szCs w:val="32"/>
        </w:rPr>
        <w:t>datasets</w:t>
      </w:r>
      <w:bookmarkEnd w:id="0"/>
    </w:p>
    <w:p w14:paraId="14B64304" w14:textId="2B2CF9F1" w:rsidR="00E35833" w:rsidRPr="00E35833" w:rsidRDefault="0C14E2FA" w:rsidP="6B6B33D6">
      <w:pPr>
        <w:jc w:val="both"/>
        <w:rPr>
          <w:rFonts w:hint="eastAsia"/>
        </w:rPr>
      </w:pPr>
      <w:r>
        <w:t xml:space="preserve">MATILDA </w:t>
      </w:r>
      <w:r w:rsidR="55C87D15">
        <w:t>(Micro-Macro Assessment Tool to Identify Low-</w:t>
      </w:r>
      <w:r w:rsidR="002B14A5">
        <w:t>i</w:t>
      </w:r>
      <w:r w:rsidR="55C87D15">
        <w:t>mpact Dietary Actions)</w:t>
      </w:r>
      <w:r w:rsidR="6421F951">
        <w:t xml:space="preserve"> </w:t>
      </w:r>
      <w:r w:rsidR="575DB20A">
        <w:t xml:space="preserve">integrates </w:t>
      </w:r>
      <w:r w:rsidR="6421F951">
        <w:t>three datasets</w:t>
      </w:r>
      <w:r w:rsidR="0D3AD2A0">
        <w:t xml:space="preserve">—GDD (dietary intake), GLOPOP-S (population structure), and FABIO (environmental </w:t>
      </w:r>
      <w:proofErr w:type="spellStart"/>
      <w:r w:rsidR="0D3AD2A0">
        <w:t>footprinting</w:t>
      </w:r>
      <w:proofErr w:type="spellEnd"/>
      <w:r w:rsidR="0D3AD2A0">
        <w:t xml:space="preserve">)—to </w:t>
      </w:r>
      <w:r w:rsidR="0E59FCB9">
        <w:t>enable</w:t>
      </w:r>
      <w:r w:rsidR="0D3AD2A0">
        <w:t xml:space="preserve"> </w:t>
      </w:r>
      <w:r w:rsidR="28B6599C">
        <w:t xml:space="preserve">dietary </w:t>
      </w:r>
      <w:r w:rsidR="0D3AD2A0">
        <w:t xml:space="preserve">environmental </w:t>
      </w:r>
      <w:r w:rsidR="5460DF5D">
        <w:t xml:space="preserve">impact analysis </w:t>
      </w:r>
      <w:r w:rsidR="1F88E6BE">
        <w:t>and nutritional a</w:t>
      </w:r>
      <w:r w:rsidR="30B3DDC9">
        <w:t xml:space="preserve">ssessment </w:t>
      </w:r>
      <w:r w:rsidR="1F88E6BE">
        <w:t xml:space="preserve">across 70+ socio-demographic subgroups in 150+ countries. </w:t>
      </w:r>
      <w:r w:rsidR="48BB489E">
        <w:t xml:space="preserve">This section details the datasets used to construct MATILDA. </w:t>
      </w:r>
    </w:p>
    <w:p w14:paraId="46AFD6B9" w14:textId="71714418" w:rsidR="00E35833" w:rsidRPr="00B06802" w:rsidRDefault="00E35833" w:rsidP="6B6B33D6">
      <w:pPr>
        <w:jc w:val="both"/>
        <w:rPr>
          <w:rFonts w:hint="eastAsia"/>
          <w:b/>
          <w:bCs/>
          <w:sz w:val="28"/>
          <w:szCs w:val="28"/>
        </w:rPr>
      </w:pPr>
      <w:r w:rsidRPr="00B06802">
        <w:rPr>
          <w:b/>
          <w:sz w:val="28"/>
          <w:szCs w:val="28"/>
        </w:rPr>
        <w:t>1</w:t>
      </w:r>
      <w:r w:rsidRPr="00B06802">
        <w:rPr>
          <w:rFonts w:hint="eastAsia"/>
          <w:b/>
          <w:bCs/>
          <w:sz w:val="28"/>
          <w:szCs w:val="28"/>
        </w:rPr>
        <w:t>.</w:t>
      </w:r>
      <w:r w:rsidR="6CE81D1D" w:rsidRPr="00B06802">
        <w:rPr>
          <w:b/>
          <w:bCs/>
          <w:sz w:val="28"/>
          <w:szCs w:val="28"/>
        </w:rPr>
        <w:t>1</w:t>
      </w:r>
      <w:r w:rsidR="004D6961">
        <w:rPr>
          <w:rFonts w:hint="eastAsia"/>
          <w:b/>
          <w:bCs/>
          <w:sz w:val="28"/>
          <w:szCs w:val="28"/>
        </w:rPr>
        <w:t>1</w:t>
      </w:r>
      <w:r w:rsidRPr="00B06802">
        <w:rPr>
          <w:b/>
          <w:bCs/>
          <w:sz w:val="28"/>
          <w:szCs w:val="28"/>
        </w:rPr>
        <w:t xml:space="preserve"> Global Dietary Database (GDD)</w:t>
      </w:r>
    </w:p>
    <w:p w14:paraId="3379575B" w14:textId="4FE83C90" w:rsidR="008A73EE" w:rsidRPr="00A67E56" w:rsidRDefault="008A73EE" w:rsidP="008A73EE">
      <w:pPr>
        <w:jc w:val="both"/>
        <w:rPr>
          <w:rFonts w:hint="eastAsia"/>
        </w:rPr>
      </w:pPr>
      <w:r w:rsidRPr="00A67E56">
        <w:t>The Global Dietary Database (GDD) is a comprehensive global dietary intake database that systematically collects, harmonises, and models dietary consumption data from 171 countries, covering 95% of the world's population</w:t>
      </w:r>
      <w:r w:rsidRPr="00A67E56">
        <w:fldChar w:fldCharType="begin"/>
      </w:r>
      <w:r w:rsidR="00BE0ECE">
        <w:instrText xml:space="preserve"> ADDIN ZOTERO_ITEM CSL_CITATION {"citationID":"ZTqYwcx9","properties":{"formattedCitation":"\\super 1\\nosupersub{}","plainCitation":"1","noteIndex":0},"citationItems":[{"id":38,"uris":["http://zotero.org/users/local/oA8CYsnR/items/YZ4EE9JB","http://zotero.org/users/16665975/items/YZ4EE9JB"],"itemData":{"id":38,"type":"webpage","title":"Welcome to the Global Dietary Database | Global Dietary Database","URL":"https://globaldietarydatabase.org/","accessed":{"date-parts":[["2025",3,10]]}}}],"schema":"https://github.com/citation-style-language/schema/raw/master/csl-citation.json"} </w:instrText>
      </w:r>
      <w:r w:rsidRPr="00A67E56">
        <w:fldChar w:fldCharType="separate"/>
      </w:r>
      <w:r w:rsidR="00BE0ECE" w:rsidRPr="00BE0ECE">
        <w:rPr>
          <w:rFonts w:ascii="Aptos" w:hAnsi="Aptos" w:cs="Times New Roman"/>
          <w:kern w:val="0"/>
          <w:vertAlign w:val="superscript"/>
        </w:rPr>
        <w:t>1</w:t>
      </w:r>
      <w:r w:rsidRPr="00A67E56">
        <w:fldChar w:fldCharType="end"/>
      </w:r>
      <w:r w:rsidRPr="00A67E56">
        <w:t xml:space="preserve">. </w:t>
      </w:r>
      <w:r w:rsidR="488A5B41" w:rsidRPr="00A67E56">
        <w:t>The database aims</w:t>
      </w:r>
      <w:r w:rsidR="008B427B">
        <w:t xml:space="preserve"> to</w:t>
      </w:r>
      <w:r w:rsidRPr="00A67E56">
        <w:t xml:space="preserve"> provide standardised and comparable estimates of food and nutrient intake across different populations and demographic groups. The GDD is developed using 1,248 dietary food intake surveys, primarily based on individual-level 24-hour dietary recalls, food frequency questionnaires (FFQs), and demographic health surveys</w:t>
      </w:r>
      <w:r w:rsidRPr="00A67E56">
        <w:fldChar w:fldCharType="begin"/>
      </w:r>
      <w:r w:rsidR="00BE0ECE">
        <w:instrText xml:space="preserve"> ADDIN ZOTERO_ITEM CSL_CITATION {"citationID":"obmYnyhT","properties":{"formattedCitation":"\\super 2\\nosupersub{}","plainCitation":"2","noteIndex":0},"citationItems":[{"id":40,"uris":["http://zotero.org/users/local/oA8CYsnR/items/5ZNU74JR","http://zotero.org/users/16665975/items/5ZNU74JR"],"itemData":{"id":40,"type":"article-journal","abstract":"Background: Accurate data on dietary habits are crucial for understanding impacts on disease and informing policy priorities. Nation-specific food balance sheets from the United Nations FAO provided the only available global dietary estimates but with uncertain validity. Objectives: We investigated how FAO estimates compared with nationally representative, individual-based dietary surveys from the Global Dietary Database (GDD) and developed calibration equations to improve the validity of FAO data to estimate dietary intakes. Design: FAO estimates were matched to GDD data for 113 countries across the following 9 major dietary metrics for 30 y of data (1980–2009): fruit, vegetables, beans and legumes, nuts and seeds, whole grains, red and processed meats, fish and seafood, milk, and total energy. Both absolute and percentage differences in FAO and GDD mean estimates were evaluated. Linear regression was used to evaluate whether FAO estimates predicted GDD dietary intakes and whether this prediction varied according to age, sex, region, and time. Calibration equations were developed to adjust FAO estimates to approximate national dietary surveys validated by using randomly split data sets. Results: For most food groups, FAO estimates substantially overestimated individual-based dietary intakes by 74.5% (vegetables) and 270% (whole grains) while underestimating beans and legumes (−50%) and nuts and seeds (−29%) (P &lt; 0.05 for each). In multivariate regressions, these overestimations and underestimations for each dietary factor further varied by age, sex, region, and time (P &lt; 0.001 for each). Split–data set calibration models, which accounted for country-level covariates and other sources of heterogeneity, effectively adjusted FAO estimates to approximate estimates from national survey data (r = 0.47–0.80) with small SEs of prediction (generally 1–5 g/d). Conclusions: For all food groups and total energy, FAO estimates substantially exceeded or underestimated individual-based national surveys of individual intakes with significant variation depending on age, sex, region, and time. Calibration models effectively adjusted the comprehensive, widely accessible FAO data to facilitate a more-accurate estimation of individual-level dietary intakes nationally and by age and sex.","container-title":"The American Journal of Clinical Nutrition","DOI":"10.3945/ajcn.114.087403","ISSN":"0002-9165","issue":"5","journalAbbreviation":"The American Journal of Clinical Nutrition","page":"1038-1046","source":"ScienceDirect","title":"Assessing global dietary habits: a comparison of national estimatesfrom the FAO and the Global Dietary Database23","title-short":"Assessing global dietary habits","volume":"101","author":[{"family":"Del Gobbo","given":"Liana C"},{"family":"Khatibzadeh","given":"Shahab"},{"family":"Imamura","given":"Fumiaki"},{"family":"Micha","given":"Renata"},{"family":"Shi","given":"Peilin"},{"family":"Smith","given":"Matthew"},{"family":"Myers","given":"Samuel S"},{"family":"Mozaffarian","given":"Dariush"}],"issued":{"date-parts":[["2015",5,1]]}}}],"schema":"https://github.com/citation-style-language/schema/raw/master/csl-citation.json"} </w:instrText>
      </w:r>
      <w:r w:rsidRPr="00A67E56">
        <w:fldChar w:fldCharType="separate"/>
      </w:r>
      <w:r w:rsidR="00BE0ECE" w:rsidRPr="00BE0ECE">
        <w:rPr>
          <w:rFonts w:ascii="Aptos" w:hAnsi="Aptos" w:cs="Times New Roman"/>
          <w:kern w:val="0"/>
          <w:vertAlign w:val="superscript"/>
        </w:rPr>
        <w:t>2</w:t>
      </w:r>
      <w:r w:rsidRPr="00A67E56">
        <w:fldChar w:fldCharType="end"/>
      </w:r>
      <w:r w:rsidRPr="00A67E56">
        <w:t>.</w:t>
      </w:r>
    </w:p>
    <w:p w14:paraId="648116D5" w14:textId="0C09B39F" w:rsidR="00AB60A7" w:rsidRDefault="008A73EE" w:rsidP="008A73EE">
      <w:pPr>
        <w:jc w:val="both"/>
        <w:rPr>
          <w:rFonts w:hint="eastAsia"/>
        </w:rPr>
      </w:pPr>
      <w:r w:rsidRPr="00A67E56">
        <w:t>The GDD reports dietary intake data for 54 foods, beverages, and nutrients, including fruits, non-starchy vegetables, whole grains, sugar-sweetened beverages, legumes/nuts, unprocessed red and processed meats, seafood omega-3 fat, polyunsaturated fatty acids (PUFAs), sodium, coffee, tea, refined grains, potatoes, other starchy vegetables, total milk, and total seafoods in grams</w:t>
      </w:r>
      <w:r w:rsidRPr="00A67E56">
        <w:fldChar w:fldCharType="begin"/>
      </w:r>
      <w:r w:rsidR="00BE0ECE">
        <w:instrText xml:space="preserve"> ADDIN ZOTERO_ITEM CSL_CITATION {"citationID":"O3oJoCHo","properties":{"formattedCitation":"\\super 3\\nosupersub{}","plainCitation":"3","noteIndex":0},"citationItems":[{"id":43,"uris":["http://zotero.org/users/local/oA8CYsnR/items/H696CCNW","http://zotero.org/users/16665975/items/H696CCNW"],"itemData":{"id":43,"type":"article-journal","abstract":"Background We aimed to systematically identify, standardise and disseminate individual-level dietary intake surveys from up to 207 countries for 54 foods, beverages and nutrients, including subnational intakes by age, sex, education and urban/rural residence, from 1980 to 2015.Methods Between 2008–2011 and 2014–2020, the Global Dietary Database (GDD) project systematically searched for surveys assessing individual-level intake worldwide. We prioritised nationally or subnationally representative surveys using 24-hour recalls, Food-Frequency Questionnaires or short standardised questionnaires. Data were retrieved from websites or corresponding members as individual-level food group microdata or aggregate stratum-level data. Standardisation included quality assessment; data cleaning; categorising of foods and nutrients and their units; aggregation by demographic strata and energy adjustment.Results We standardised and incorporated 1220 surveys into the final GDD 2017 database, together represented 188 countries and 99.0% of the world’s population in 2015. 72.1% were nationally, 17.0% subnationally, and 10.9% community-level representative. 41.2% used Food-Frequency Questionnaires; 23.4%, 24-hour recalls; 15.8%, Demographic Health Survey questionnaires; 13.1%, biomarkers and 6.4%, household surveys. 73.9% of surveys included data on children; 52.2%, by urban and rural residence; and 30.2%, by education. Most surveys were in high-income countries, followed by sub-Saharan Africa and Asia. Most commonly ascertained foods were fruits (N=803 surveys), non-starchy vegetables (N=787) and sugar-sweetened beverages (N=440); and nutrients, sodium (N=343), energy (N=256), calcium (N=224) and fibre (N=200). Least available data were on iodine, vitamin A, plant protein, selenium, added sugar and animal protein.Conclusions This systematic search, retrieval and standardised effort provides the most comprehensive empirical evidence on dietary intakes across and within countries worldwide.","container-title":"BMJ Global Health","DOI":"10.1136/bmjgh-2020-003585","ISSN":"2059-7908","issue":"2","journalAbbreviation":"BMJ Glob Health","language":"en","license":"This is an open access article distributed in accordance with the Creative Commons Attribution 4.0 Unported (CC BY 4.0) license","note":"publisher: BMJ Publishing Group Ltd\nPMID: 10.1136/bmjgh-2020-003585","source":"gh.bmj.com","title":"Global Dietary Database 2017: data availability and gaps on 54 major foods, beverages and nutrients among 5.6 million children and adults from 1220 surveys worldwide","title-short":"Global Dietary Database 2017","URL":"https://gh.bmj.com/content/6/2/e003585","volume":"6","author":[{"family":"Miller","given":"Victoria"},{"family":"Singh","given":"Gitanjali M."},{"family":"Onopa","given":"Jennifer"},{"family":"Reedy","given":"Julia"},{"family":"Shi","given":"Peilin"},{"family":"Zhang","given":"Jianyi"},{"family":"Tahira","given":"Adeem"},{"family":"Morris","given":"Masha L. Shulkin"},{"family":"Marsden","given":"Daniel P."},{"family":"Kranz","given":"Sarah"},{"family":"Stoyell","given":"Sally"},{"family":"Webb","given":"Patrick"},{"family":"Micha","given":"Renata"},{"family":"Mozaffarian","given":"Dariush"}],"accessed":{"date-parts":[["2025",3,10]]},"issued":{"date-parts":[["2021",2,5]]}}}],"schema":"https://github.com/citation-style-language/schema/raw/master/csl-citation.json"} </w:instrText>
      </w:r>
      <w:r w:rsidRPr="00A67E56">
        <w:fldChar w:fldCharType="separate"/>
      </w:r>
      <w:r w:rsidR="00BE0ECE" w:rsidRPr="7A05EBEF">
        <w:rPr>
          <w:rFonts w:ascii="Aptos" w:hAnsi="Aptos" w:cs="Times New Roman"/>
          <w:vertAlign w:val="superscript"/>
        </w:rPr>
        <w:t>3</w:t>
      </w:r>
      <w:r w:rsidRPr="00A67E56">
        <w:fldChar w:fldCharType="end"/>
      </w:r>
      <w:r w:rsidRPr="00A67E56">
        <w:t>. These dietary factors are analysed using Bayesian hierarchical models, accounting for variation in dietary survey methodologies, demographic characteristics, and national food availability data. To enhance data quality and comparability, GDD applies energy-adjusted intake estimations, ensuring dietary patterns are evaluated independently of total calorie consumption</w:t>
      </w:r>
      <w:r w:rsidRPr="00A67E56">
        <w:fldChar w:fldCharType="begin"/>
      </w:r>
      <w:r w:rsidR="00BE0ECE">
        <w:instrText xml:space="preserve"> ADDIN ZOTERO_ITEM CSL_CITATION {"citationID":"WNzf88lO","properties":{"formattedCitation":"\\super 4\\nosupersub{}","plainCitation":"4","noteIndex":0},"citationItems":[{"id":46,"uris":["http://zotero.org/users/local/oA8CYsnR/items/FCH5ZWU6","http://zotero.org/users/16665975/items/FCH5ZWU6"],"itemData":{"id":46,"type":"article-journal","container-title":"The Lancet Planetary Health","DOI":"10.1016/S2542-5196(21)00352-1","ISSN":"2542-5196","issue":"3","journalAbbreviation":"The Lancet Planetary Health","language":"English","note":"publisher: Elsevier\nPMID: 35278390","page":"e243-e256","source":"www.thelancet.com","title":"Global, regional, and national consumption of animal-source foods between 1990 and 2018: findings from the Global Dietary Database","title-short":"Global, regional, and national consumption of animal-source foods between 1990 and 2018","volume":"6","author":[{"family":"Miller","given":"Victoria"},{"family":"Reedy","given":"Julia"},{"family":"Cudhea","given":"Frederick"},{"family":"Zhang","given":"Jianyi"},{"family":"Shi","given":"Peilin"},{"family":"Erndt-Marino","given":"Josh"},{"family":"Coates","given":"Jennifer"},{"family":"Micha","given":"Renata"},{"family":"Webb","given":"Patrick"},{"family":"Mozaffarian","given":"Dariush"},{"family":"Abbott","given":"Pamela"},{"family":"Abdollahi","given":"Morteza"},{"family":"Abedi","given":"Parvin"},{"family":"Abumweis","given":"Suhad"},{"family":"Adair","given":"Linda"},{"family":"Nsour","given":"Mohannad Al"},{"family":"Al-Daghri","given":"Nasser"},{"family":"Al-Hamad","given":"Nawal"},{"family":"Al-Hooti","given":"Suad"},{"family":"Al-Zenki","given":"Sameer"},{"family":"Alam","given":"Iftikhar"},{"family":"Ali","given":"Jemal H."},{"family":"Alissa","given":"Eman"},{"family":"Anderson","given":"Simon"},{"family":"Anzid","given":"Karim"},{"family":"Arambepola","given":"Carukshi"},{"family":"Arici","given":"Mustafa"},{"family":"Arsenault","given":"Joanne"},{"family":"Asciak","given":"Renzo"},{"family":"Barbieri","given":"Helene E."},{"family":"Barengo","given":"Noël"},{"family":"Barquera","given":"Simon"},{"family":"Bas","given":"Murat"},{"family":"Becker","given":"Wulf"},{"family":"Beer-Borst","given":"Sigrid"},{"family":"Bergman","given":"Per"},{"family":"Biró","given":"Lajos"},{"family":"Boindala","given":"Sesikeran"},{"family":"Bovet","given":"Pascal"},{"family":"Bradshaw","given":"Debbie"},{"family":"Bukhary","given":"Noriklil BI"},{"family":"Bundhamcharoen","given":"Kanitta"},{"family":"Caballero","given":"Mauricio"},{"family":"Calleja","given":"Neville"},{"family":"Cao","given":"Xia"},{"family":"Capanzana","given":"Mario"},{"family":"Carmikle","given":"Jan"},{"family":"Castetbon","given":"Katia"},{"family":"Castro","given":"Michelle"},{"family":"Cerdena","given":"Corazon"},{"family":"Chang","given":"Hsing-Yi"},{"family":"Charlton","given":"Karen"},{"family":"Chen","given":"Yu"},{"family":"Chen","given":"Mei F."},{"family":"Chiplonkar","given":"Shashi"},{"family":"Cho","given":"Yoonsu"},{"family":"Chuah","given":"Khun-Aik"},{"family":"Costanzo","given":"Simona"},{"family":"Cowan","given":"Melanie"},{"family":"Damasceno","given":"Albertino"},{"family":"Dastgiri","given":"Saeed"},{"family":"Henauw","given":"Stefaan De"},{"family":"DeRidder","given":"Karin"},{"family":"Ding","given":"Eric"},{"family":"Dommarco","given":"Rivera"},{"family":"Don","given":"Rokiah"},{"family":"Duante","given":"Charmaine"},{"family":"Duleva","given":"Vesselka"},{"family":"Aguero","given":"Samuel Duran"},{"family":"Ekbote","given":"Veena"},{"family":"Ati","given":"Jalila El"},{"family":"Hamdouchi","given":"Asmaa El"},{"family":"El-kour","given":"Tatyana"},{"family":"Eldridge","given":"Alison"},{"family":"Elmadfa","given":"Ibrahim"},{"family":"Esteghamati","given":"Alireza"},{"family":"Etemad","given":"Zohreh"},{"family":"Fadzil","given":"Fariza"},{"family":"Farzadfar","given":"Farshad"},{"family":"Fernandez","given":"Anne"},{"family":"Fernando","given":"Dulitha"},{"family":"Fisberg","given":"Regina"},{"family":"Forsyth","given":"Simon"},{"family":"Gamboa-Delgado","given":"Edna"},{"family":"Garriguet","given":"Didier"},{"family":"Gaspoz","given":"Jean-Michel"},{"family":"Gauci","given":"Dorothy"},{"family":"Geleijnse","given":"Marianne"},{"family":"Ginnela","given":"Brahmam"},{"family":"Grosso","given":"Giuseppe"},{"family":"Guessous","given":"Idris"},{"family":"Gulliford","given":"Martin"},{"family":"Gunnarsdottir","given":"Ingibjorg"},{"family":"Hadden","given":"Wilbur"},{"family":"Hadziomeragic","given":"Aida"},{"family":"Haerpfer","given":"Christian"},{"family":"Hakeem","given":"Rubina"},{"family":"Haque","given":"Aminul"},{"family":"Hashemian","given":"Maryam"},{"family":"Hemalatha","given":"Rajkumar"},{"family":"Henjum","given":"Sigrun"},{"family":"Hinkov","given":"Hristo"},{"family":"Hjdaud","given":"Zaiton"},{"family":"Hoffman","given":"Daniel"},{"family":"Hopping","given":"Beth"},{"family":"Houshiar-rad","given":"Anahita"},{"family":"Hsieh","given":"Yao-Te"},{"family":"Hung","given":"Shu-Yi"},{"family":"Huybrechts","given":"Inge"},{"family":"Hwalla","given":"Nahla C."},{"family":"Ibrahim","given":"Hajah M."},{"family":"Ikeda","given":"Nayu"},{"family":"Illescas-Zarate","given":"Daniel"},{"family":"Inoue","given":"Manami"},{"family":"Janakiram","given":"Chandrashekar"},{"family":"Jayawardena","given":"Ranil"},{"family":"Jeewon","given":"Rajesh"},{"family":"Jitnarin","given":"Nattinee"},{"family":"Johansson","given":"Lars"},{"family":"Jonsdottir","given":"Olof"},{"family":"Jundishapur","given":"Ahvaz"},{"family":"Kally","given":"Ola"},{"family":"Kandiah","given":"Mirnalini"},{"family":"Karupaiah","given":"Tilakavati"},{"family":"Keinan-Boker","given":"Lital"},{"family":"Kelishadi","given":"Roya"},{"family":"Khadilkar","given":"Anuradha"},{"family":"Kim","given":"Cho-il"},{"family":"Koksal","given":"Eda"},{"family":"Konig","given":"Jurgen"},{"family":"Korkalo","given":"Liisa"},{"family":"Koster","given":"Jeremy"},{"family":"Kovalskys","given":"Irina"},{"family":"Krishnan","given":"Anand"},{"family":"Kruger","given":"Herculina"},{"family":"Kuriyan-Raj","given":"Rebecca"},{"family":"Kweon","given":"Sanghui"},{"family":"Lachat","given":"Carl"},{"family":"Lai","given":"Yuen"},{"family":"Lanerolle","given":"Pulani"},{"family":"Laxmaiah","given":"Avula"},{"family":"Leclercq","given":"Catherine"},{"family":"Lee","given":"Meei-Shyuan"},{"family":"Lee","given":"Hae-Jeung"},{"family":"Lemming","given":"Eva W."},{"family":"Li","given":"Yanping"},{"family":"Lindström","given":"Jaana"},{"family":"Ling","given":"Annie"},{"family":"Liputo","given":"Nur IL"},{"family":"Lopez-Jaramillo","given":"Patricio"},{"family":"Luke","given":"Amy"},{"family":"Lukito","given":"Widjaja"},{"family":"Lupotto","given":"Elisabette"},{"family":"Ma","given":"Yi"},{"family":"Mahdy","given":"Zaleha A."},{"family":"Malekzadeh","given":"Reza"},{"family":"Manan","given":"Wan"},{"family":"Marchioni","given":"Dirce"},{"family":"Marques","given":"Lydia L."},{"family":"Marques-Vidal","given":"Pedro"},{"family":"Yves Martin-Prevel","given":""},{"family":"Mathee","given":"Angie"},{"family":"Matsumura","given":"Yasuhiro"},{"family":"Mazumdar","given":"Paramita"},{"family":"Memon","given":"Anjum"},{"family":"Mensink","given":"Gert"},{"family":"Meyer","given":"Alexa"},{"family":"Mirmiran","given":"Parvin"},{"family":"Mirzaei","given":"Masoud"},{"family":"Misra","given":"Puneet"},{"family":"Misra","given":"Anoop"},{"family":"Mitchell","given":"Claudette"},{"family":"Mohamed","given":"Hamid JBJ"},{"family":"Mohammadi-Nasrabadi","given":"Fatemeh"},{"family":"Mohammadifard","given":"Noushin"},{"family":"Moy","given":"Foong M."},{"family":"Musaiger","given":"Abdulrahman"},{"family":"Mwaniki","given":"Elizabeth"},{"family":"Myhre","given":"Jannicke"},{"family":"Nagalla","given":"Balakrishna"},{"family":"Naska","given":"Androniki"},{"family":"Ng","given":"Swee A."},{"family":"Ng","given":"Shu W."},{"family":"Ngoan","given":"Le TN"},{"family":"Noshad","given":"Sina"},{"family":"Ochoa","given":"Angelica"},{"family":"Ocke","given":"Marga"},{"family":"Odenkirk","given":"Jillian"},{"family":"Oh","given":"Kyungwon"},{"family":"Oleas","given":"Mariana"},{"family":"Olivares","given":"Sonia"},{"family":"Orfanos","given":"Philippos"},{"family":"Ortiz-Ulloa","given":"Johana"},{"family":"Otero","given":"Johanna"},{"family":"Ovaskainen","given":"Marja-Leena"},{"family":"Pakseresht","given":"Mohammadreza"},{"family":"Palacios","given":"Cristina"},{"family":"Palmer","given":"Pam"},{"family":"Pan","given":"Wen-Harn"},{"family":"Panagiotakos","given":"Demosthenes"},{"family":"Parajuli","given":"Rajendra"},{"family":"Park","given":"Myungsook"},{"family":"Pekcan","given":"Gulden"},{"family":"Petrova","given":"Stefka"},{"family":"Piaseu","given":"Noppawan"},{"family":"Pitsavos","given":"Christos"},{"family":"Polasa","given":"Kalpagam"},{"family":"Posada","given":"Luz"},{"family":"Pourfarzi","given":"Farhad"},{"family":"Preston","given":"Alan M."},{"family":"Rached","given":"Ingrid"},{"family":"Rahbar","given":"Ali R."},{"family":"Rehm","given":"Colin"},{"family":"Richter","given":"Almut"},{"family":"Riley","given":"Leanne"},{"family":"Salanave","given":"Benoit"},{"family":"Sánchez-Romero","given":"Luz M."},{"family":"Sarrafzadegan","given":"Nizal"},{"family":"Sawada","given":"Norie"},{"family":"Sekiyama","given":"Makiko"},{"family":"Selamat","given":"Rusidah"},{"family":"Shamsuddin","given":"Khadijah"},{"family":"Shariff","given":"Zalilah M."},{"family":"Sharma","given":"Sangita"},{"family":"Sibai","given":"Abla M."},{"family":"Sinkko","given":"Harri"},{"family":"Sioen","given":"Isabelle"},{"family":"Sisa","given":"Ivan"},{"family":"Skeaff","given":"Sheila"},{"family":"Steingrimsdottir","given":"Laufey"},{"family":"Strand","given":"Tor"},{"family":"Suarez-Ortegon","given":"Milton F."},{"family":"Swaminathan","given":"Sumathi"},{"family":"Swan","given":"Gillian"},{"family":"Sygnowska","given":"Elzbieta"},{"family":"Szabo","given":"Maria"},{"family":"Szponar","given":"Lucjan"},{"family":"Tan-Khouw","given":"Ilse"},{"family":"Tapanainen","given":"Heli"},{"family":"Tayyem","given":"Reema"},{"family":"Tedla","given":"Bemnet"},{"family":"Tedstone","given":"Alison"},{"family":"Templeton","given":"Robert"},{"family":"Termote","given":"Celine"},{"family":"Thanopoulou","given":"Anastasia"},{"family":"Thorgeirsdottir","given":"Holmfridur"},{"family":"Thorsdottir","given":"Inga"},{"family":"Trichopoulos","given":"Dimitrios"},{"family":"Trichopoulou","given":"Antonia"},{"family":"Tsugane","given":"Shoichiro"},{"family":"Turrini","given":"Aida"},{"family":"Oosterhout","given":"Coline","dropping-particle":"van"},{"family":"Vartiainen","given":"Erkki"},{"family":"Veerman","given":"J. Lennert"},{"family":"Virtanen","given":"Suvi"},{"family":"Vollenweider","given":"Peter"},{"family":"Vossenaar","given":"Marieke"},{"family":"Waidyatilaka","given":"Indu"},{"family":"Waskiewicz","given":"Anna"},{"family":"Waterham","given":"Eveline"},{"family":"Wieler","given":"Lothar"},{"family":"Wondwossen","given":"Tizita"},{"family":"Wu","given":"Suh"},{"family":"Yaakub","given":"Roseyati"},{"family":"Yap","given":"Mabel"},{"family":"Yusof","given":"Safiah"},{"family":"Zaghloul","given":"Sahar"},{"family":"Zajkás","given":"Gábor"},{"family":"Zapata","given":"Maria"},{"family":"Zarina","given":"Khairul"},{"family":"Zohoori","given":"Fatemeh V."}],"issued":{"date-parts":[["2022",3,1]]}}}],"schema":"https://github.com/citation-style-language/schema/raw/master/csl-citation.json"} </w:instrText>
      </w:r>
      <w:r w:rsidRPr="00A67E56">
        <w:fldChar w:fldCharType="separate"/>
      </w:r>
      <w:r w:rsidR="00BE0ECE" w:rsidRPr="7A05EBEF">
        <w:rPr>
          <w:rFonts w:ascii="Aptos" w:hAnsi="Aptos" w:cs="Times New Roman"/>
          <w:vertAlign w:val="superscript"/>
        </w:rPr>
        <w:t>4</w:t>
      </w:r>
      <w:r w:rsidRPr="00A67E56">
        <w:fldChar w:fldCharType="end"/>
      </w:r>
      <w:r w:rsidRPr="00A67E56">
        <w:t xml:space="preserve">. </w:t>
      </w:r>
      <w:r w:rsidR="00BF770B" w:rsidRPr="00FA2DC8">
        <w:rPr>
          <w:rFonts w:ascii="Aptos" w:eastAsia="DengXian" w:hAnsi="Aptos" w:cs="Arial"/>
        </w:rPr>
        <w:t>Dietary intake data were aggregated across age groups using median values. Missing values were clearly flagged using placeholder values of 999 to preserve data structure during harmoni</w:t>
      </w:r>
      <w:r w:rsidR="008B427B">
        <w:rPr>
          <w:rFonts w:ascii="Aptos" w:eastAsia="DengXian" w:hAnsi="Aptos" w:cs="Arial"/>
        </w:rPr>
        <w:t>s</w:t>
      </w:r>
      <w:r w:rsidR="00BF770B" w:rsidRPr="00FA2DC8">
        <w:rPr>
          <w:rFonts w:ascii="Aptos" w:eastAsia="DengXian" w:hAnsi="Aptos" w:cs="Arial"/>
        </w:rPr>
        <w:t>ation.</w:t>
      </w:r>
      <w:r w:rsidR="001A49FE">
        <w:rPr>
          <w:rFonts w:ascii="Aptos" w:eastAsia="DengXian" w:hAnsi="Aptos" w:cs="Arial" w:hint="eastAsia"/>
        </w:rPr>
        <w:t xml:space="preserve"> </w:t>
      </w:r>
      <w:r w:rsidR="001A49FE">
        <w:t>Further</w:t>
      </w:r>
      <w:r w:rsidR="001A49FE">
        <w:rPr>
          <w:rFonts w:hint="eastAsia"/>
        </w:rPr>
        <w:t xml:space="preserve">, </w:t>
      </w:r>
      <w:r w:rsidR="05FBA8CA" w:rsidRPr="3597C786">
        <w:t>t</w:t>
      </w:r>
      <w:r w:rsidR="001A49FE" w:rsidRPr="00F24D5D">
        <w:t xml:space="preserve">he GDD does not report direct intake values for food groups such as sugar, vegetable oils, or animal fats. Instead, it provides nutrient-level indicators (e.g. omega-3 and omega-6 fatty acids, added sugars) that are derived from various source foods. </w:t>
      </w:r>
    </w:p>
    <w:p w14:paraId="52A2FCA5" w14:textId="5384CBDE" w:rsidR="006A2F00" w:rsidRPr="00AB60A7" w:rsidRDefault="008A73EE" w:rsidP="008A73EE">
      <w:pPr>
        <w:jc w:val="both"/>
        <w:rPr>
          <w:rFonts w:hint="eastAsia"/>
        </w:rPr>
      </w:pPr>
      <w:r w:rsidRPr="00A67E56">
        <w:t xml:space="preserve">The database provides detailed stratifications </w:t>
      </w:r>
      <w:r w:rsidR="76E7D464">
        <w:t xml:space="preserve">of food intake </w:t>
      </w:r>
      <w:r>
        <w:t>based</w:t>
      </w:r>
      <w:r w:rsidRPr="00A67E56">
        <w:t xml:space="preserve"> on age</w:t>
      </w:r>
      <w:r w:rsidRPr="00A67E56">
        <w:rPr>
          <w:rFonts w:hint="eastAsia"/>
        </w:rPr>
        <w:t xml:space="preserve"> (</w:t>
      </w:r>
      <w:r w:rsidR="009D7CD9">
        <w:rPr>
          <w:rFonts w:hint="eastAsia"/>
        </w:rPr>
        <w:t>20</w:t>
      </w:r>
      <w:r w:rsidRPr="00A67E56">
        <w:rPr>
          <w:rFonts w:hint="eastAsia"/>
        </w:rPr>
        <w:t xml:space="preserve"> age groups)</w:t>
      </w:r>
      <w:r w:rsidRPr="00A67E56" w:rsidDel="00A970B1">
        <w:t>,</w:t>
      </w:r>
      <w:r w:rsidRPr="00A67E56" w:rsidDel="26ACFCF4">
        <w:t xml:space="preserve"> </w:t>
      </w:r>
      <w:r w:rsidRPr="00A67E56">
        <w:t>sex</w:t>
      </w:r>
      <w:r w:rsidR="0AB04A90">
        <w:t xml:space="preserve"> (male or female)</w:t>
      </w:r>
      <w:r>
        <w:t>,</w:t>
      </w:r>
      <w:r w:rsidRPr="00A67E56">
        <w:t xml:space="preserve"> education level (low: 0-6 years formal education, middle: 6-12 years, high: 12+ </w:t>
      </w:r>
      <w:r>
        <w:t>y</w:t>
      </w:r>
      <w:r w:rsidRPr="00A67E56">
        <w:t xml:space="preserve">ears), and </w:t>
      </w:r>
      <w:r w:rsidRPr="00A67E56">
        <w:rPr>
          <w:rFonts w:hint="eastAsia"/>
        </w:rPr>
        <w:t>area</w:t>
      </w:r>
      <w:r w:rsidRPr="00A67E56">
        <w:t xml:space="preserve"> (urban/rural). </w:t>
      </w:r>
      <w:r>
        <w:t>We stratify our results into 72 subgroups based on these variables</w:t>
      </w:r>
      <w:r w:rsidRPr="00A67E56">
        <w:t xml:space="preserve">. </w:t>
      </w:r>
      <w:r>
        <w:t xml:space="preserve">For example, </w:t>
      </w:r>
      <w:r w:rsidRPr="00A67E56">
        <w:t>females aged 15–24 years living in rural areas with a low education level were considered one specific subgroup.</w:t>
      </w:r>
      <w:r w:rsidRPr="00A67E56">
        <w:rPr>
          <w:rFonts w:hint="eastAsia"/>
        </w:rPr>
        <w:t xml:space="preserve"> </w:t>
      </w:r>
    </w:p>
    <w:p w14:paraId="7CCBCF31" w14:textId="7F36EF90" w:rsidR="007C3801" w:rsidRPr="00B06802" w:rsidRDefault="005A32A9" w:rsidP="6B6B33D6">
      <w:pPr>
        <w:pStyle w:val="Heading1"/>
        <w:jc w:val="both"/>
        <w:rPr>
          <w:b/>
          <w:bCs/>
          <w:color w:val="auto"/>
          <w:sz w:val="28"/>
          <w:szCs w:val="28"/>
        </w:rPr>
      </w:pPr>
      <w:bookmarkStart w:id="1" w:name="_Toc204093428"/>
      <w:r w:rsidRPr="00B06802">
        <w:rPr>
          <w:rFonts w:hint="eastAsia"/>
          <w:b/>
          <w:bCs/>
          <w:color w:val="auto"/>
          <w:sz w:val="28"/>
          <w:szCs w:val="28"/>
        </w:rPr>
        <w:t>1.</w:t>
      </w:r>
      <w:r w:rsidR="004D6961">
        <w:rPr>
          <w:rFonts w:hint="eastAsia"/>
          <w:b/>
          <w:bCs/>
          <w:color w:val="auto"/>
          <w:sz w:val="28"/>
          <w:szCs w:val="28"/>
        </w:rPr>
        <w:t>1</w:t>
      </w:r>
      <w:r w:rsidR="00BE0ECE" w:rsidRPr="00B06802">
        <w:rPr>
          <w:rFonts w:hint="eastAsia"/>
          <w:b/>
          <w:bCs/>
          <w:color w:val="auto"/>
          <w:sz w:val="28"/>
          <w:szCs w:val="28"/>
        </w:rPr>
        <w:t>2</w:t>
      </w:r>
      <w:r w:rsidR="007C3801" w:rsidRPr="00B06802">
        <w:rPr>
          <w:b/>
          <w:bCs/>
          <w:color w:val="auto"/>
          <w:sz w:val="28"/>
          <w:szCs w:val="28"/>
        </w:rPr>
        <w:t xml:space="preserve"> </w:t>
      </w:r>
      <w:r w:rsidR="007C3801" w:rsidRPr="33E6E758">
        <w:rPr>
          <w:b/>
          <w:bCs/>
          <w:color w:val="auto"/>
          <w:sz w:val="32"/>
          <w:szCs w:val="32"/>
        </w:rPr>
        <w:t>The</w:t>
      </w:r>
      <w:r w:rsidR="007C3801" w:rsidRPr="00B06802">
        <w:rPr>
          <w:b/>
          <w:bCs/>
          <w:color w:val="auto"/>
          <w:sz w:val="28"/>
          <w:szCs w:val="28"/>
        </w:rPr>
        <w:t xml:space="preserve"> Food and Agriculture Biomass Input–Output Model (FABIO)</w:t>
      </w:r>
      <w:bookmarkEnd w:id="1"/>
    </w:p>
    <w:p w14:paraId="31D886F5" w14:textId="294E96E3" w:rsidR="007C3801" w:rsidRPr="00A67E56" w:rsidRDefault="007C3801" w:rsidP="007C3801">
      <w:pPr>
        <w:jc w:val="both"/>
        <w:rPr>
          <w:rFonts w:hint="eastAsia"/>
        </w:rPr>
      </w:pPr>
      <w:r w:rsidRPr="00A67E56">
        <w:t>FABIO is a global input-output model capture of domestic and global food flows which builds on FAOSTAT data to map global food supply chains for 1</w:t>
      </w:r>
      <w:r w:rsidR="002E13E1" w:rsidRPr="67952B28">
        <w:t>87 regions (186</w:t>
      </w:r>
      <w:r w:rsidRPr="00A67E56">
        <w:t xml:space="preserve"> countries </w:t>
      </w:r>
      <w:r w:rsidR="002E13E1" w:rsidRPr="67952B28">
        <w:t xml:space="preserve">+ </w:t>
      </w:r>
      <w:r w:rsidR="00253062" w:rsidRPr="67952B28">
        <w:t xml:space="preserve">1 </w:t>
      </w:r>
      <w:r w:rsidR="007361C0" w:rsidRPr="67952B28">
        <w:t xml:space="preserve">Rest of World) </w:t>
      </w:r>
      <w:r w:rsidRPr="00A67E56">
        <w:t>and 1</w:t>
      </w:r>
      <w:r w:rsidR="316126B9" w:rsidRPr="00A67E56">
        <w:t xml:space="preserve">23 </w:t>
      </w:r>
      <w:proofErr w:type="spellStart"/>
      <w:r w:rsidRPr="00A67E56">
        <w:t>sectors</w:t>
      </w:r>
      <w:r w:rsidRPr="00A67E56">
        <w:fldChar w:fldCharType="begin"/>
      </w:r>
      <w:r w:rsidR="00244635">
        <w:instrText xml:space="preserve"> ADDIN ZOTERO_ITEM CSL_CITATION {"citationID":"cqpsqXTX","properties":{"formattedCitation":"\\super 5\\nosupersub{}","plainCitation":"5","noteIndex":0},"citationItems":[{"id":199,"uris":["http://zotero.org/users/16665975/items/RH52RCEE"],"itemData":{"id":199,"type":"article-journal","abstract":"Harvested biomass is linked to final consumption by networks of processes and actors that convert and distribute food and nonfood goods. Achieving a sustainable resource metabolism of the economy is an overarching challenge which manifests itself in a number of the UN Sustainable Development Goals. Modeling the physical dimensions of biomass conversion and distribution networks is essential to understanding the characteristics, drivers, and dynamics of the socio-economic biomass metabolism. In this paper, we present the Food and Agriculture Biomass Input–Output model (FABIO), a set of multiregional supply, use and input–output tables in physical units, that document the complex flows of agricultural and food products in the global economy. The model assembles FAOSTAT statistics reporting crop production, trade, and utilization in physical units, supplemented by data on technical and metabolic conversion efficiencies, into a consistent, balanced, input–output framework. FABIO covers 191 countries and 130 agriculture, food and forestry products from 1986 to 2013. The physical supply use tables offered by FABIO provide a comprehensive, transparent, and flexible structure for organizing data representing flows of materials within metabolic networks. They allow tracing of biomass flows and embodied environmental pressures along global supply chains at an unprecedented level of product and country detail and can help to answer a range of questions regarding environment, agriculture, and trade. Here we apply FABIO to the case of cropland footprints and show the evolution of consumption-based cropland demand in China, the E.U., and the U.S.A. for plant-based and livestock-based food and nonfood products.","container-title":"Environmental Science &amp; Technology","DOI":"10.1021/acs.est.9b03554","ISSN":"0013-936X","issue":"19","journalAbbreviation":"Environ. Sci. Technol.","note":"publisher: American Chemical Society","page":"11302-11312","source":"ACS Publications","title":"FABIO—The Construction of the Food and Agriculture Biomass Input–Output Model","volume":"53","author":[{"family":"Bruckner","given":"Martin"},{"family":"Wood","given":"Richard"},{"family":"Moran","given":"Daniel"},{"family":"Kuschnig","given":"Nikolas"},{"family":"Wieland","given":"Hanspeter"},{"family":"Maus","given":"Victor"},{"family":"Börner","given":"Jan"}],"issued":{"date-parts":[["2019",10,1]]}}}],"schema":"https://github.com/citation-style-language/schema/raw/master/csl-citation.json"} </w:instrText>
      </w:r>
      <w:r w:rsidRPr="00A67E56">
        <w:fldChar w:fldCharType="separate"/>
      </w:r>
      <w:r w:rsidR="00244635" w:rsidRPr="00244635">
        <w:rPr>
          <w:rFonts w:ascii="Aptos" w:hAnsi="Aptos" w:cs="Times New Roman"/>
          <w:kern w:val="0"/>
          <w:vertAlign w:val="superscript"/>
        </w:rPr>
        <w:t>5</w:t>
      </w:r>
      <w:proofErr w:type="spellEnd"/>
      <w:r w:rsidRPr="00A67E56">
        <w:fldChar w:fldCharType="end"/>
      </w:r>
      <w:r w:rsidRPr="00A67E56">
        <w:t xml:space="preserve">. This model is integrated with environmental </w:t>
      </w:r>
      <w:r w:rsidRPr="00A67E56">
        <w:lastRenderedPageBreak/>
        <w:t>extensions (</w:t>
      </w:r>
      <w:r w:rsidRPr="5586FFB8">
        <w:t xml:space="preserve">Supplementary </w:t>
      </w:r>
      <w:r w:rsidRPr="00A67E56">
        <w:t xml:space="preserve">Table 1) to enable consumption-based </w:t>
      </w:r>
      <w:r w:rsidR="3002F501" w:rsidRPr="00A67E56">
        <w:t>environmental</w:t>
      </w:r>
      <w:r w:rsidRPr="00A67E56">
        <w:t xml:space="preserve"> </w:t>
      </w:r>
      <w:proofErr w:type="spellStart"/>
      <w:r w:rsidRPr="00A67E56">
        <w:t>footprinting</w:t>
      </w:r>
      <w:proofErr w:type="spellEnd"/>
      <w:r w:rsidRPr="00A67E56">
        <w:t xml:space="preserve"> of dietary intake, in which upstream production impacts related to country-specific sourcing pathways of food products can be calculated across the entire supply chain. This distinguishes environmental impacts of identical food products consumed in different countries. </w:t>
      </w:r>
      <w:r w:rsidR="4D2DC934" w:rsidRPr="00A67E56">
        <w:t>Such an approach</w:t>
      </w:r>
      <w:r w:rsidRPr="00A67E56">
        <w:t xml:space="preserve"> is preferable to employing food LCIA for several reasons. First, it offers a more precise estimate of environmental </w:t>
      </w:r>
      <w:proofErr w:type="spellStart"/>
      <w:r w:rsidRPr="00A67E56">
        <w:t>footprinting</w:t>
      </w:r>
      <w:proofErr w:type="spellEnd"/>
      <w:r w:rsidRPr="00A67E56">
        <w:t xml:space="preserve"> related to national consumption when compared with global and regional average impacts from LCIA. Second, it can be used to estimate the composition of products consumed within the coarse food groups of </w:t>
      </w:r>
      <w:proofErr w:type="spellStart"/>
      <w:r w:rsidRPr="00A67E56">
        <w:t>GDD</w:t>
      </w:r>
      <w:proofErr w:type="spellEnd"/>
      <w:r w:rsidRPr="00A67E56">
        <w:t xml:space="preserve"> and </w:t>
      </w:r>
      <w:proofErr w:type="spellStart"/>
      <w:r w:rsidRPr="00A67E56">
        <w:t>sectorally</w:t>
      </w:r>
      <w:proofErr w:type="spellEnd"/>
      <w:r w:rsidRPr="00A67E56">
        <w:t xml:space="preserve"> coarse </w:t>
      </w:r>
      <w:proofErr w:type="spellStart"/>
      <w:r w:rsidRPr="00A67E56">
        <w:t>LCIA</w:t>
      </w:r>
      <w:proofErr w:type="spellEnd"/>
      <w:r w:rsidRPr="00A67E56">
        <w:t xml:space="preserve"> estimates (e.g. apples and oranges in fruit consumption)</w:t>
      </w:r>
      <w:r w:rsidR="008B427B">
        <w:t>,</w:t>
      </w:r>
      <w:r w:rsidRPr="00A67E56">
        <w:t xml:space="preserve"> which differ greatly by impact and country. Third, it enables the possibility for trade-specific analy</w:t>
      </w:r>
      <w:r w:rsidR="317073FC" w:rsidRPr="00A67E56">
        <w:t>sis</w:t>
      </w:r>
      <w:r w:rsidRPr="00A67E56">
        <w:t xml:space="preserve"> of dietary change, e.g. domestic sourcing of foods or preferential sourcing of foods from low</w:t>
      </w:r>
      <w:r w:rsidR="008B427B">
        <w:t>-</w:t>
      </w:r>
      <w:r w:rsidRPr="00A67E56">
        <w:t xml:space="preserve">impact areas. </w:t>
      </w:r>
    </w:p>
    <w:p w14:paraId="6ADC8ED2" w14:textId="7991760C" w:rsidR="00D51D99" w:rsidRPr="00B06802" w:rsidRDefault="00440DE2" w:rsidP="6B6B33D6">
      <w:pPr>
        <w:pStyle w:val="Heading1"/>
        <w:jc w:val="both"/>
        <w:rPr>
          <w:b/>
          <w:bCs/>
          <w:color w:val="auto"/>
          <w:sz w:val="28"/>
          <w:szCs w:val="28"/>
        </w:rPr>
      </w:pPr>
      <w:bookmarkStart w:id="2" w:name="_Toc204093429"/>
      <w:r w:rsidRPr="00B06802">
        <w:rPr>
          <w:rFonts w:hint="eastAsia"/>
          <w:b/>
          <w:bCs/>
          <w:color w:val="auto"/>
          <w:sz w:val="28"/>
          <w:szCs w:val="28"/>
        </w:rPr>
        <w:t>1.</w:t>
      </w:r>
      <w:r w:rsidR="004D6961">
        <w:rPr>
          <w:rFonts w:hint="eastAsia"/>
          <w:b/>
          <w:bCs/>
          <w:color w:val="auto"/>
          <w:sz w:val="28"/>
          <w:szCs w:val="28"/>
        </w:rPr>
        <w:t>1</w:t>
      </w:r>
      <w:r w:rsidR="00D51D99" w:rsidRPr="00B06802">
        <w:rPr>
          <w:b/>
          <w:bCs/>
          <w:color w:val="auto"/>
          <w:sz w:val="28"/>
          <w:szCs w:val="28"/>
        </w:rPr>
        <w:t xml:space="preserve">3 </w:t>
      </w:r>
      <w:r w:rsidR="00D51D99" w:rsidRPr="33E6E758">
        <w:rPr>
          <w:b/>
          <w:bCs/>
          <w:color w:val="auto"/>
          <w:sz w:val="32"/>
          <w:szCs w:val="32"/>
        </w:rPr>
        <w:t>Alternative</w:t>
      </w:r>
      <w:r w:rsidR="00D51D99" w:rsidRPr="00B06802">
        <w:rPr>
          <w:b/>
          <w:bCs/>
          <w:color w:val="auto"/>
          <w:sz w:val="28"/>
          <w:szCs w:val="28"/>
        </w:rPr>
        <w:t xml:space="preserve"> Healthy Eating Index (AHEI)</w:t>
      </w:r>
      <w:bookmarkEnd w:id="2"/>
    </w:p>
    <w:p w14:paraId="67FFB24A" w14:textId="29848383" w:rsidR="00AB60A7" w:rsidRDefault="00D51D99" w:rsidP="00AB60A7">
      <w:pPr>
        <w:jc w:val="both"/>
        <w:rPr>
          <w:rFonts w:hint="eastAsia"/>
        </w:rPr>
      </w:pPr>
      <w:r w:rsidRPr="00A67E56">
        <w:t>The Alternative Healthy Eating Index (AHEI) was originally proposed by McCullough et al.</w:t>
      </w:r>
      <w:r w:rsidRPr="00A67E56">
        <w:fldChar w:fldCharType="begin"/>
      </w:r>
      <w:r w:rsidR="00BE297D">
        <w:instrText xml:space="preserve"> ADDIN ZOTERO_ITEM CSL_CITATION {"citationID":"9hzDotqU","properties":{"formattedCitation":"\\super 6\\nosupersub{}","plainCitation":"6","noteIndex":0},"citationItems":[{"id":75,"uris":["http://zotero.org/users/16665975/items/AUL59PVG"],"itemData":{"id":75,"type":"article-journal","abstract":"ObjectiveThe Healthy Eating Index (HEI), designed to assess adherence to the Dietary Guidelines for Americans and the Food Guide Pyramid, was previously associated with only a small reduction in major chronic disease risk in US adult men and women. We assessed whether an alternate index would better predict risk.DesignDietary intake reported by men and women from two prospective cohorts was scored according to an a priori designed Alternate Healthy Eating Index (AHEI). In contrast with the original HEI, the AHEI distinguished quality within food groups and acknowledged health benefits of unsaturated oils. The score was then used to predict development of CVD, cancer or other causes of death in the same population previously tested.Subjects67 271 women from the Nurses' Health Study and 38 615 men from the Health Professionals' Follow-up Study.ResultsMen and women with AHEI scores in the top vs. bottom quintile had a significant 20% and 11% reduction in overall major chronic disease, respectively. Reductions were stronger for CVD risk in men (RR = 0.61, 95% CI 0.49–0.75) and women (RR = 0.72, 95% CI 0.60–0.86). The score did not predict cancer risk.ConclusionsThe AHEI was twice as strong at predicting major chronic disease and CVD risk compared to the original HEI, suggesting that major chronic disease risk can be further reduced with more comprehensive and detailed dietary guidance.","container-title":"Public Health Nutrition","DOI":"10.1079/PHN2005938","ISSN":"1475-2727, 1368-9800","issue":"1a","language":"en","page":"152-157","source":"Cambridge University Press","title":"Evaluating adherence to recommended diets in adults: the Alternate Healthy Eating Index","title-short":"Evaluating adherence to recommended diets in adults","volume":"9","author":[{"family":"McCullough","given":"Marjorie L."},{"family":"Willett","given":"Walter C."}],"issued":{"date-parts":[["2006",2]]}}}],"schema":"https://github.com/citation-style-language/schema/raw/master/csl-citation.json"} </w:instrText>
      </w:r>
      <w:r w:rsidRPr="00A67E56">
        <w:fldChar w:fldCharType="separate"/>
      </w:r>
      <w:r w:rsidR="00BE297D" w:rsidRPr="00BE297D">
        <w:rPr>
          <w:rFonts w:ascii="Aptos" w:hAnsi="Aptos" w:cs="Times New Roman"/>
          <w:kern w:val="0"/>
          <w:vertAlign w:val="superscript"/>
        </w:rPr>
        <w:t>6</w:t>
      </w:r>
      <w:r w:rsidRPr="00A67E56">
        <w:fldChar w:fldCharType="end"/>
      </w:r>
      <w:r w:rsidR="0AB3872A" w:rsidRPr="00A67E56">
        <w:t>,</w:t>
      </w:r>
      <w:r w:rsidRPr="00A67E56">
        <w:t xml:space="preserve"> based on foods and nutrients most predictive of chronic disease risk. The AHEI focuses on evaluating the quality of dietary patterns</w:t>
      </w:r>
      <w:r w:rsidR="614A0FB5" w:rsidRPr="00A67E56">
        <w:t xml:space="preserve"> and</w:t>
      </w:r>
      <w:r w:rsidRPr="00A67E56">
        <w:t xml:space="preserve"> </w:t>
      </w:r>
      <w:r w:rsidR="0C1A12FD" w:rsidRPr="00A67E56">
        <w:t>is</w:t>
      </w:r>
      <w:r w:rsidRPr="00A67E56">
        <w:t xml:space="preserve"> designed to reflect long-term health outcomes, such as cardiovascular disease, type 2 diabetes, and certain cancers.</w:t>
      </w:r>
      <w:r w:rsidRPr="00A67E56">
        <w:rPr>
          <w:rFonts w:hint="eastAsia"/>
        </w:rPr>
        <w:t xml:space="preserve"> </w:t>
      </w:r>
    </w:p>
    <w:p w14:paraId="418101D9" w14:textId="66D72DAA" w:rsidR="00AB60A7" w:rsidRDefault="00D51D99" w:rsidP="00AB60A7">
      <w:pPr>
        <w:jc w:val="both"/>
        <w:rPr>
          <w:rFonts w:hint="eastAsia"/>
        </w:rPr>
      </w:pPr>
      <w:r>
        <w:t>The</w:t>
      </w:r>
      <w:r w:rsidRPr="00A67E56">
        <w:t xml:space="preserve"> AHEI includes nine dietary components based on epidemiological evidence linking them to chronic disease prevention. Among these, six components are considered protective and are scored positively with increasing intake: non-starchy vegetables, fruit, whole grains, nuts and legumes, polyunsaturated fatty acids (PUFAs), and long-chain n-3 PUFAs. Conversely, three components are scored negatively, meaning lower consumption is associated with better health outcomes: sugar-sweetened beverages and fruit juice (due to high free sugar content and low </w:t>
      </w:r>
      <w:r>
        <w:t>fibre</w:t>
      </w:r>
      <w:r w:rsidRPr="00A67E56">
        <w:t>), red and processed meats (linked to cancer and cardiovascular risk), and sodium (due to its association with hypertension and cardiovascular disease).</w:t>
      </w:r>
    </w:p>
    <w:p w14:paraId="25EBF43F" w14:textId="46FF4021" w:rsidR="00D51D99" w:rsidRPr="00A67E56" w:rsidRDefault="00D51D99" w:rsidP="00AB60A7">
      <w:pPr>
        <w:jc w:val="both"/>
        <w:rPr>
          <w:rFonts w:hint="eastAsia"/>
        </w:rPr>
      </w:pPr>
      <w:r w:rsidRPr="00A67E56">
        <w:t>Each component receives a score ranging from 0 to 10, where 0 indicates the least healthy intake and 10 represents optimal intake. The scoring system is continuous</w:t>
      </w:r>
      <w:r w:rsidR="008B427B">
        <w:t>,</w:t>
      </w:r>
      <w:r w:rsidRPr="00A67E56">
        <w:t xml:space="preserve"> and proportional intake between the minimum and maximum thresholds are assigned intermediate values accordingly (Supplementary Table </w:t>
      </w:r>
      <w:r w:rsidRPr="00A67E56">
        <w:rPr>
          <w:rFonts w:hint="eastAsia"/>
        </w:rPr>
        <w:t>2</w:t>
      </w:r>
      <w:r w:rsidRPr="00A67E56">
        <w:t xml:space="preserve">). The optimal intake levels for each component were established </w:t>
      </w:r>
      <w:r>
        <w:t xml:space="preserve">via </w:t>
      </w:r>
      <w:r w:rsidRPr="00A67E56">
        <w:t>a combination of current dietary guidelines and a substantial body of evidence from cohort studies and meta-analyses linking dietary factors to disease risk.</w:t>
      </w:r>
    </w:p>
    <w:p w14:paraId="66D55ED3" w14:textId="5C6AAB9C" w:rsidR="00EE2F90" w:rsidRPr="00B06802" w:rsidRDefault="00440DE2" w:rsidP="6B6B33D6">
      <w:pPr>
        <w:pStyle w:val="Heading1"/>
        <w:jc w:val="both"/>
        <w:rPr>
          <w:b/>
          <w:bCs/>
          <w:color w:val="auto"/>
          <w:sz w:val="28"/>
          <w:szCs w:val="28"/>
        </w:rPr>
      </w:pPr>
      <w:bookmarkStart w:id="3" w:name="_Toc204093430"/>
      <w:r w:rsidRPr="00B06802">
        <w:rPr>
          <w:rFonts w:hint="eastAsia"/>
          <w:b/>
          <w:bCs/>
          <w:color w:val="auto"/>
          <w:sz w:val="28"/>
          <w:szCs w:val="28"/>
        </w:rPr>
        <w:t>1.</w:t>
      </w:r>
      <w:r w:rsidR="004D6961">
        <w:rPr>
          <w:rFonts w:hint="eastAsia"/>
          <w:b/>
          <w:bCs/>
          <w:color w:val="auto"/>
          <w:sz w:val="28"/>
          <w:szCs w:val="28"/>
        </w:rPr>
        <w:t>1</w:t>
      </w:r>
      <w:r w:rsidR="00EE2F90" w:rsidRPr="00B06802">
        <w:rPr>
          <w:rFonts w:hint="eastAsia"/>
          <w:b/>
          <w:bCs/>
          <w:color w:val="auto"/>
          <w:sz w:val="28"/>
          <w:szCs w:val="28"/>
        </w:rPr>
        <w:t>4</w:t>
      </w:r>
      <w:r w:rsidR="00EE2F90" w:rsidRPr="00B06802">
        <w:rPr>
          <w:b/>
          <w:bCs/>
          <w:color w:val="auto"/>
          <w:sz w:val="28"/>
          <w:szCs w:val="28"/>
        </w:rPr>
        <w:t xml:space="preserve"> MATILDA modelling </w:t>
      </w:r>
      <w:r w:rsidR="00EE2F90" w:rsidRPr="00B06802">
        <w:rPr>
          <w:rFonts w:hint="eastAsia"/>
          <w:b/>
          <w:bCs/>
          <w:color w:val="auto"/>
          <w:sz w:val="28"/>
          <w:szCs w:val="28"/>
        </w:rPr>
        <w:t>approach</w:t>
      </w:r>
      <w:bookmarkEnd w:id="3"/>
      <w:r w:rsidR="00EE2F90" w:rsidRPr="00B06802">
        <w:rPr>
          <w:rFonts w:hint="eastAsia"/>
          <w:b/>
          <w:bCs/>
          <w:color w:val="auto"/>
          <w:sz w:val="28"/>
          <w:szCs w:val="28"/>
        </w:rPr>
        <w:t xml:space="preserve"> </w:t>
      </w:r>
    </w:p>
    <w:p w14:paraId="2C812894" w14:textId="72BD1C9A" w:rsidR="00AB4E58" w:rsidRPr="00AB4E58" w:rsidRDefault="00CE69B6" w:rsidP="005C6C47">
      <w:pPr>
        <w:jc w:val="both"/>
        <w:rPr>
          <w:rFonts w:hint="eastAsia"/>
        </w:rPr>
      </w:pPr>
      <w:r w:rsidRPr="00CE69B6">
        <w:t xml:space="preserve">After establishing the correspondence between GDD food groups and FABIO product categories, we estimated the environmental footprint associated with the consumption of one tonne of each GDD product. Subsequently, dietary footprints per capita were </w:t>
      </w:r>
      <w:r w:rsidRPr="00CE69B6">
        <w:lastRenderedPageBreak/>
        <w:t>computed for each subgroup by combining these footprint intensities with subgroup-specific daily dietary intake data (in grams per day) from the</w:t>
      </w:r>
      <w:r>
        <w:rPr>
          <w:rFonts w:hint="eastAsia"/>
        </w:rPr>
        <w:t xml:space="preserve"> </w:t>
      </w:r>
      <w:r w:rsidRPr="00CE69B6">
        <w:t>GDD. Finally, to enable comparisons of absolute environmental impacts across subgroups, these per capita estimates were scaled using population data from GLOPOP.</w:t>
      </w:r>
    </w:p>
    <w:p w14:paraId="3D71C2B9" w14:textId="1CDEEB1D" w:rsidR="00CE21E3" w:rsidRPr="00CE21E3" w:rsidRDefault="00CE21E3" w:rsidP="005C6C47">
      <w:pPr>
        <w:jc w:val="both"/>
        <w:rPr>
          <w:rFonts w:ascii="Aptos" w:eastAsia="DengXian" w:hAnsi="Aptos" w:cs="Arial" w:hint="eastAsia"/>
        </w:rPr>
      </w:pPr>
      <w:r w:rsidRPr="00CE21E3">
        <w:rPr>
          <w:rFonts w:ascii="Aptos" w:eastAsia="DengXian" w:hAnsi="Aptos" w:cs="Arial"/>
        </w:rPr>
        <w:t xml:space="preserve">The MATILDA database encompasses a regional coverage of 165 countries. For the present analysis, only countries with overlapping data availability across the three core datasets—FABIO, GDD, and GLOPOP—were included. Additionally, </w:t>
      </w:r>
      <w:r w:rsidR="003B0BB7" w:rsidRPr="00AB4E58">
        <w:rPr>
          <w:rFonts w:ascii="Aptos" w:eastAsia="DengXian" w:hAnsi="Aptos" w:cs="Arial"/>
        </w:rPr>
        <w:t>Bahrain, Brunei Darussalam, Eritrea, Qatar, Singapore, South Sudan</w:t>
      </w:r>
      <w:r w:rsidR="003B0BB7">
        <w:rPr>
          <w:rFonts w:ascii="Aptos" w:eastAsia="DengXian" w:hAnsi="Aptos" w:cs="Arial"/>
        </w:rPr>
        <w:t xml:space="preserve"> were </w:t>
      </w:r>
      <w:r w:rsidR="000372E3">
        <w:rPr>
          <w:rFonts w:ascii="Aptos" w:eastAsia="DengXian" w:hAnsi="Aptos" w:cs="Arial" w:hint="eastAsia"/>
        </w:rPr>
        <w:t xml:space="preserve">excluded </w:t>
      </w:r>
      <w:r w:rsidRPr="00CE21E3">
        <w:rPr>
          <w:rFonts w:ascii="Aptos" w:eastAsia="DengXian" w:hAnsi="Aptos" w:cs="Arial"/>
        </w:rPr>
        <w:t xml:space="preserve">due to the absence of final demand records in the FABIO dataset. Regarding temporal </w:t>
      </w:r>
      <w:r w:rsidR="006D15D0">
        <w:rPr>
          <w:rFonts w:ascii="Aptos" w:eastAsia="DengXian" w:hAnsi="Aptos" w:cs="Arial"/>
        </w:rPr>
        <w:t>concordance</w:t>
      </w:r>
      <w:r w:rsidRPr="00CE21E3">
        <w:rPr>
          <w:rFonts w:ascii="Aptos" w:eastAsia="DengXian" w:hAnsi="Aptos" w:cs="Arial"/>
        </w:rPr>
        <w:t>, data from FABIO and GDD correspond to the year 2018, while GLOPOP population estimates reflect the year 2015.</w:t>
      </w:r>
    </w:p>
    <w:p w14:paraId="6CE6EBC8" w14:textId="54362BDA" w:rsidR="22053CF0" w:rsidRDefault="22053CF0" w:rsidP="22053CF0">
      <w:pPr>
        <w:jc w:val="both"/>
        <w:rPr>
          <w:rFonts w:ascii="Aptos" w:eastAsia="DengXian" w:hAnsi="Aptos" w:cs="Arial" w:hint="eastAsia"/>
        </w:rPr>
      </w:pPr>
    </w:p>
    <w:p w14:paraId="2F8B53DB" w14:textId="3E658BD0" w:rsidR="005C6C47" w:rsidRPr="003828D9" w:rsidRDefault="005C6C47" w:rsidP="005C6C47">
      <w:pPr>
        <w:jc w:val="both"/>
        <w:rPr>
          <w:rFonts w:ascii="Aptos" w:eastAsia="DengXian" w:hAnsi="Aptos" w:cs="Arial" w:hint="eastAsia"/>
          <w:b/>
          <w:bCs/>
        </w:rPr>
      </w:pPr>
      <w:r w:rsidRPr="003828D9">
        <w:rPr>
          <w:rFonts w:ascii="Aptos" w:eastAsia="DengXian" w:hAnsi="Aptos" w:cs="Arial"/>
          <w:b/>
          <w:bCs/>
        </w:rPr>
        <w:t>FABIO</w:t>
      </w:r>
    </w:p>
    <w:p w14:paraId="0DDB16C4" w14:textId="0AE7DDB8" w:rsidR="00FE059C" w:rsidRPr="00E43A1B" w:rsidRDefault="005C6C47" w:rsidP="005C6C47">
      <w:pPr>
        <w:jc w:val="both"/>
        <w:rPr>
          <w:rFonts w:hint="eastAsia"/>
        </w:rPr>
      </w:pPr>
      <w:r w:rsidRPr="003828D9">
        <w:rPr>
          <w:rFonts w:ascii="Aptos" w:eastAsia="DengXian" w:hAnsi="Aptos" w:cs="Arial"/>
        </w:rPr>
        <w:t xml:space="preserve">For this analysis we </w:t>
      </w:r>
      <w:r w:rsidR="00674070" w:rsidRPr="003828D9">
        <w:rPr>
          <w:rFonts w:ascii="Aptos" w:eastAsia="DengXian" w:hAnsi="Aptos" w:cs="Arial"/>
        </w:rPr>
        <w:t>utili</w:t>
      </w:r>
      <w:r w:rsidR="361D7364" w:rsidRPr="003828D9">
        <w:rPr>
          <w:rFonts w:ascii="Aptos" w:eastAsia="DengXian" w:hAnsi="Aptos" w:cs="Arial"/>
        </w:rPr>
        <w:t>s</w:t>
      </w:r>
      <w:r w:rsidR="00674070" w:rsidRPr="003828D9">
        <w:rPr>
          <w:rFonts w:ascii="Aptos" w:eastAsia="DengXian" w:hAnsi="Aptos" w:cs="Arial"/>
        </w:rPr>
        <w:t>e</w:t>
      </w:r>
      <w:r w:rsidRPr="003828D9" w:rsidDel="00674070">
        <w:rPr>
          <w:rFonts w:ascii="Aptos" w:eastAsia="DengXian" w:hAnsi="Aptos" w:cs="Arial"/>
        </w:rPr>
        <w:t xml:space="preserve"> </w:t>
      </w:r>
      <w:r w:rsidRPr="003828D9">
        <w:rPr>
          <w:rFonts w:ascii="Aptos" w:eastAsia="DengXian" w:hAnsi="Aptos" w:cs="Arial"/>
        </w:rPr>
        <w:t xml:space="preserve">the </w:t>
      </w:r>
      <w:r w:rsidR="00116CCF" w:rsidRPr="003828D9">
        <w:rPr>
          <w:rFonts w:ascii="Aptos" w:eastAsia="DengXian" w:hAnsi="Aptos" w:cs="Arial"/>
        </w:rPr>
        <w:t xml:space="preserve">FABIO </w:t>
      </w:r>
      <w:proofErr w:type="spellStart"/>
      <w:r w:rsidR="34BE2DEC" w:rsidRPr="003828D9">
        <w:rPr>
          <w:rFonts w:ascii="Aptos" w:eastAsia="DengXian" w:hAnsi="Aptos" w:cs="Arial"/>
        </w:rPr>
        <w:t>V1.2</w:t>
      </w:r>
      <w:proofErr w:type="spellEnd"/>
      <w:r w:rsidR="00AD3EC2">
        <w:rPr>
          <w:rFonts w:ascii="Aptos" w:eastAsia="DengXian" w:hAnsi="Aptos" w:cs="Arial" w:hint="eastAsia"/>
        </w:rPr>
        <w:t>,</w:t>
      </w:r>
      <w:r w:rsidR="00A600EA">
        <w:rPr>
          <w:rFonts w:ascii="Aptos" w:eastAsia="DengXian" w:hAnsi="Aptos" w:cs="Arial" w:hint="eastAsia"/>
        </w:rPr>
        <w:t xml:space="preserve"> </w:t>
      </w:r>
      <w:r w:rsidRPr="003828D9">
        <w:rPr>
          <w:rFonts w:ascii="Aptos" w:eastAsia="DengXian" w:hAnsi="Aptos" w:cs="Arial"/>
        </w:rPr>
        <w:t>which provide</w:t>
      </w:r>
      <w:r w:rsidR="006E45A5" w:rsidRPr="003828D9">
        <w:rPr>
          <w:rFonts w:ascii="Aptos" w:eastAsia="DengXian" w:hAnsi="Aptos" w:cs="Arial"/>
        </w:rPr>
        <w:t>s</w:t>
      </w:r>
      <w:r w:rsidRPr="003828D9">
        <w:rPr>
          <w:rFonts w:ascii="Aptos" w:eastAsia="DengXian" w:hAnsi="Aptos" w:cs="Arial"/>
        </w:rPr>
        <w:t xml:space="preserve"> data on </w:t>
      </w:r>
      <w:r w:rsidR="00CF2761" w:rsidRPr="003828D9">
        <w:rPr>
          <w:rFonts w:ascii="Aptos" w:eastAsia="DengXian" w:hAnsi="Aptos" w:cs="Arial"/>
        </w:rPr>
        <w:t xml:space="preserve">GHG emissions, water </w:t>
      </w:r>
      <w:r w:rsidRPr="003828D9">
        <w:rPr>
          <w:rFonts w:ascii="Aptos" w:eastAsia="DengXian" w:hAnsi="Aptos" w:cs="Arial"/>
        </w:rPr>
        <w:t xml:space="preserve">use and </w:t>
      </w:r>
      <w:r w:rsidR="00CF2761" w:rsidRPr="003828D9">
        <w:rPr>
          <w:rFonts w:ascii="Aptos" w:eastAsia="DengXian" w:hAnsi="Aptos" w:cs="Arial"/>
        </w:rPr>
        <w:t xml:space="preserve">land </w:t>
      </w:r>
      <w:r w:rsidRPr="003828D9">
        <w:rPr>
          <w:rFonts w:ascii="Aptos" w:eastAsia="DengXian" w:hAnsi="Aptos" w:cs="Arial"/>
        </w:rPr>
        <w:t xml:space="preserve">use, and the trade relations. </w:t>
      </w:r>
      <w:r w:rsidR="00BB2031" w:rsidRPr="003828D9">
        <w:rPr>
          <w:rFonts w:ascii="Aptos" w:eastAsia="DengXian" w:hAnsi="Aptos" w:cs="Arial"/>
        </w:rPr>
        <w:t xml:space="preserve">The underlying data are available upon </w:t>
      </w:r>
      <w:r w:rsidR="002B14A5" w:rsidRPr="003828D9">
        <w:rPr>
          <w:rFonts w:ascii="Aptos" w:eastAsia="DengXian" w:hAnsi="Aptos" w:cs="Arial"/>
        </w:rPr>
        <w:t xml:space="preserve">reasonable </w:t>
      </w:r>
      <w:r w:rsidR="00BB2031" w:rsidRPr="003828D9">
        <w:rPr>
          <w:rFonts w:ascii="Aptos" w:eastAsia="DengXian" w:hAnsi="Aptos" w:cs="Arial"/>
        </w:rPr>
        <w:t>request.</w:t>
      </w:r>
      <w:r w:rsidR="002B14A5" w:rsidRPr="003828D9">
        <w:rPr>
          <w:rFonts w:ascii="Aptos" w:eastAsia="DengXian" w:hAnsi="Aptos" w:cs="Arial"/>
        </w:rPr>
        <w:t xml:space="preserve"> FABIO V1.1 is available at: </w:t>
      </w:r>
      <w:hyperlink r:id="rId8" w:history="1">
        <w:r w:rsidR="0029282B" w:rsidRPr="00682CC7">
          <w:rPr>
            <w:rStyle w:val="Hyperlink"/>
            <w:rFonts w:ascii="Aptos" w:eastAsia="DengXian" w:hAnsi="Aptos" w:cs="Arial"/>
          </w:rPr>
          <w:t>https://</w:t>
        </w:r>
        <w:proofErr w:type="spellStart"/>
        <w:r w:rsidR="0029282B" w:rsidRPr="00682CC7">
          <w:rPr>
            <w:rStyle w:val="Hyperlink"/>
            <w:rFonts w:ascii="Aptos" w:eastAsia="DengXian" w:hAnsi="Aptos" w:cs="Arial"/>
          </w:rPr>
          <w:t>doi.org</w:t>
        </w:r>
        <w:proofErr w:type="spellEnd"/>
        <w:r w:rsidR="0029282B" w:rsidRPr="00682CC7">
          <w:rPr>
            <w:rStyle w:val="Hyperlink"/>
            <w:rFonts w:ascii="Aptos" w:eastAsia="DengXian" w:hAnsi="Aptos" w:cs="Arial"/>
          </w:rPr>
          <w:t>/10.5281/</w:t>
        </w:r>
        <w:proofErr w:type="spellStart"/>
        <w:r w:rsidR="0029282B" w:rsidRPr="00682CC7">
          <w:rPr>
            <w:rStyle w:val="Hyperlink"/>
            <w:rFonts w:ascii="Aptos" w:eastAsia="DengXian" w:hAnsi="Aptos" w:cs="Arial"/>
          </w:rPr>
          <w:t>zenodo.2577067</w:t>
        </w:r>
        <w:proofErr w:type="spellEnd"/>
      </w:hyperlink>
      <w:r w:rsidR="002B14A5" w:rsidRPr="6FC12568">
        <w:rPr>
          <w:rFonts w:ascii="Aptos" w:eastAsia="DengXian" w:hAnsi="Aptos" w:cs="Arial"/>
        </w:rPr>
        <w:t>.</w:t>
      </w:r>
    </w:p>
    <w:p w14:paraId="5B3CD8B7" w14:textId="4D4EBBBC" w:rsidR="005C6C47" w:rsidRPr="00A67E56" w:rsidRDefault="005C6C47" w:rsidP="005C6C47">
      <w:pPr>
        <w:jc w:val="both"/>
        <w:rPr>
          <w:rFonts w:hint="eastAsia"/>
          <w:b/>
          <w:bCs/>
        </w:rPr>
      </w:pPr>
      <w:r w:rsidRPr="00A67E56">
        <w:rPr>
          <w:b/>
          <w:bCs/>
        </w:rPr>
        <w:t>Product-group concordance</w:t>
      </w:r>
    </w:p>
    <w:p w14:paraId="79360DBC" w14:textId="77777777" w:rsidR="00A30A7B" w:rsidRDefault="005C6C47" w:rsidP="005C6C47">
      <w:pPr>
        <w:jc w:val="both"/>
        <w:rPr>
          <w:rFonts w:hint="eastAsia"/>
        </w:rPr>
      </w:pPr>
      <w:r w:rsidRPr="00DA322A">
        <w:t>To obtain the environmental footprint of the GDD consump</w:t>
      </w:r>
      <w:r>
        <w:rPr>
          <w:rFonts w:ascii="Aptos" w:hAnsi="Aptos" w:cs="Aptos"/>
        </w:rPr>
        <w:t>ti</w:t>
      </w:r>
      <w:r w:rsidRPr="00DA322A">
        <w:t>on levels per subgroup per country, we integrate</w:t>
      </w:r>
      <w:r w:rsidR="002B14A5">
        <w:t>d</w:t>
      </w:r>
      <w:r w:rsidRPr="00DA322A">
        <w:t xml:space="preserve"> GDD with FABIO. </w:t>
      </w:r>
      <w:r w:rsidR="002B14A5">
        <w:t>To achieve this</w:t>
      </w:r>
      <w:r w:rsidRPr="00DA322A">
        <w:t>, we construct a concordance table between GDD’s 16</w:t>
      </w:r>
      <w:r>
        <w:rPr>
          <w:rFonts w:hint="eastAsia"/>
        </w:rPr>
        <w:t xml:space="preserve"> </w:t>
      </w:r>
      <w:r w:rsidRPr="00DA322A">
        <w:t xml:space="preserve">food groups and </w:t>
      </w:r>
      <w:r w:rsidDel="00EE2F90">
        <w:t>72</w:t>
      </w:r>
      <w:r w:rsidRPr="00DA322A">
        <w:t xml:space="preserve"> of the food products in FABIO (Supplementary Table 3). </w:t>
      </w:r>
      <w:r>
        <w:t>The country-specific sourcing patterns in the FABIO final demand (Y) matrix</w:t>
      </w:r>
      <w:r w:rsidRPr="00DA322A">
        <w:t xml:space="preserve"> </w:t>
      </w:r>
      <w:r>
        <w:t xml:space="preserve">and the concordance table </w:t>
      </w:r>
      <w:r w:rsidRPr="00DA322A">
        <w:t>allow</w:t>
      </w:r>
      <w:r>
        <w:t>s</w:t>
      </w:r>
      <w:r w:rsidRPr="00DA322A">
        <w:t xml:space="preserve"> </w:t>
      </w:r>
      <w:r w:rsidRPr="00664B65">
        <w:t xml:space="preserve">for </w:t>
      </w:r>
      <w:r>
        <w:t xml:space="preserve">estimation of the country-specific </w:t>
      </w:r>
      <w:r w:rsidRPr="00664B65">
        <w:t>product composition</w:t>
      </w:r>
      <w:r>
        <w:t xml:space="preserve"> and sourcing pattern for the consumption of</w:t>
      </w:r>
      <w:r w:rsidR="00A30A7B">
        <w:rPr>
          <w:rFonts w:hint="eastAsia"/>
        </w:rPr>
        <w:t xml:space="preserve"> </w:t>
      </w:r>
      <w:r>
        <w:t xml:space="preserve">one tonne of a </w:t>
      </w:r>
      <w:proofErr w:type="spellStart"/>
      <w:r>
        <w:t>GDD</w:t>
      </w:r>
      <w:proofErr w:type="spellEnd"/>
      <w:r>
        <w:t xml:space="preserve"> product group with the following equation:</w:t>
      </w:r>
    </w:p>
    <w:p w14:paraId="4852C4EA" w14:textId="686B58AF" w:rsidR="005C6C47" w:rsidRPr="00965CC1" w:rsidRDefault="005C6C47" w:rsidP="005C6C47">
      <w:pPr>
        <w:jc w:val="both"/>
        <w:rPr>
          <w:rFonts w:hint="eastAsia"/>
        </w:rPr>
      </w:pPr>
      <w:r w:rsidRPr="00965CC1">
        <w:rPr>
          <w:color w:val="0070C0"/>
        </w:rPr>
        <w:br/>
      </w:r>
      <m:oMathPara>
        <m:oMath>
          <m:sSub>
            <m:sSubPr>
              <m:ctrlPr>
                <w:rPr>
                  <w:rFonts w:ascii="Cambria Math" w:hAnsi="Cambria Math"/>
                  <w:i/>
                </w:rPr>
              </m:ctrlPr>
            </m:sSubPr>
            <m:e>
              <m:acc>
                <m:accPr>
                  <m:chr m:val="⃑"/>
                  <m:ctrlPr>
                    <w:rPr>
                      <w:rFonts w:ascii="Cambria Math" w:hAnsi="Cambria Math"/>
                    </w:rPr>
                  </m:ctrlPr>
                </m:accPr>
                <m:e>
                  <m:acc>
                    <m:accPr>
                      <m:ctrlPr>
                        <w:rPr>
                          <w:rFonts w:ascii="Cambria Math" w:hAnsi="Cambria Math"/>
                        </w:rPr>
                      </m:ctrlPr>
                    </m:accPr>
                    <m:e>
                      <m:r>
                        <w:rPr>
                          <w:rFonts w:ascii="Cambria Math" w:hAnsi="Cambria Math"/>
                        </w:rPr>
                        <m:t>y</m:t>
                      </m:r>
                    </m:e>
                  </m:acc>
                </m:e>
              </m:acc>
            </m:e>
            <m:sub>
              <m:r>
                <w:rPr>
                  <w:rFonts w:ascii="Cambria Math" w:hAnsi="Cambria Math"/>
                </w:rPr>
                <m:t>C, fg</m:t>
              </m:r>
            </m:sub>
          </m:sSub>
          <m:r>
            <w:rPr>
              <w:rFonts w:ascii="Cambria Math" w:hAnsi="Cambria Math"/>
            </w:rPr>
            <m:t xml:space="preserve">= </m:t>
          </m:r>
          <m:f>
            <m:fPr>
              <m:ctrlPr>
                <w:rPr>
                  <w:rFonts w:ascii="Cambria Math" w:hAnsi="Cambria Math"/>
                  <w:i/>
                </w:rPr>
              </m:ctrlPr>
            </m:fPr>
            <m:num>
              <m:sSub>
                <m:sSubPr>
                  <m:ctrlPr>
                    <w:rPr>
                      <w:rFonts w:ascii="Cambria Math" w:hAnsi="Cambria Math"/>
                      <w:i/>
                    </w:rPr>
                  </m:ctrlPr>
                </m:sSubPr>
                <m:e>
                  <m:acc>
                    <m:accPr>
                      <m:chr m:val="⃑"/>
                      <m:ctrlPr>
                        <w:rPr>
                          <w:rFonts w:ascii="Cambria Math" w:hAnsi="Cambria Math"/>
                        </w:rPr>
                      </m:ctrlPr>
                    </m:accPr>
                    <m:e>
                      <m:r>
                        <w:rPr>
                          <w:rFonts w:ascii="Cambria Math" w:hAnsi="Cambria Math"/>
                        </w:rPr>
                        <m:t>y</m:t>
                      </m:r>
                    </m:e>
                  </m:acc>
                  <m:ctrlPr>
                    <w:rPr>
                      <w:rFonts w:ascii="Cambria Math" w:hAnsi="Cambria Math"/>
                      <w:i/>
                      <w:lang w:val="nl-NL"/>
                    </w:rPr>
                  </m:ctrlPr>
                </m:e>
                <m:sub>
                  <m:r>
                    <w:rPr>
                      <w:rFonts w:ascii="Cambria Math" w:hAnsi="Cambria Math"/>
                    </w:rPr>
                    <m:t>C, </m:t>
                  </m:r>
                  <m:sSub>
                    <m:sSubPr>
                      <m:ctrlPr>
                        <w:rPr>
                          <w:rFonts w:ascii="Cambria Math" w:hAnsi="Cambria Math"/>
                          <w:i/>
                        </w:rPr>
                      </m:ctrlPr>
                    </m:sSubPr>
                    <m:e>
                      <m:r>
                        <w:rPr>
                          <w:rFonts w:ascii="Cambria Math" w:hAnsi="Cambria Math"/>
                        </w:rPr>
                        <m:t>P</m:t>
                      </m:r>
                      <m:ctrlPr>
                        <w:rPr>
                          <w:rFonts w:ascii="Cambria Math" w:hAnsi="Cambria Math"/>
                          <w:i/>
                          <w:lang w:val="nl-NL"/>
                        </w:rPr>
                      </m:ctrlPr>
                    </m:e>
                    <m:sub>
                      <m:r>
                        <w:rPr>
                          <w:rFonts w:ascii="Cambria Math" w:hAnsi="Cambria Math"/>
                        </w:rPr>
                        <m:t>fg</m:t>
                      </m:r>
                    </m:sub>
                  </m:sSub>
                  <m:r>
                    <w:rPr>
                      <w:rFonts w:ascii="Cambria Math" w:hAnsi="Cambria Math"/>
                    </w:rPr>
                    <m:t xml:space="preserve"> </m:t>
                  </m:r>
                </m:sub>
              </m:sSub>
            </m:num>
            <m:den>
              <m:nary>
                <m:naryPr>
                  <m:chr m:val="∑"/>
                  <m:limLoc m:val="undOvr"/>
                  <m:subHide m:val="1"/>
                  <m:supHide m:val="1"/>
                  <m:ctrlPr>
                    <w:rPr>
                      <w:rFonts w:ascii="Cambria Math" w:hAnsi="Cambria Math"/>
                      <w:i/>
                    </w:rPr>
                  </m:ctrlPr>
                </m:naryPr>
                <m:sub/>
                <m:sup/>
                <m:e>
                  <m:sSub>
                    <m:sSubPr>
                      <m:ctrlPr>
                        <w:rPr>
                          <w:rFonts w:ascii="Cambria Math" w:hAnsi="Cambria Math"/>
                          <w:i/>
                        </w:rPr>
                      </m:ctrlPr>
                    </m:sSubPr>
                    <m:e>
                      <m:acc>
                        <m:accPr>
                          <m:chr m:val="⃑"/>
                          <m:ctrlPr>
                            <w:rPr>
                              <w:rFonts w:ascii="Cambria Math" w:hAnsi="Cambria Math"/>
                            </w:rPr>
                          </m:ctrlPr>
                        </m:accPr>
                        <m:e>
                          <m:r>
                            <w:rPr>
                              <w:rFonts w:ascii="Cambria Math" w:hAnsi="Cambria Math"/>
                            </w:rPr>
                            <m:t>y</m:t>
                          </m:r>
                        </m:e>
                      </m:acc>
                      <m:ctrlPr>
                        <w:rPr>
                          <w:rFonts w:ascii="Cambria Math" w:hAnsi="Cambria Math"/>
                          <w:i/>
                          <w:lang w:val="nl-NL"/>
                        </w:rPr>
                      </m:ctrlPr>
                    </m:e>
                    <m:sub>
                      <m:r>
                        <w:rPr>
                          <w:rFonts w:ascii="Cambria Math" w:hAnsi="Cambria Math"/>
                        </w:rPr>
                        <m:t>C, </m:t>
                      </m:r>
                      <m:sSub>
                        <m:sSubPr>
                          <m:ctrlPr>
                            <w:rPr>
                              <w:rFonts w:ascii="Cambria Math" w:hAnsi="Cambria Math"/>
                              <w:i/>
                            </w:rPr>
                          </m:ctrlPr>
                        </m:sSubPr>
                        <m:e>
                          <m:r>
                            <w:rPr>
                              <w:rFonts w:ascii="Cambria Math" w:hAnsi="Cambria Math"/>
                            </w:rPr>
                            <m:t>P</m:t>
                          </m:r>
                          <m:ctrlPr>
                            <w:rPr>
                              <w:rFonts w:ascii="Cambria Math" w:hAnsi="Cambria Math"/>
                              <w:i/>
                              <w:lang w:val="nl-NL"/>
                            </w:rPr>
                          </m:ctrlPr>
                        </m:e>
                        <m:sub>
                          <m:r>
                            <w:rPr>
                              <w:rFonts w:ascii="Cambria Math" w:hAnsi="Cambria Math"/>
                            </w:rPr>
                            <m:t>fg</m:t>
                          </m:r>
                        </m:sub>
                      </m:sSub>
                      <m:r>
                        <w:rPr>
                          <w:rFonts w:ascii="Cambria Math" w:hAnsi="Cambria Math"/>
                        </w:rPr>
                        <m:t xml:space="preserve"> </m:t>
                      </m:r>
                    </m:sub>
                  </m:sSub>
                </m:e>
              </m:nary>
            </m:den>
          </m:f>
        </m:oMath>
      </m:oMathPara>
    </w:p>
    <w:p w14:paraId="2A591615" w14:textId="77777777" w:rsidR="005C6C47" w:rsidRPr="00E06572" w:rsidRDefault="005C6C47" w:rsidP="005C6C47">
      <w:pPr>
        <w:spacing w:line="276" w:lineRule="auto"/>
        <w:jc w:val="both"/>
        <w:rPr>
          <w:rFonts w:hint="eastAsia"/>
        </w:rPr>
      </w:pPr>
      <w:r w:rsidRPr="00E06572">
        <w:t xml:space="preserve">Where </w:t>
      </w:r>
      <m:oMath>
        <m:sSub>
          <m:sSubPr>
            <m:ctrlPr>
              <w:rPr>
                <w:rFonts w:ascii="Cambria Math" w:hAnsi="Cambria Math"/>
              </w:rPr>
            </m:ctrlPr>
          </m:sSubPr>
          <m:e>
            <m:acc>
              <m:accPr>
                <m:chr m:val="⃑"/>
                <m:ctrlPr>
                  <w:rPr>
                    <w:rFonts w:ascii="Cambria Math" w:hAnsi="Cambria Math"/>
                  </w:rPr>
                </m:ctrlPr>
              </m:accPr>
              <m:e>
                <m:acc>
                  <m:accPr>
                    <m:ctrlPr>
                      <w:rPr>
                        <w:rFonts w:ascii="Cambria Math" w:hAnsi="Cambria Math"/>
                      </w:rPr>
                    </m:ctrlPr>
                  </m:accPr>
                  <m:e>
                    <m:r>
                      <w:rPr>
                        <w:rFonts w:ascii="Cambria Math" w:hAnsi="Cambria Math"/>
                      </w:rPr>
                      <m:t>y</m:t>
                    </m:r>
                  </m:e>
                </m:acc>
              </m:e>
            </m:acc>
          </m:e>
          <m:sub>
            <m:r>
              <w:rPr>
                <w:rFonts w:ascii="Cambria Math" w:hAnsi="Cambria Math"/>
              </w:rPr>
              <m:t>C</m:t>
            </m:r>
            <m:r>
              <m:rPr>
                <m:sty m:val="p"/>
              </m:rPr>
              <w:rPr>
                <w:rFonts w:ascii="Cambria Math" w:hAnsi="Cambria Math"/>
              </w:rPr>
              <m:t>, </m:t>
            </m:r>
            <m:r>
              <w:rPr>
                <w:rFonts w:ascii="Cambria Math" w:hAnsi="Cambria Math"/>
              </w:rPr>
              <m:t>fg</m:t>
            </m:r>
          </m:sub>
        </m:sSub>
      </m:oMath>
      <w:r w:rsidRPr="00E06572">
        <w:t xml:space="preserve"> gives the contribu</w:t>
      </w:r>
      <w:r w:rsidRPr="00E06572">
        <w:rPr>
          <w:rFonts w:hint="eastAsia"/>
        </w:rPr>
        <w:t>ti</w:t>
      </w:r>
      <w:r w:rsidRPr="00E06572">
        <w:t xml:space="preserve">ons of FABIO products and their producing countries for the final demand of country </w:t>
      </w:r>
      <w:r w:rsidRPr="00E06572">
        <w:rPr>
          <w:rFonts w:ascii="Cambria Math" w:hAnsi="Cambria Math" w:cs="Cambria Math"/>
        </w:rPr>
        <w:t>𝐶</w:t>
      </w:r>
      <w:r w:rsidRPr="00E06572">
        <w:t xml:space="preserve"> of one tonne of GDD food group </w:t>
      </w:r>
      <w:r w:rsidRPr="00E06572">
        <w:rPr>
          <w:rFonts w:ascii="Cambria Math" w:hAnsi="Cambria Math" w:cs="Cambria Math"/>
        </w:rPr>
        <w:t>𝑓𝑔</w:t>
      </w:r>
      <w:r w:rsidRPr="00E06572">
        <w:t xml:space="preserve">. This is based on </w:t>
      </w:r>
      <m:oMath>
        <m:sSub>
          <m:sSubPr>
            <m:ctrlPr>
              <w:rPr>
                <w:rFonts w:ascii="Cambria Math" w:hAnsi="Cambria Math"/>
              </w:rPr>
            </m:ctrlPr>
          </m:sSubPr>
          <m:e>
            <m:acc>
              <m:accPr>
                <m:chr m:val="⃑"/>
                <m:ctrlPr>
                  <w:rPr>
                    <w:rFonts w:ascii="Cambria Math" w:hAnsi="Cambria Math"/>
                  </w:rPr>
                </m:ctrlPr>
              </m:accPr>
              <m:e>
                <m:acc>
                  <m:accPr>
                    <m:ctrlPr>
                      <w:rPr>
                        <w:rFonts w:ascii="Cambria Math" w:hAnsi="Cambria Math"/>
                      </w:rPr>
                    </m:ctrlPr>
                  </m:accPr>
                  <m:e>
                    <m:r>
                      <w:rPr>
                        <w:rFonts w:ascii="Cambria Math" w:hAnsi="Cambria Math"/>
                      </w:rPr>
                      <m:t>y</m:t>
                    </m:r>
                  </m:e>
                </m:acc>
              </m:e>
            </m:acc>
          </m:e>
          <m:sub>
            <m:r>
              <w:rPr>
                <w:rFonts w:ascii="Cambria Math" w:hAnsi="Cambria Math"/>
              </w:rPr>
              <m:t>C</m:t>
            </m:r>
            <m:r>
              <m:rPr>
                <m:sty m:val="p"/>
              </m:rPr>
              <w:rPr>
                <w:rFonts w:ascii="Cambria Math" w:hAnsi="Cambria Math"/>
              </w:rPr>
              <m:t>, </m:t>
            </m:r>
            <m:r>
              <w:rPr>
                <w:rFonts w:ascii="Cambria Math" w:hAnsi="Cambria Math"/>
              </w:rPr>
              <m:t>fg</m:t>
            </m:r>
          </m:sub>
        </m:sSub>
      </m:oMath>
      <w:r w:rsidRPr="00E06572">
        <w:rPr>
          <w:rFonts w:hint="eastAsia"/>
        </w:rPr>
        <w:t>,</w:t>
      </w:r>
      <w:r w:rsidRPr="00E06572">
        <w:t xml:space="preserve"> the final demand of country </w:t>
      </w:r>
      <w:r w:rsidRPr="00E06572">
        <w:rPr>
          <w:rFonts w:ascii="Cambria Math" w:hAnsi="Cambria Math" w:cs="Cambria Math"/>
        </w:rPr>
        <w:t>𝐶</w:t>
      </w:r>
      <w:r w:rsidRPr="00E06572">
        <w:t xml:space="preserve"> and food group </w:t>
      </w:r>
      <w:r w:rsidRPr="00E06572">
        <w:rPr>
          <w:rFonts w:ascii="Cambria Math" w:hAnsi="Cambria Math" w:cs="Cambria Math"/>
        </w:rPr>
        <w:t>𝑓𝑔</w:t>
      </w:r>
      <w:r w:rsidRPr="00E06572">
        <w:t xml:space="preserve">, the final demand is scaled to one tonne through division by the sum </w:t>
      </w:r>
      <m:oMath>
        <m:nary>
          <m:naryPr>
            <m:chr m:val="∑"/>
            <m:limLoc m:val="undOvr"/>
            <m:subHide m:val="1"/>
            <m:supHide m:val="1"/>
            <m:ctrlPr>
              <w:rPr>
                <w:rFonts w:ascii="Cambria Math" w:hAnsi="Cambria Math"/>
              </w:rPr>
            </m:ctrlPr>
          </m:naryPr>
          <m:sub/>
          <m:sup/>
          <m:e>
            <m:sSub>
              <m:sSubPr>
                <m:ctrlPr>
                  <w:rPr>
                    <w:rFonts w:ascii="Cambria Math" w:hAnsi="Cambria Math"/>
                  </w:rPr>
                </m:ctrlPr>
              </m:sSubPr>
              <m:e>
                <m:acc>
                  <m:accPr>
                    <m:chr m:val="⃑"/>
                    <m:ctrlPr>
                      <w:rPr>
                        <w:rFonts w:ascii="Cambria Math" w:hAnsi="Cambria Math"/>
                      </w:rPr>
                    </m:ctrlPr>
                  </m:accPr>
                  <m:e>
                    <m:r>
                      <w:rPr>
                        <w:rFonts w:ascii="Cambria Math" w:hAnsi="Cambria Math"/>
                      </w:rPr>
                      <m:t>y</m:t>
                    </m:r>
                  </m:e>
                </m:acc>
              </m:e>
              <m:sub>
                <m:r>
                  <w:rPr>
                    <w:rFonts w:ascii="Cambria Math" w:hAnsi="Cambria Math"/>
                  </w:rPr>
                  <m:t>C</m:t>
                </m:r>
                <m:r>
                  <m:rPr>
                    <m:sty m:val="p"/>
                  </m:rPr>
                  <w:rPr>
                    <w:rFonts w:ascii="Cambria Math" w:hAnsi="Cambria Math"/>
                  </w:rPr>
                  <m:t>, </m:t>
                </m:r>
                <m:sSub>
                  <m:sSubPr>
                    <m:ctrlPr>
                      <w:rPr>
                        <w:rFonts w:ascii="Cambria Math" w:hAnsi="Cambria Math"/>
                      </w:rPr>
                    </m:ctrlPr>
                  </m:sSubPr>
                  <m:e>
                    <m:r>
                      <w:rPr>
                        <w:rFonts w:ascii="Cambria Math" w:hAnsi="Cambria Math"/>
                      </w:rPr>
                      <m:t>P</m:t>
                    </m:r>
                  </m:e>
                  <m:sub>
                    <m:r>
                      <w:rPr>
                        <w:rFonts w:ascii="Cambria Math" w:hAnsi="Cambria Math"/>
                      </w:rPr>
                      <m:t>fg</m:t>
                    </m:r>
                  </m:sub>
                </m:sSub>
                <m:r>
                  <m:rPr>
                    <m:sty m:val="p"/>
                  </m:rPr>
                  <w:rPr>
                    <w:rFonts w:ascii="Cambria Math" w:hAnsi="Cambria Math"/>
                  </w:rPr>
                  <m:t xml:space="preserve"> </m:t>
                </m:r>
              </m:sub>
            </m:sSub>
          </m:e>
        </m:nary>
      </m:oMath>
      <w:r w:rsidRPr="00E06572">
        <w:t>.</w:t>
      </w:r>
    </w:p>
    <w:p w14:paraId="36B0EBA3" w14:textId="05EA4B4D" w:rsidR="005C6C47" w:rsidRDefault="005C6C47" w:rsidP="005C6C47">
      <w:pPr>
        <w:spacing w:line="276" w:lineRule="auto"/>
        <w:jc w:val="both"/>
        <w:rPr>
          <w:rFonts w:ascii="Aptos" w:eastAsia="DengXian" w:hAnsi="Aptos" w:cs="Arial" w:hint="eastAsia"/>
        </w:rPr>
      </w:pPr>
      <w:r w:rsidRPr="00532355">
        <w:t>I</w:t>
      </w:r>
      <w:r w:rsidRPr="00532355">
        <w:rPr>
          <w:rFonts w:ascii="Aptos" w:eastAsia="DengXian" w:hAnsi="Aptos" w:cs="Arial"/>
        </w:rPr>
        <w:t xml:space="preserve">n cases where the sum of a country's final demand in FABIO (Y) was zero for all products related to a GDD product group, no sourcing pattern </w:t>
      </w:r>
      <w:r>
        <w:rPr>
          <w:rFonts w:ascii="Aptos" w:eastAsia="DengXian" w:hAnsi="Aptos" w:cs="Arial"/>
        </w:rPr>
        <w:t xml:space="preserve">could </w:t>
      </w:r>
      <w:r w:rsidRPr="00532355">
        <w:rPr>
          <w:rFonts w:ascii="Aptos" w:eastAsia="DengXian" w:hAnsi="Aptos" w:cs="Arial"/>
        </w:rPr>
        <w:t>be deduced</w:t>
      </w:r>
      <w:r w:rsidR="008B427B">
        <w:rPr>
          <w:rFonts w:ascii="Aptos" w:eastAsia="DengXian" w:hAnsi="Aptos" w:cs="Arial"/>
        </w:rPr>
        <w:t>,</w:t>
      </w:r>
      <w:r w:rsidRPr="00532355">
        <w:rPr>
          <w:rFonts w:ascii="Aptos" w:eastAsia="DengXian" w:hAnsi="Aptos" w:cs="Arial"/>
        </w:rPr>
        <w:t xml:space="preserve"> and the total global sourcing pattern for the respective GDD product group was </w:t>
      </w:r>
      <w:r w:rsidR="002B14A5">
        <w:rPr>
          <w:rFonts w:ascii="Aptos" w:eastAsia="DengXian" w:hAnsi="Aptos" w:cs="Arial"/>
        </w:rPr>
        <w:t>imputed</w:t>
      </w:r>
      <w:r>
        <w:rPr>
          <w:rFonts w:ascii="Aptos" w:eastAsia="DengXian" w:hAnsi="Aptos" w:cs="Arial"/>
        </w:rPr>
        <w:t xml:space="preserve">. The same equation was used to calculate the </w:t>
      </w:r>
      <w:r w:rsidRPr="00532355">
        <w:rPr>
          <w:rFonts w:ascii="Aptos" w:eastAsia="DengXian" w:hAnsi="Aptos" w:cs="Arial"/>
        </w:rPr>
        <w:t>global sourcing pattern</w:t>
      </w:r>
      <w:r>
        <w:rPr>
          <w:rFonts w:ascii="Aptos" w:eastAsia="DengXian" w:hAnsi="Aptos" w:cs="Arial"/>
        </w:rPr>
        <w:t>s, except that instead of the final demand of one country</w:t>
      </w:r>
      <w:r w:rsidR="008B427B">
        <w:rPr>
          <w:rFonts w:ascii="Aptos" w:eastAsia="DengXian" w:hAnsi="Aptos" w:cs="Arial"/>
        </w:rPr>
        <w:t>,</w:t>
      </w:r>
      <w:r>
        <w:rPr>
          <w:rFonts w:ascii="Aptos" w:eastAsia="DengXian" w:hAnsi="Aptos" w:cs="Arial"/>
        </w:rPr>
        <w:t xml:space="preserve"> the</w:t>
      </w:r>
      <w:r w:rsidRPr="00B21502">
        <w:rPr>
          <w:rFonts w:ascii="Aptos" w:eastAsia="DengXian" w:hAnsi="Aptos" w:cs="Arial"/>
        </w:rPr>
        <w:t xml:space="preserve"> final demand </w:t>
      </w:r>
      <w:r>
        <w:rPr>
          <w:rFonts w:ascii="Aptos" w:eastAsia="DengXian" w:hAnsi="Aptos" w:cs="Arial"/>
        </w:rPr>
        <w:t xml:space="preserve">across </w:t>
      </w:r>
      <w:r w:rsidRPr="00B21502">
        <w:rPr>
          <w:rFonts w:ascii="Aptos" w:eastAsia="DengXian" w:hAnsi="Aptos" w:cs="Arial"/>
        </w:rPr>
        <w:t>all countries</w:t>
      </w:r>
      <w:r>
        <w:rPr>
          <w:rFonts w:ascii="Aptos" w:eastAsia="DengXian" w:hAnsi="Aptos" w:cs="Arial"/>
        </w:rPr>
        <w:t xml:space="preserve"> </w:t>
      </w:r>
      <w:r w:rsidR="002B14A5">
        <w:rPr>
          <w:rFonts w:ascii="Aptos" w:eastAsia="DengXian" w:hAnsi="Aptos" w:cs="Arial"/>
        </w:rPr>
        <w:t>was accounted for</w:t>
      </w:r>
      <w:r>
        <w:rPr>
          <w:rFonts w:ascii="Aptos" w:eastAsia="DengXian" w:hAnsi="Aptos" w:cs="Arial"/>
        </w:rPr>
        <w:t>.</w:t>
      </w:r>
    </w:p>
    <w:p w14:paraId="3C4C950C" w14:textId="77777777" w:rsidR="005C6C47" w:rsidRPr="00F250C2" w:rsidRDefault="005C6C47" w:rsidP="005C6C47">
      <w:pPr>
        <w:jc w:val="both"/>
        <w:rPr>
          <w:rFonts w:hint="eastAsia"/>
          <w:b/>
          <w:bCs/>
        </w:rPr>
      </w:pPr>
      <w:proofErr w:type="spellStart"/>
      <w:r>
        <w:rPr>
          <w:b/>
          <w:bCs/>
        </w:rPr>
        <w:t>GDD</w:t>
      </w:r>
      <w:proofErr w:type="spellEnd"/>
      <w:r>
        <w:rPr>
          <w:b/>
          <w:bCs/>
        </w:rPr>
        <w:t xml:space="preserve"> </w:t>
      </w:r>
    </w:p>
    <w:p w14:paraId="60FEB61D" w14:textId="4B321D7F" w:rsidR="005C6C47" w:rsidRDefault="005C6C47" w:rsidP="005C6C47">
      <w:pPr>
        <w:jc w:val="both"/>
        <w:rPr>
          <w:rFonts w:hint="eastAsia"/>
        </w:rPr>
      </w:pPr>
      <w:r>
        <w:t xml:space="preserve">In this analysis the GDD median country-level estimates for the year 2018 were used. </w:t>
      </w:r>
      <w:r w:rsidRPr="00FB5E67">
        <w:t xml:space="preserve">We focus on groups aged above 15 years with </w:t>
      </w:r>
      <w:r w:rsidR="008B427B">
        <w:t xml:space="preserve">a </w:t>
      </w:r>
      <w:r w:rsidRPr="00FB5E67">
        <w:t xml:space="preserve">standardised dietary intake at 2,000 kcal/day, </w:t>
      </w:r>
      <w:r w:rsidRPr="00FB5E67">
        <w:lastRenderedPageBreak/>
        <w:t xml:space="preserve">as socio-demographic data (e.g. on education, population size) and energy requirements are difficult to source and disaggregate for younger individuals. </w:t>
      </w:r>
      <w:r>
        <w:t>Therefore, the early age levels were dropped from the GDD data. On top of that, to ensure concordance with the GLOPOP database</w:t>
      </w:r>
      <w:r w:rsidR="008B427B">
        <w:t>,</w:t>
      </w:r>
      <w:r>
        <w:t xml:space="preserve"> some of the other age groups were merged based on median values. </w:t>
      </w:r>
    </w:p>
    <w:p w14:paraId="08B81528" w14:textId="70BA92B1" w:rsidR="00036B88" w:rsidRDefault="009B6AD3" w:rsidP="005C6C47">
      <w:pPr>
        <w:jc w:val="both"/>
        <w:rPr>
          <w:rFonts w:hint="eastAsia"/>
        </w:rPr>
      </w:pPr>
      <w:r>
        <w:t>T</w:t>
      </w:r>
      <w:r w:rsidR="005A29B2">
        <w:rPr>
          <w:rFonts w:hint="eastAsia"/>
        </w:rPr>
        <w:t xml:space="preserve">o address </w:t>
      </w:r>
      <w:r>
        <w:t>data gaps</w:t>
      </w:r>
      <w:r w:rsidR="002D324D">
        <w:rPr>
          <w:rFonts w:hint="eastAsia"/>
        </w:rPr>
        <w:t xml:space="preserve"> </w:t>
      </w:r>
      <w:r w:rsidR="00036B88" w:rsidRPr="00036B88">
        <w:t>in the GDD, a stepwise imputation approach was applied using lower-resolution information. First, missing values were filled by aggregating across educational strata to identify representative groups. Subsequently, values were further imputed by generalizing across residential location (urban vs. rural). Initially, following the harmonization and consolidation of certain age categories, 2.46% of the dataset was incomplete. After imputing by education, the proportion of missing data was reduced to 0.15%. The remaining gaps were fully resolved after imputation by location.</w:t>
      </w:r>
    </w:p>
    <w:p w14:paraId="69D8895D" w14:textId="64D9147C" w:rsidR="005C6C47" w:rsidRPr="00050418" w:rsidRDefault="00E13E17" w:rsidP="005C6C47">
      <w:pPr>
        <w:jc w:val="both"/>
        <w:rPr>
          <w:rFonts w:hint="eastAsia"/>
        </w:rPr>
      </w:pPr>
      <w:r w:rsidRPr="00664B65">
        <w:t>In</w:t>
      </w:r>
      <w:r w:rsidR="005C6C47">
        <w:t xml:space="preserve"> </w:t>
      </w:r>
      <w:r w:rsidR="005C6C47" w:rsidRPr="00664B65">
        <w:t>order to link the GDD product groups to FABIO, the GDD product groups Cheese, Yoghurt, Sugar-sweetened beverages</w:t>
      </w:r>
      <w:r w:rsidR="005C6C47">
        <w:t>,</w:t>
      </w:r>
      <w:r w:rsidR="005C6C47" w:rsidRPr="00664B65">
        <w:t xml:space="preserve"> and Fruit juices were transformed to the primary commodities groups Total Milk, Sugar</w:t>
      </w:r>
      <w:r w:rsidR="004C3DFA">
        <w:t>,</w:t>
      </w:r>
      <w:r w:rsidR="005C6C47" w:rsidRPr="00664B65">
        <w:t xml:space="preserve"> and Fruits</w:t>
      </w:r>
      <w:r w:rsidR="005C6C47">
        <w:t xml:space="preserve">. The </w:t>
      </w:r>
      <w:r w:rsidR="005C6C47" w:rsidRPr="00664B65">
        <w:t xml:space="preserve">technical conversion factors </w:t>
      </w:r>
      <w:r w:rsidR="005C6C47">
        <w:t xml:space="preserve">for the transformation were </w:t>
      </w:r>
      <w:r w:rsidR="005C6C47" w:rsidRPr="00664B65">
        <w:t xml:space="preserve">provided by </w:t>
      </w:r>
      <w:proofErr w:type="spellStart"/>
      <w:r w:rsidR="005C6C47" w:rsidRPr="00664B65">
        <w:t>FAO</w:t>
      </w:r>
      <w:r w:rsidR="0091385C">
        <w:fldChar w:fldCharType="begin"/>
      </w:r>
      <w:r w:rsidR="0091385C">
        <w:instrText xml:space="preserve"> ADDIN ZOTERO_ITEM CSL_CITATION {"citationID":"U2t7Rfyt","properties":{"formattedCitation":"\\super 7\\nosupersub{}","plainCitation":"7","noteIndex":0},"citationItems":[{"id":251,"uris":["http://zotero.org/users/16665975/items/AUBKPSSI"],"itemData":{"id":251,"type":"article-journal","source":"Google Scholar","title":"Technical conversion factors for agricultural commodities","author":[{"family":"FAO (Food","given":""},{"family":"Nations)","given":"Agriculture Organisation of the United"}],"issued":{"date-parts":[["2000"]]}}}],"schema":"https://github.com/citation-style-language/schema/raw/master/csl-citation.json"} </w:instrText>
      </w:r>
      <w:r w:rsidR="0091385C">
        <w:fldChar w:fldCharType="separate"/>
      </w:r>
      <w:r w:rsidR="0091385C" w:rsidRPr="0091385C">
        <w:rPr>
          <w:rFonts w:ascii="Aptos" w:hAnsi="Aptos" w:cs="Times New Roman"/>
          <w:kern w:val="0"/>
          <w:vertAlign w:val="superscript"/>
        </w:rPr>
        <w:t>7</w:t>
      </w:r>
      <w:proofErr w:type="spellEnd"/>
      <w:r w:rsidR="0091385C">
        <w:fldChar w:fldCharType="end"/>
      </w:r>
      <w:r w:rsidR="005C6C47" w:rsidRPr="00664B65">
        <w:t xml:space="preserve">  and for </w:t>
      </w:r>
      <w:r w:rsidR="00395E86">
        <w:t>s</w:t>
      </w:r>
      <w:r w:rsidR="005C6C47" w:rsidRPr="00664B65">
        <w:t>ugar-</w:t>
      </w:r>
      <w:r w:rsidR="00395E86">
        <w:t>sweetened</w:t>
      </w:r>
      <w:r w:rsidR="005C6C47" w:rsidRPr="00664B65">
        <w:t xml:space="preserve"> beverages </w:t>
      </w:r>
      <w:r w:rsidR="005C6C47">
        <w:t xml:space="preserve">by the </w:t>
      </w:r>
      <w:r w:rsidR="005C6C47" w:rsidRPr="00664B65">
        <w:t>US</w:t>
      </w:r>
      <w:r w:rsidR="004C3DFA">
        <w:t>DA</w:t>
      </w:r>
      <w:r w:rsidR="00395E86">
        <w:fldChar w:fldCharType="begin"/>
      </w:r>
      <w:r w:rsidR="00395E86">
        <w:instrText xml:space="preserve"> ADDIN ZOTERO_ITEM CSL_CITATION {"citationID":"8NswiObk","properties":{"formattedCitation":"\\super 8\\nosupersub{}","plainCitation":"8","noteIndex":0},"citationItems":[{"id":259,"uris":["http://zotero.org/users/16665975/items/R42S87AV"],"itemData":{"id":259,"type":"document","publisher":"United States Department of Agriculture Washington, DC, USA","source":"Google Scholar","title":"USDA Database for the Added Sugars Content of Selected Foods, Release 1","author":[{"family":"Agriculture","given":"United States Department","dropping-particle":"of"}],"issued":{"date-parts":[["2006"]]}}}],"schema":"https://github.com/citation-style-language/schema/raw/master/csl-citation.json"} </w:instrText>
      </w:r>
      <w:r w:rsidR="00395E86">
        <w:fldChar w:fldCharType="separate"/>
      </w:r>
      <w:r w:rsidR="00395E86" w:rsidRPr="00395E86">
        <w:rPr>
          <w:rFonts w:ascii="Aptos" w:hAnsi="Aptos" w:cs="Times New Roman"/>
          <w:kern w:val="0"/>
          <w:vertAlign w:val="superscript"/>
        </w:rPr>
        <w:t>8</w:t>
      </w:r>
      <w:r w:rsidR="00395E86">
        <w:fldChar w:fldCharType="end"/>
      </w:r>
      <w:r w:rsidR="004C3DFA">
        <w:t>S</w:t>
      </w:r>
      <w:r w:rsidR="005C6C47">
        <w:t xml:space="preserve">. </w:t>
      </w:r>
      <w:r w:rsidR="005C6C47" w:rsidRPr="00664B65">
        <w:t>Furthermore</w:t>
      </w:r>
      <w:r w:rsidR="008B427B">
        <w:t>,</w:t>
      </w:r>
      <w:r w:rsidR="005C6C47" w:rsidRPr="00664B65">
        <w:t xml:space="preserve"> the Tea and Coffee product groups' units were converted from cups to grams</w:t>
      </w:r>
      <w:r w:rsidR="00F86139">
        <w:fldChar w:fldCharType="begin"/>
      </w:r>
      <w:r w:rsidR="00F86139">
        <w:instrText xml:space="preserve"> ADDIN ZOTERO_ITEM CSL_CITATION {"citationID":"AvR2KlCG","properties":{"formattedCitation":"\\super 9,10\\nosupersub{}","plainCitation":"9,10","noteIndex":0},"citationItems":[{"id":262,"uris":["http://zotero.org/users/16665975/items/5B97YRI4"],"itemData":{"id":262,"type":"article-journal","abstract":"Coffee is one of the most frequently consumed beverages in North America and Europe. It is well known that coffee contains caffeine and that coffee beans can be contaminated by Ochratoxin A (OTA). The operating conditions however affect OTA and caffeine extraction from the roasted coffee. OTA content found in the beverages can be greater than that found in the roasted coffee used to prepare it, representing a potential OTA related risk factor for the human health. Moreover the coffee beans and coffee based beverages have an anti oxidant activity. This study investigates the OTA content, the amount of caffeine, and the antioxidant activity in five different preparations: American coffee, Moka, Italian Espresso, Neapolitan and Turkish coffee. Artificially OTA spiked samples were prepared using artificially contaminated roasted coffee beans. High Pressure Liquid Chromatography with fluorimetric detector was used (LC-FLD). The OTA amount, in all preparations, was 85% lower then the spiking level. Quantitative analysis of the caffeine content in the five coffee preparations was determined by spectrophotometry, and the antioxidant lipophilic and hydrophilic activities of the different coffee preparations were investigated and compared. The caffeine content was directly related to its antioxidant activity; no relation was found between OTA, antioxidant activity and caffeine.","container-title":"Food Control","DOI":"10.1016/j.foodcont.2011.01.024","ISSN":"0956-7135","issue":"8","journalAbbreviation":"Food Control","page":"1240-1245","source":"ScienceDirect","title":"Influence of different coffee drink preparations on ochratoxin A content and evaluation of the antioxidant activity and caffeine variations","volume":"22","author":[{"family":"Santini","given":"Antonello"},{"family":"Ferracane","given":"Rosalia"},{"family":"Mikušová","given":"Petra"},{"family":"Eged","given":"Štefan"},{"family":"Šrobárová","given":"Antonia"},{"family":"Meca","given":"Giuseppe"},{"family":"Mañes","given":"Jordi"},{"family":"Ritieni","given":"Alberto"}],"issued":{"date-parts":[["2011",8,1]]}}},{"id":260,"uris":["http://zotero.org/users/16665975/items/H6A7U4WC"],"itemData":{"id":260,"type":"article-journal","abstract":"Kenya is the third largest producer of tea in the world, the majority of which is exported, contributing 20% to the total national income from exports. Yet, its environmental impacts are currently unknown. This study considers for the first time one of the impacts – the global warming potential – of production and consumption of Kenyan black tea. The system boundary is from ‘cradle to grave’. Both small- and large-scale production of tea is considered. The functional unit is defined as 1 kg of dry tea and the tea is assumed to be consumed in the UK. The results suggest that the total impact of tea is equal to 12.45 kg CO2 eq./kg of dry tea for the large-scale and 12.08 kg CO2 eq./kg for the small-scale production, indicating that the scale of production does not influence the impact. The main contributor is tea consumption which is responsible for 85% of the impact because of the electricity used to boil water. Tea cultivation and processing contribute around 10% to the total. The contribution of transport is relatively small (4%). The global warming potential from waste management is negative because of the credits for recycling of post-consumer tea packaging. The results are most sensitive to consumer behaviour, with the impact almost doubling with doubling the amount of water boiled for each cup of tea. Drinking tea with milk has even greater impact, increasing the total impact by up to three times. Appropriate consumer engagement programmes are needed to encourage behavioural change.","container-title":"Journal of Cleaner Production","DOI":"10.1016/j.jclepro.2015.07.029","ISSN":"0959-6526","journalAbbreviation":"Journal of Cleaner Production","page":"4031-4040","source":"ScienceDirect","title":"The global warming potential of production and consumption of Kenyan tea","volume":"112","author":[{"family":"Azapagic","given":"Adisa"},{"family":"Bore","given":"John"},{"family":"Cheserek","given":"Beatrice"},{"family":"Kamunya","given":"Samson"},{"family":"Elbehri","given":"Aziz"}],"issued":{"date-parts":[["2016",1,20]]}}}],"schema":"https://github.com/citation-style-language/schema/raw/master/csl-citation.json"} </w:instrText>
      </w:r>
      <w:r w:rsidR="00F86139">
        <w:fldChar w:fldCharType="separate"/>
      </w:r>
      <w:r w:rsidR="00F86139" w:rsidRPr="00F86139">
        <w:rPr>
          <w:rFonts w:ascii="Aptos" w:hAnsi="Aptos" w:cs="Times New Roman"/>
          <w:kern w:val="0"/>
          <w:vertAlign w:val="superscript"/>
        </w:rPr>
        <w:t>9,10</w:t>
      </w:r>
      <w:r w:rsidR="00F86139">
        <w:fldChar w:fldCharType="end"/>
      </w:r>
      <w:r w:rsidR="00C40120">
        <w:t>.</w:t>
      </w:r>
      <w:r w:rsidR="005C6C47" w:rsidRPr="006A2E16">
        <w:rPr>
          <w:b/>
          <w:bCs/>
        </w:rPr>
        <w:t xml:space="preserve"> </w:t>
      </w:r>
      <w:r w:rsidR="004C3DFA">
        <w:t xml:space="preserve">Following </w:t>
      </w:r>
      <w:r w:rsidR="0076231B" w:rsidRPr="00050418">
        <w:t>these transformations, the number of product groups was reduced from 19 to 16.</w:t>
      </w:r>
    </w:p>
    <w:p w14:paraId="48CDF1A8" w14:textId="40A81310" w:rsidR="00931131" w:rsidRPr="0067067C" w:rsidRDefault="007253AA" w:rsidP="005C6C47">
      <w:pPr>
        <w:spacing w:after="0"/>
        <w:jc w:val="both"/>
        <w:rPr>
          <w:rFonts w:hint="eastAsia"/>
        </w:rPr>
      </w:pPr>
      <w:r w:rsidRPr="4B537C26">
        <w:rPr>
          <w:b/>
          <w:bCs/>
        </w:rPr>
        <w:t>Environmental</w:t>
      </w:r>
      <w:r w:rsidR="7DFCD6DF" w:rsidRPr="7B0C1A5B">
        <w:rPr>
          <w:b/>
          <w:bCs/>
        </w:rPr>
        <w:t xml:space="preserve"> accounts</w:t>
      </w:r>
    </w:p>
    <w:p w14:paraId="37EAF8D9" w14:textId="287A64DA" w:rsidR="002E1C54" w:rsidRDefault="37BFF913" w:rsidP="005C6C47">
      <w:pPr>
        <w:spacing w:after="0"/>
        <w:jc w:val="both"/>
        <w:rPr>
          <w:rFonts w:hint="eastAsia"/>
          <w:lang w:val="en-US"/>
        </w:rPr>
      </w:pPr>
      <w:r w:rsidRPr="2C84739F">
        <w:rPr>
          <w:lang w:val="en-US"/>
        </w:rPr>
        <w:t>W</w:t>
      </w:r>
      <w:r w:rsidR="00380D49" w:rsidRPr="2C84739F">
        <w:rPr>
          <w:lang w:val="en-US"/>
        </w:rPr>
        <w:t>e</w:t>
      </w:r>
      <w:r w:rsidR="00380D49" w:rsidRPr="00380D49">
        <w:rPr>
          <w:lang w:val="en-US"/>
        </w:rPr>
        <w:t xml:space="preserve"> used three environmental indicators: water use, land use, and GHG emissions. These indicators were integrated into the FABIO from external sources.</w:t>
      </w:r>
      <w:r w:rsidR="572765B5" w:rsidRPr="3F9E190C">
        <w:rPr>
          <w:lang w:val="en-US"/>
        </w:rPr>
        <w:t xml:space="preserve"> </w:t>
      </w:r>
      <w:r w:rsidR="51542064" w:rsidRPr="3F9E190C">
        <w:rPr>
          <w:lang w:val="en-US"/>
        </w:rPr>
        <w:t>A detailed overview of the environmental indicators and their data sources is provided in Supplementary Table 1.</w:t>
      </w:r>
      <w:r w:rsidR="00380D49" w:rsidRPr="00380D49">
        <w:rPr>
          <w:lang w:val="en-US"/>
        </w:rPr>
        <w:t xml:space="preserve"> Water use data comprising green and blue water use were sourced from </w:t>
      </w:r>
      <w:r w:rsidR="00EF7336" w:rsidRPr="00380D49">
        <w:rPr>
          <w:lang w:val="en-US"/>
        </w:rPr>
        <w:t xml:space="preserve">Hoekstra </w:t>
      </w:r>
      <w:r w:rsidR="00380D49" w:rsidRPr="00380D49">
        <w:rPr>
          <w:lang w:val="en-US"/>
        </w:rPr>
        <w:t xml:space="preserve">&amp; </w:t>
      </w:r>
      <w:r w:rsidR="00EF7336" w:rsidRPr="00380D49">
        <w:rPr>
          <w:lang w:val="en-US"/>
        </w:rPr>
        <w:t xml:space="preserve">Mekonnen </w:t>
      </w:r>
      <w:r w:rsidR="00380D49" w:rsidRPr="00380D49">
        <w:rPr>
          <w:lang w:val="en-US"/>
        </w:rPr>
        <w:t>(201</w:t>
      </w:r>
      <w:r w:rsidR="00EF7336" w:rsidRPr="2C84739F">
        <w:rPr>
          <w:rFonts w:hint="eastAsia"/>
          <w:lang w:val="en-US"/>
        </w:rPr>
        <w:t>2</w:t>
      </w:r>
      <w:r w:rsidR="00380D49" w:rsidRPr="00380D49">
        <w:rPr>
          <w:lang w:val="en-US"/>
        </w:rPr>
        <w:t>)</w:t>
      </w:r>
      <w:r w:rsidR="00EF7336" w:rsidRPr="2C84739F">
        <w:rPr>
          <w:lang w:val="en-US"/>
        </w:rPr>
        <w:fldChar w:fldCharType="begin"/>
      </w:r>
      <w:r w:rsidR="00EF7336" w:rsidRPr="2C84739F">
        <w:rPr>
          <w:lang w:val="en-US"/>
        </w:rPr>
        <w:instrText xml:space="preserve"> ADDIN ZOTERO_ITEM CSL_CITATION {"citationID":"p1o15N9w","properties":{"formattedCitation":"\\super 11\\nosupersub{}","plainCitation":"11","noteIndex":0},"citationItems":[{"id":134,"uris":["http://zotero.org/users/16665975/items/T8HPLD4S"],"itemData":{"id":134,"type":"article-journal","abstract":"This study quantifies and maps the water footprint (WF) of humanity at a high spatial resolution. It reports on consumptive use of rainwater (green WF) and ground and surface water (blue WF) and volumes of water polluted (gray WF). Water footprints are estimated per nation from both a production and consumption perspective. International virtual water flows are estimated based on trade in agricultural and industrial commodities. The global annual average WF in the period 1996–2005 was 9,087 Gm3/y (74% green, 11% blue, 15% gray). Agricultural production contributes 92%. About one-fifth of the global WF relates to production for export. The total volume of international virtual water flows related to trade in agricultural and industrial products was 2,320 Gm3/y (68% green, 13% blue, 19% gray). The WF of the global average consumer was 1,385 m3/y. The average consumer in the United States has a WF of 2,842 m3/y, whereas the average citizens in China and India have WFs of 1,071 and 1,089 m3/y, respectively. Consumption of cereal products gives the largest contribution to the WF of the average consumer (27%), followed by meat (22%) and milk products (7%). The volume and pattern of consumption and the WF per ton of product of the products consumed are the main factors determining the WF of a consumer. The study illustrates the global dimension of water consumption and pollution by showing that several countries heavily rely on foreign water resources and that many countries have significant impacts on water consumption and pollution elsewhere.","container-title":"Proceedings of the National Academy of Sciences","DOI":"10.1073/pnas.1109936109","issue":"9","note":"publisher: Proceedings of the National Academy of Sciences","page":"3232-3237","source":"pnas.org (Atypon)","title":"The water footprint of humanity","volume":"109","author":[{"family":"Hoekstra","given":"Arjen Y."},{"family":"Mekonnen","given":"Mesfin M."}],"issued":{"date-parts":[["2012",2,28]]}}}],"schema":"https://github.com/citation-style-language/schema/raw/master/csl-citation.json"} </w:instrText>
      </w:r>
      <w:r w:rsidR="00EF7336" w:rsidRPr="2C84739F">
        <w:rPr>
          <w:lang w:val="en-US"/>
        </w:rPr>
        <w:fldChar w:fldCharType="separate"/>
      </w:r>
      <w:r w:rsidR="00EF7336" w:rsidRPr="00EF1901">
        <w:rPr>
          <w:rFonts w:ascii="Aptos" w:hAnsi="Aptos" w:cs="Times New Roman"/>
          <w:kern w:val="0"/>
          <w:vertAlign w:val="superscript"/>
        </w:rPr>
        <w:t>11</w:t>
      </w:r>
      <w:r w:rsidR="00EF7336" w:rsidRPr="2C84739F">
        <w:rPr>
          <w:lang w:val="en-US"/>
        </w:rPr>
        <w:fldChar w:fldCharType="end"/>
      </w:r>
      <w:r w:rsidR="00380D49" w:rsidRPr="00380D49">
        <w:rPr>
          <w:lang w:val="en-US"/>
        </w:rPr>
        <w:t xml:space="preserve">. Land use data, defined as agricultural land area, were obtained from </w:t>
      </w:r>
      <w:proofErr w:type="spellStart"/>
      <w:r w:rsidR="00380D49" w:rsidRPr="00380D49">
        <w:rPr>
          <w:lang w:val="en-US"/>
        </w:rPr>
        <w:t>FAOSTAT</w:t>
      </w:r>
      <w:proofErr w:type="spellEnd"/>
      <w:r w:rsidR="00B828F9" w:rsidRPr="2C84739F">
        <w:rPr>
          <w:lang w:val="en-US"/>
        </w:rPr>
        <w:fldChar w:fldCharType="begin"/>
      </w:r>
      <w:r w:rsidR="00B828F9" w:rsidRPr="2C84739F">
        <w:rPr>
          <w:lang w:val="en-US"/>
        </w:rPr>
        <w:instrText xml:space="preserve"> ADDIN ZOTERO_ITEM CSL_CITATION {"citationID":"jkN63d5d","properties":{"formattedCitation":"\\super 12\\nosupersub{}","plainCitation":"12","noteIndex":0},"citationItems":[{"id":136,"uris":["http://zotero.org/users/16665975/items/4ZK2HMHM"],"itemData":{"id":136,"type":"webpage","title":"FAOSTAT","URL":"https://www.fao.org/faostat/en/#home","accessed":{"date-parts":[["2025",3,24]]}}}],"schema":"https://github.com/citation-style-language/schema/raw/master/csl-citation.json"} </w:instrText>
      </w:r>
      <w:r w:rsidR="00B828F9" w:rsidRPr="2C84739F">
        <w:rPr>
          <w:lang w:val="en-US"/>
        </w:rPr>
        <w:fldChar w:fldCharType="separate"/>
      </w:r>
      <w:r w:rsidR="00B828F9" w:rsidRPr="00EF1901">
        <w:rPr>
          <w:rFonts w:ascii="Aptos" w:hAnsi="Aptos" w:cs="Times New Roman"/>
          <w:kern w:val="0"/>
          <w:vertAlign w:val="superscript"/>
        </w:rPr>
        <w:t>12</w:t>
      </w:r>
      <w:r w:rsidR="00B828F9" w:rsidRPr="2C84739F">
        <w:rPr>
          <w:lang w:val="en-US"/>
        </w:rPr>
        <w:fldChar w:fldCharType="end"/>
      </w:r>
      <w:r w:rsidR="00380D49" w:rsidRPr="00380D49">
        <w:rPr>
          <w:lang w:val="en-US"/>
        </w:rPr>
        <w:t>. GHG emissions were calculated using multiple components</w:t>
      </w:r>
      <w:r w:rsidR="6E95EEDF" w:rsidRPr="00380D49">
        <w:rPr>
          <w:lang w:val="en-US"/>
        </w:rPr>
        <w:t>, including</w:t>
      </w:r>
      <w:r w:rsidR="00380D49" w:rsidRPr="00380D49">
        <w:rPr>
          <w:lang w:val="en-US"/>
        </w:rPr>
        <w:t xml:space="preserve"> on-farm emissions from </w:t>
      </w:r>
      <w:proofErr w:type="spellStart"/>
      <w:r w:rsidR="00380D49" w:rsidRPr="00380D49">
        <w:rPr>
          <w:lang w:val="en-US"/>
        </w:rPr>
        <w:t>FAOSTAT</w:t>
      </w:r>
      <w:proofErr w:type="spellEnd"/>
      <w:r w:rsidR="00F57ABA" w:rsidRPr="2C84739F">
        <w:rPr>
          <w:lang w:val="en-US"/>
        </w:rPr>
        <w:fldChar w:fldCharType="begin"/>
      </w:r>
      <w:r w:rsidR="00F57ABA" w:rsidRPr="2C84739F">
        <w:rPr>
          <w:lang w:val="en-US"/>
        </w:rPr>
        <w:instrText xml:space="preserve"> ADDIN ZOTERO_ITEM CSL_CITATION {"citationID":"cVbzmWD2","properties":{"formattedCitation":"\\super 12\\nosupersub{}","plainCitation":"12","noteIndex":0},"citationItems":[{"id":136,"uris":["http://zotero.org/users/16665975/items/4ZK2HMHM"],"itemData":{"id":136,"type":"webpage","title":"FAOSTAT","URL":"https://www.fao.org/faostat/en/#home","accessed":{"date-parts":[["2025",3,24]]}}}],"schema":"https://github.com/citation-style-language/schema/raw/master/csl-citation.json"} </w:instrText>
      </w:r>
      <w:r w:rsidR="00F57ABA" w:rsidRPr="2C84739F">
        <w:rPr>
          <w:lang w:val="en-US"/>
        </w:rPr>
        <w:fldChar w:fldCharType="separate"/>
      </w:r>
      <w:r w:rsidR="00F57ABA" w:rsidRPr="00EF1901">
        <w:rPr>
          <w:rFonts w:ascii="Aptos" w:hAnsi="Aptos" w:cs="Times New Roman"/>
          <w:kern w:val="0"/>
          <w:vertAlign w:val="superscript"/>
        </w:rPr>
        <w:t>12</w:t>
      </w:r>
      <w:r w:rsidR="00F57ABA" w:rsidRPr="2C84739F">
        <w:rPr>
          <w:lang w:val="en-US"/>
        </w:rPr>
        <w:fldChar w:fldCharType="end"/>
      </w:r>
      <w:r w:rsidR="00380D49" w:rsidRPr="00380D49">
        <w:rPr>
          <w:lang w:val="en-US"/>
        </w:rPr>
        <w:t xml:space="preserve">, land use change emissions from </w:t>
      </w:r>
      <w:proofErr w:type="spellStart"/>
      <w:r w:rsidR="00380D49" w:rsidRPr="00380D49">
        <w:rPr>
          <w:lang w:val="en-US"/>
        </w:rPr>
        <w:t>LUH2</w:t>
      </w:r>
      <w:proofErr w:type="spellEnd"/>
      <w:r w:rsidR="00F57ABA" w:rsidRPr="2C84739F">
        <w:rPr>
          <w:lang w:val="en-US"/>
        </w:rPr>
        <w:fldChar w:fldCharType="begin"/>
      </w:r>
      <w:r w:rsidR="00F57ABA" w:rsidRPr="2C84739F">
        <w:rPr>
          <w:lang w:val="en-US"/>
        </w:rPr>
        <w:instrText xml:space="preserve"> ADDIN ZOTERO_ITEM CSL_CITATION {"citationID":"UG0gRN3w","properties":{"formattedCitation":"\\super 13\\nosupersub{}","plainCitation":"13","noteIndex":0},"citationItems":[{"id":138,"uris":["http://zotero.org/users/16665975/items/SHBHNN4R"],"itemData":{"id":138,"type":"article-journal","abstract":"Human land use activities have resulted in large changes to the biogeochemical and biophysical properties of the Earth's surface, with consequences for climate and other ecosystem services. In the future, land use activities are likely to expand and/or intensify further to meet growing demands for food, fiber, and energy. As part of the World Climate Research Program Coupled Model Intercomparison Project (CMIP6), the international community has developed the next generation of advanced Earth system models (ESMs) to estimate the combined effects of human activities (e.g., land use and fossil fuel emissions) on the carbon–climate system. A new set of historical data based on the History of the Global Environment database (HYDE), and multiple alternative scenarios of the future (2015–2100) from Integrated Assessment Model (IAM) teams, is required as input for these models. With most ESM simulations for CMIP6 now completed, it is important to document the land use patterns used by those simulations. Here we present results from the Land-Use Harmonization 2 (LUH2) project, which smoothly connects updated historical reconstructions of land use with eight new future projections in the format required for ESMs. The harmonization strategy estimates the fractional land use patterns, underlying land use transitions, key agricultural management information, and resulting secondary lands annually, while minimizing the differences between the end of the historical reconstruction and IAM initial conditions and preserving changes depicted by the IAMs in the future. The new approach builds on a similar effort from CMIP5 and is now provided at higher resolution (0.25</w:instrText>
      </w:r>
      <w:r w:rsidR="00F57ABA" w:rsidRPr="2C84739F">
        <w:rPr>
          <w:rFonts w:ascii="Cambria Math" w:hAnsi="Cambria Math" w:cs="Cambria Math"/>
          <w:lang w:val="en-US"/>
        </w:rPr>
        <w:instrText>∘</w:instrText>
      </w:r>
      <w:r w:rsidR="00F57ABA" w:rsidRPr="2C84739F">
        <w:rPr>
          <w:rFonts w:ascii="Aptos" w:hAnsi="Aptos" w:cs="Aptos"/>
          <w:lang w:val="en-US"/>
        </w:rPr>
        <w:instrText>×</w:instrText>
      </w:r>
      <w:r w:rsidR="00F57ABA" w:rsidRPr="2C84739F">
        <w:rPr>
          <w:lang w:val="en-US"/>
        </w:rPr>
        <w:instrText>0.25</w:instrText>
      </w:r>
      <w:r w:rsidR="00F57ABA" w:rsidRPr="2C84739F">
        <w:rPr>
          <w:rFonts w:ascii="Cambria Math" w:hAnsi="Cambria Math" w:cs="Cambria Math"/>
          <w:lang w:val="en-US"/>
        </w:rPr>
        <w:instrText>∘</w:instrText>
      </w:r>
      <w:r w:rsidR="00F57ABA" w:rsidRPr="2C84739F">
        <w:rPr>
          <w:lang w:val="en-US"/>
        </w:rPr>
        <w:instrText>) over a longer time domain (850</w:instrText>
      </w:r>
      <w:r w:rsidR="00F57ABA" w:rsidRPr="2C84739F">
        <w:rPr>
          <w:rFonts w:ascii="Aptos" w:hAnsi="Aptos" w:cs="Aptos"/>
          <w:lang w:val="en-US"/>
        </w:rPr>
        <w:instrText>–</w:instrText>
      </w:r>
      <w:r w:rsidR="00F57ABA" w:rsidRPr="2C84739F">
        <w:rPr>
          <w:lang w:val="en-US"/>
        </w:rPr>
        <w:instrText xml:space="preserve">2100, with extensions to 2300) with more detail (including multiple crop and pasture types and associated management practices) using more input datasets (including Landsat remote sensing data) and updated algorithms (wood harvest and shifting cultivation); it is assessed via a new diagnostic package. The new LUH2 products contain &amp;gt;&amp;thinsp;50 times the information content of the datasets used in CMIP5 and are designed to enable new and improved estimates of the combined effects of land use on the global carbon–climate system.","container-title":"Geoscientific Model Development","DOI":"10.5194/gmd-13-5425-2020","ISSN":"1991-959X","issue":"11","language":"English","note":"publisher: Copernicus GmbH","page":"5425-5464","source":"Copernicus Online Journals","title":"Harmonization of global land use change and management for the period 850–2100 (LUH2) for CMIP6","volume":"13","author":[{"family":"Hurtt","given":"George C."},{"family":"Chini","given":"Louise"},{"family":"Sahajpal","given":"Ritvik"},{"family":"Frolking","given":"Steve"},{"family":"Bodirsky","given":"Benjamin L."},{"family":"Calvin","given":"Katherine"},{"family":"Doelman","given":"Jonathan C."},{"family":"Fisk","given":"Justin"},{"family":"Fujimori","given":"Shinichiro"},{"family":"Klein Goldewijk","given":"Kees"},{"family":"Hasegawa","given":"Tomoko"},{"family":"Havlik","given":"Peter"},{"family":"Heinimann","given":"Andreas"},{"family":"Humpenöder","given":"Florian"},{"family":"Jungclaus","given":"Johan"},{"family":"Kaplan","given":"Jed O."},{"family":"Kennedy","given":"Jennifer"},{"family":"Krisztin","given":"Tamás"},{"family":"Lawrence","given":"David"},{"family":"Lawrence","given":"Peter"},{"family":"Ma","given":"Lei"},{"family":"Mertz","given":"Ole"},{"family":"Pongratz","given":"Julia"},{"family":"Popp","given":"Alexander"},{"family":"Poulter","given":"Benjamin"},{"family":"Riahi","given":"Keywan"},{"family":"Shevliakova","given":"Elena"},{"family":"Stehfest","given":"Elke"},{"family":"Thornton","given":"Peter"},{"family":"Tubiello","given":"Francesco N."},{"family":"Vuuren","given":"Detlef P.","non-dropping-particle":"van"},{"family":"Zhang","given":"Xin"}],"issued":{"date-parts":[["2020",11,10]]}}}],"schema":"https://github.com/citation-style-language/schema/raw/master/csl-citation.json"} </w:instrText>
      </w:r>
      <w:r w:rsidR="00F57ABA" w:rsidRPr="2C84739F">
        <w:rPr>
          <w:lang w:val="en-US"/>
        </w:rPr>
        <w:fldChar w:fldCharType="separate"/>
      </w:r>
      <w:r w:rsidR="00F57ABA" w:rsidRPr="00EF1901">
        <w:rPr>
          <w:rFonts w:ascii="Aptos" w:hAnsi="Aptos" w:cs="Times New Roman"/>
          <w:kern w:val="0"/>
          <w:vertAlign w:val="superscript"/>
        </w:rPr>
        <w:t>13</w:t>
      </w:r>
      <w:r w:rsidR="00F57ABA" w:rsidRPr="2C84739F">
        <w:rPr>
          <w:lang w:val="en-US"/>
        </w:rPr>
        <w:fldChar w:fldCharType="end"/>
      </w:r>
      <w:r w:rsidR="00380D49" w:rsidRPr="00380D49">
        <w:rPr>
          <w:lang w:val="en-US"/>
        </w:rPr>
        <w:t xml:space="preserve">, and up- and </w:t>
      </w:r>
      <w:r w:rsidR="572765B5" w:rsidRPr="00380D49">
        <w:rPr>
          <w:lang w:val="en-US"/>
        </w:rPr>
        <w:t>down</w:t>
      </w:r>
      <w:r w:rsidR="13C84F9F" w:rsidRPr="00380D49">
        <w:rPr>
          <w:lang w:val="en-US"/>
        </w:rPr>
        <w:t>-</w:t>
      </w:r>
      <w:r w:rsidR="572765B5" w:rsidRPr="00380D49">
        <w:rPr>
          <w:lang w:val="en-US"/>
        </w:rPr>
        <w:t>stream</w:t>
      </w:r>
      <w:r w:rsidR="00380D49" w:rsidRPr="00380D49">
        <w:rPr>
          <w:lang w:val="en-US"/>
        </w:rPr>
        <w:t xml:space="preserve"> emissions beyond the farm gate from </w:t>
      </w:r>
      <w:proofErr w:type="spellStart"/>
      <w:r w:rsidR="00380D49" w:rsidRPr="00380D49">
        <w:rPr>
          <w:lang w:val="en-US"/>
        </w:rPr>
        <w:t>Exiobase</w:t>
      </w:r>
      <w:proofErr w:type="spellEnd"/>
      <w:r w:rsidR="00EF1901" w:rsidRPr="2C84739F">
        <w:rPr>
          <w:lang w:val="en-US"/>
        </w:rPr>
        <w:fldChar w:fldCharType="begin"/>
      </w:r>
      <w:r w:rsidR="00EF1901" w:rsidRPr="2C84739F">
        <w:rPr>
          <w:lang w:val="en-US"/>
        </w:rPr>
        <w:instrText xml:space="preserve"> ADDIN ZOTERO_ITEM CSL_CITATION {"citationID":"v5q2zi5C","properties":{"formattedCitation":"\\super 14\\nosupersub{}","plainCitation":"14","noteIndex":0},"citationItems":[{"id":140,"uris":["http://zotero.org/users/16665975/items/HZGHDAVF"],"itemData":{"id":140,"type":"article-journal","abstract":"Environmentally extended multiregional input-output (EE MRIO) tables have emerged as a key framework to provide a comprehensive description of the global economy and analyze its effects on the environment. Of the available EE MRIO databases, EXIOBASE stands out as a database compatible with the System of Environmental-Economic Accounting (SEEA) with a high sectorial detail matched with multiple social and environmental satellite accounts. In this paper, we present the latest developments realized with EXIOBASE 3—a time series of EE MRIO tables ranging from 1995 to 2011 for 44 countries (28 EU member plus 16 major economies) and five rest of the world regions. EXIOBASE 3 builds upon the previous versions of EXIOBASE by using rectangular supply-use tables (SUTs) in a 163 industry by 200 products classification as the main building blocks. In order to capture structural changes, economic developments, as reported by national statistical agencies, were imposed on the available, disaggregated SUTs from EXIOBASE 2. These initial estimates were further refined by incorporating detailed data on energy, agricultural production, resource extraction, and bilateral trade. EXIOBASE 3 inherits the high level of environmental stressor detail from its precursor, with further improvement in the level of detail for resource extraction. To account for the expansion of the European Union (EU), EXIOBASE 3 was developed with the full EU28 country set (including the new member state Croatia). EXIOBASE 3 provides a unique tool for analyzing the dynamics of environmental pressures of economic activities over time.","container-title":"Journal of Industrial Ecology","DOI":"10.1111/jiec.12715","ISSN":"1530-9290","issue":"3","language":"en","license":"© 2018 The Authors. Journal of Industrial Ecology, published by Wiley Periodicals, Inc., on behalf of Yale University.","note":"_eprint: https://onlinelibrary.wiley.com/doi/pdf/10.1111/jiec.12715","page":"502-515","source":"Wiley Online Library","title":"EXIOBASE 3: Developing a Time Series of Detailed Environmentally Extended Multi-Regional Input-Output Tables","title-short":"EXIOBASE 3","volume":"22","author":[{"family":"Stadler","given":"Konstantin"},{"family":"Wood","given":"Richard"},{"family":"Bulavskaya","given":"Tatyana"},{"family":"Södersten","given":"Carl-Johan"},{"family":"Simas","given":"Moana"},{"family":"Schmidt","given":"Sarah"},{"family":"Usubiaga","given":"Arkaitz"},{"family":"Acosta-Fernández","given":"José"},{"family":"Kuenen","given":"Jeroen"},{"family":"Bruckner","given":"Martin"},{"family":"Giljum","given":"Stefan"},{"family":"Lutter","given":"Stephan"},{"family":"Merciai","given":"Stefano"},{"family":"Schmidt","given":"Jannick H."},{"family":"Theurl","given":"Michaela C."},{"family":"Plutzar","given":"Christoph"},{"family":"Kastner","given":"Thomas"},{"family":"Eisenmenger","given":"Nina"},{"family":"Erb","given":"Karl-Heinz"},{"family":"Koning","given":"Arjan","non-dropping-particle":"de"},{"family":"Tukker","given":"Arnold"}],"issued":{"date-parts":[["2018"]]}}}],"schema":"https://github.com/citation-style-language/schema/raw/master/csl-citation.json"} </w:instrText>
      </w:r>
      <w:r w:rsidR="00EF1901" w:rsidRPr="2C84739F">
        <w:rPr>
          <w:lang w:val="en-US"/>
        </w:rPr>
        <w:fldChar w:fldCharType="separate"/>
      </w:r>
      <w:r w:rsidR="00EF1901" w:rsidRPr="00EF1901">
        <w:rPr>
          <w:rFonts w:ascii="Aptos" w:hAnsi="Aptos" w:cs="Times New Roman"/>
          <w:kern w:val="0"/>
          <w:vertAlign w:val="superscript"/>
        </w:rPr>
        <w:t>14</w:t>
      </w:r>
      <w:r w:rsidR="00EF1901" w:rsidRPr="2C84739F">
        <w:rPr>
          <w:lang w:val="en-US"/>
        </w:rPr>
        <w:fldChar w:fldCharType="end"/>
      </w:r>
      <w:r w:rsidR="00380D49" w:rsidRPr="00380D49">
        <w:rPr>
          <w:lang w:val="en-US"/>
        </w:rPr>
        <w:t xml:space="preserve"> and IEA</w:t>
      </w:r>
      <w:r w:rsidR="00EF1901" w:rsidRPr="2C84739F">
        <w:rPr>
          <w:lang w:val="en-US"/>
        </w:rPr>
        <w:fldChar w:fldCharType="begin"/>
      </w:r>
      <w:r w:rsidR="00EF1901" w:rsidRPr="2C84739F">
        <w:rPr>
          <w:lang w:val="en-US"/>
        </w:rPr>
        <w:instrText xml:space="preserve"> ADDIN ZOTERO_ITEM CSL_CITATION {"citationID":"ncZ9es23","properties":{"formattedCitation":"\\super 15\\nosupersub{}","plainCitation":"15","noteIndex":0},"citationItems":[{"id":145,"uris":["http://zotero.org/users/16665975/items/FMRAQ447"],"itemData":{"id":145,"type":"article-journal","container-title":"OECD Science, Technology and Industry Working Papers","issue":"13","note":"publisher: Organisation for Economic Cooperation and Development (OECD)","page":"1–29","source":"Google Scholar","title":"Methodology for estimation of Energy Physical Supply and Use Tables based on IEA's World Energy Balances","volume":"2021","author":[{"family":"Guilhoto","given":"Joaquim Martins"},{"family":"Johnstone","given":"Nick"},{"family":"Mattion","given":"Francesco"},{"family":"Papadimoulis","given":"Faidon"},{"family":"Quadrelli","given":"Roberta"},{"family":"Webb","given":"Colin"}],"issued":{"date-parts":[["2021"]]}}}],"schema":"https://github.com/citation-style-language/schema/raw/master/csl-citation.json"} </w:instrText>
      </w:r>
      <w:r w:rsidR="00EF1901" w:rsidRPr="2C84739F">
        <w:rPr>
          <w:lang w:val="en-US"/>
        </w:rPr>
        <w:fldChar w:fldCharType="separate"/>
      </w:r>
      <w:r w:rsidR="00EF1901" w:rsidRPr="00EF1901">
        <w:rPr>
          <w:rFonts w:ascii="Aptos" w:hAnsi="Aptos" w:cs="Times New Roman"/>
          <w:kern w:val="0"/>
          <w:vertAlign w:val="superscript"/>
        </w:rPr>
        <w:t>15</w:t>
      </w:r>
      <w:r w:rsidR="00EF1901" w:rsidRPr="2C84739F">
        <w:rPr>
          <w:lang w:val="en-US"/>
        </w:rPr>
        <w:fldChar w:fldCharType="end"/>
      </w:r>
      <w:r w:rsidR="00380D49" w:rsidRPr="00380D49">
        <w:rPr>
          <w:lang w:val="en-US"/>
        </w:rPr>
        <w:t xml:space="preserve">. </w:t>
      </w:r>
      <w:r w:rsidR="00AB7866" w:rsidRPr="00AB7866">
        <w:t xml:space="preserve">GHG </w:t>
      </w:r>
      <w:r w:rsidR="003063A7" w:rsidRPr="003063A7">
        <w:t xml:space="preserve">emissions </w:t>
      </w:r>
      <w:r w:rsidR="00AB7866" w:rsidRPr="00AB7866">
        <w:t xml:space="preserve">were expressed in CO₂-equivalents using a 100-year global warming potential horizon, in alignment with the IPCC’s time horizon for reporting GHG </w:t>
      </w:r>
      <w:proofErr w:type="spellStart"/>
      <w:r w:rsidR="00AB7866" w:rsidRPr="00AB7866">
        <w:t>emissions</w:t>
      </w:r>
      <w:r w:rsidR="00334545">
        <w:fldChar w:fldCharType="begin"/>
      </w:r>
      <w:r w:rsidR="00334545">
        <w:instrText xml:space="preserve"> ADDIN ZOTERO_ITEM CSL_CITATION {"citationID":"9UFMdeFH","properties":{"formattedCitation":"\\super 16\\nosupersub{}","plainCitation":"16","noteIndex":0},"citationItems":[{"id":272,"uris":["http://zotero.org/users/16665975/items/AANXLKYH"],"itemData":{"id":272,"type":"article-journal","note":"publisher: Intergovernmental Panel on Climate Change (IPCC)","source":"Google Scholar","title":"Climate change 2023 synthesis report","URL":"https://cgspace.cgiar.org/items/7e70f98b-3a47-4881-8d8a-0e988c594ef4","author":[{"family":"Mukherji","given":"Aditi"}],"accessed":{"date-parts":[["2025",7,22]]},"issued":{"date-parts":[["2023"]]}}}],"schema":"https://github.com/citation-style-language/schema/raw/master/csl-citation.json"} </w:instrText>
      </w:r>
      <w:r w:rsidR="00334545">
        <w:fldChar w:fldCharType="separate"/>
      </w:r>
      <w:r w:rsidR="00334545" w:rsidRPr="00334545">
        <w:rPr>
          <w:rFonts w:ascii="Aptos" w:hAnsi="Aptos" w:cs="Times New Roman"/>
          <w:kern w:val="0"/>
          <w:vertAlign w:val="superscript"/>
        </w:rPr>
        <w:t>16</w:t>
      </w:r>
      <w:proofErr w:type="spellEnd"/>
      <w:r w:rsidR="00334545">
        <w:fldChar w:fldCharType="end"/>
      </w:r>
      <w:r w:rsidR="00AB7866" w:rsidRPr="00AB7866">
        <w:t>.</w:t>
      </w:r>
      <w:r w:rsidR="001C47FE">
        <w:rPr>
          <w:rFonts w:hint="eastAsia"/>
          <w:lang w:val="en-US"/>
        </w:rPr>
        <w:t xml:space="preserve"> </w:t>
      </w:r>
      <w:r w:rsidR="00733A14">
        <w:rPr>
          <w:rFonts w:hint="eastAsia"/>
          <w:lang w:val="en-US"/>
        </w:rPr>
        <w:t>This includes</w:t>
      </w:r>
      <w:r w:rsidR="00380D49" w:rsidRPr="00380D49">
        <w:rPr>
          <w:lang w:val="en-US"/>
        </w:rPr>
        <w:t xml:space="preserve"> </w:t>
      </w:r>
      <w:proofErr w:type="spellStart"/>
      <w:r w:rsidR="00380D49" w:rsidRPr="2C84739F">
        <w:rPr>
          <w:lang w:val="en-US"/>
        </w:rPr>
        <w:t>amorti</w:t>
      </w:r>
      <w:r w:rsidR="40F6DC9C" w:rsidRPr="468A9114">
        <w:rPr>
          <w:lang w:val="en-US"/>
        </w:rPr>
        <w:t>s</w:t>
      </w:r>
      <w:r w:rsidR="00380D49" w:rsidRPr="2C84739F">
        <w:rPr>
          <w:lang w:val="en-US"/>
        </w:rPr>
        <w:t>ation</w:t>
      </w:r>
      <w:proofErr w:type="spellEnd"/>
      <w:r w:rsidR="00380D49" w:rsidRPr="00380D49">
        <w:rPr>
          <w:lang w:val="en-US"/>
        </w:rPr>
        <w:t xml:space="preserve"> of land use change emissions over the same period. Direct emission coefficients were derived by dividing total production-related emissions by total output. </w:t>
      </w:r>
    </w:p>
    <w:p w14:paraId="1B2B2433" w14:textId="77777777" w:rsidR="002E1C54" w:rsidRDefault="002E1C54" w:rsidP="005C6C47">
      <w:pPr>
        <w:spacing w:after="0"/>
        <w:jc w:val="both"/>
        <w:rPr>
          <w:rFonts w:hint="eastAsia"/>
          <w:lang w:val="en-US"/>
        </w:rPr>
      </w:pPr>
    </w:p>
    <w:p w14:paraId="4B18714D" w14:textId="4C595BFF" w:rsidR="005C6C47" w:rsidRPr="002E1C54" w:rsidRDefault="005C6C47" w:rsidP="005C6C47">
      <w:pPr>
        <w:spacing w:after="0"/>
        <w:jc w:val="both"/>
        <w:rPr>
          <w:rFonts w:hint="eastAsia"/>
          <w:lang w:val="en-US"/>
        </w:rPr>
      </w:pPr>
      <w:r w:rsidRPr="00803E3C">
        <w:t>There is a large variance in the direct emission coefficients</w:t>
      </w:r>
      <w:r w:rsidR="004C3DFA">
        <w:t xml:space="preserve"> for food products</w:t>
      </w:r>
      <w:r w:rsidRPr="00803E3C">
        <w:t xml:space="preserve">, </w:t>
      </w:r>
      <w:r w:rsidR="004C3DFA">
        <w:t>typically</w:t>
      </w:r>
      <w:r w:rsidRPr="00803E3C">
        <w:t xml:space="preserve"> due to low incidental total output leading to a high resultant coefficient. </w:t>
      </w:r>
      <w:r w:rsidR="004C3DFA">
        <w:t>Such o</w:t>
      </w:r>
      <w:r w:rsidRPr="00803E3C">
        <w:rPr>
          <w:rFonts w:eastAsia="DengXian" w:cs="Arial"/>
        </w:rPr>
        <w:t xml:space="preserve">utliers were identified based on product-specific boundaries calculated with the interquartile range (1.5 times the interquartile range above and below the median) and </w:t>
      </w:r>
      <w:r w:rsidR="004C3DFA">
        <w:rPr>
          <w:rFonts w:eastAsia="DengXian" w:cs="Arial"/>
        </w:rPr>
        <w:t>re-assigned</w:t>
      </w:r>
      <w:r w:rsidRPr="00803E3C">
        <w:rPr>
          <w:rFonts w:eastAsia="DengXian" w:cs="Arial"/>
        </w:rPr>
        <w:t xml:space="preserve"> to their respective lower or</w:t>
      </w:r>
      <w:r>
        <w:rPr>
          <w:rFonts w:ascii="Aptos" w:eastAsia="DengXian" w:hAnsi="Aptos" w:cs="Arial"/>
        </w:rPr>
        <w:t xml:space="preserve"> higher </w:t>
      </w:r>
      <w:r w:rsidRPr="00532355">
        <w:rPr>
          <w:rFonts w:ascii="Aptos" w:eastAsia="DengXian" w:hAnsi="Aptos" w:cs="Arial"/>
        </w:rPr>
        <w:t xml:space="preserve">boundary. </w:t>
      </w:r>
      <w:r>
        <w:rPr>
          <w:rFonts w:ascii="Aptos" w:eastAsia="DengXian" w:hAnsi="Aptos" w:cs="Arial"/>
        </w:rPr>
        <w:t xml:space="preserve"> </w:t>
      </w:r>
      <w:r>
        <w:t xml:space="preserve">For some products the emissions are zero across all countries, e.g., there are no land use emissions for fishing. Missing coefficients </w:t>
      </w:r>
      <w:r>
        <w:lastRenderedPageBreak/>
        <w:t xml:space="preserve">were estimated by the global product-specific median value, based on all non-zero values. </w:t>
      </w:r>
    </w:p>
    <w:p w14:paraId="03BF759C" w14:textId="77777777" w:rsidR="005C6C47" w:rsidRPr="00D67C58" w:rsidRDefault="005C6C47" w:rsidP="005C6C47">
      <w:pPr>
        <w:spacing w:after="0"/>
        <w:jc w:val="both"/>
        <w:rPr>
          <w:rFonts w:hint="eastAsia"/>
        </w:rPr>
      </w:pPr>
    </w:p>
    <w:p w14:paraId="0E96DAFA" w14:textId="7DEE61B1" w:rsidR="00EE2F90" w:rsidRPr="00FB5E67" w:rsidRDefault="00EE2F90" w:rsidP="00EE2F90">
      <w:pPr>
        <w:spacing w:after="0"/>
        <w:jc w:val="both"/>
        <w:rPr>
          <w:rFonts w:hint="eastAsia"/>
          <w:b/>
          <w:bCs/>
        </w:rPr>
      </w:pPr>
      <w:r w:rsidRPr="00FB5E67">
        <w:rPr>
          <w:b/>
          <w:bCs/>
        </w:rPr>
        <w:t xml:space="preserve">Environmental </w:t>
      </w:r>
      <w:proofErr w:type="spellStart"/>
      <w:r w:rsidRPr="00FB5E67">
        <w:rPr>
          <w:b/>
          <w:bCs/>
        </w:rPr>
        <w:t>footprinting</w:t>
      </w:r>
      <w:proofErr w:type="spellEnd"/>
    </w:p>
    <w:p w14:paraId="4C5B5EB1" w14:textId="50154D10" w:rsidR="00EE2F90" w:rsidRPr="00FB5E67" w:rsidRDefault="005C6C47" w:rsidP="00EE2F90">
      <w:pPr>
        <w:jc w:val="both"/>
        <w:rPr>
          <w:rFonts w:hint="eastAsia"/>
        </w:rPr>
      </w:pPr>
      <w:r>
        <w:t>E</w:t>
      </w:r>
      <w:r w:rsidRPr="00FB5E67">
        <w:t>nvironmental footprint</w:t>
      </w:r>
      <w:r>
        <w:t>s</w:t>
      </w:r>
      <w:r w:rsidRPr="00FB5E67">
        <w:t xml:space="preserve"> of GDD food groups were</w:t>
      </w:r>
      <w:r w:rsidR="00EE2F90" w:rsidRPr="00FB5E67">
        <w:t xml:space="preserve"> calculated per country via FABIO, using a Leontief demand-pull consumption-based analysis, incorporating the sourcing pathways of direct and indirect production volumes embodied in national consumption: </w:t>
      </w:r>
    </w:p>
    <w:p w14:paraId="684C9D24" w14:textId="77777777" w:rsidR="00EE2F90" w:rsidRPr="00FB5E67" w:rsidRDefault="00AF7F89" w:rsidP="6B6B33D6">
      <w:pPr>
        <w:jc w:val="both"/>
        <w:rPr>
          <w:rFonts w:hint="eastAsia"/>
        </w:rPr>
      </w:pPr>
      <m:oMathPara>
        <m:oMath>
          <m:sSub>
            <m:sSubPr>
              <m:ctrlPr>
                <w:rPr>
                  <w:rFonts w:ascii="Cambria Math" w:hAnsi="Cambria Math"/>
                </w:rPr>
              </m:ctrlPr>
            </m:sSubPr>
            <m:e>
              <m:acc>
                <m:accPr>
                  <m:ctrlPr>
                    <w:rPr>
                      <w:rFonts w:ascii="Cambria Math" w:hAnsi="Cambria Math"/>
                      <w:i/>
                    </w:rPr>
                  </m:ctrlPr>
                </m:accPr>
                <m:e>
                  <m:r>
                    <m:rPr>
                      <m:sty m:val="p"/>
                    </m:rPr>
                    <w:rPr>
                      <w:rFonts w:ascii="Cambria Math" w:hAnsi="Cambria Math"/>
                    </w:rPr>
                    <m:t>E</m:t>
                  </m:r>
                  <m:r>
                    <w:rPr>
                      <w:rFonts w:ascii="Cambria Math" w:hAnsi="Cambria Math"/>
                    </w:rPr>
                    <m:t>F</m:t>
                  </m:r>
                </m:e>
              </m:acc>
              <m:ctrlPr>
                <w:rPr>
                  <w:rFonts w:ascii="Cambria Math" w:hAnsi="Cambria Math"/>
                  <w:i/>
                </w:rPr>
              </m:ctrlPr>
            </m:e>
            <m:sub>
              <m:r>
                <w:rPr>
                  <w:rFonts w:ascii="Cambria Math" w:hAnsi="Cambria Math"/>
                </w:rPr>
                <m:t>C, fg</m:t>
              </m:r>
            </m:sub>
          </m:sSub>
          <m:r>
            <w:rPr>
              <w:rFonts w:ascii="Cambria Math" w:hAnsi="Cambria Math"/>
            </w:rPr>
            <m:t>=</m:t>
          </m:r>
          <m:acc>
            <m:accPr>
              <m:chr m:val="⃗"/>
              <m:ctrlPr>
                <w:rPr>
                  <w:rFonts w:ascii="Cambria Math" w:hAnsi="Cambria Math"/>
                  <w:i/>
                </w:rPr>
              </m:ctrlPr>
            </m:accPr>
            <m:e>
              <m:r>
                <w:rPr>
                  <w:rFonts w:ascii="Cambria Math" w:hAnsi="Cambria Math" w:hint="eastAsia"/>
                </w:rPr>
                <m:t>e</m:t>
              </m:r>
            </m:e>
          </m:acc>
          <m:r>
            <w:rPr>
              <w:rFonts w:ascii="Cambria Math" w:hAnsi="Cambria Math"/>
            </w:rPr>
            <m:t xml:space="preserve"> ×L ×</m:t>
          </m:r>
          <m:sSub>
            <m:sSubPr>
              <m:ctrlPr>
                <w:rPr>
                  <w:rFonts w:ascii="Cambria Math" w:hAnsi="Cambria Math"/>
                  <w:i/>
                </w:rPr>
              </m:ctrlPr>
            </m:sSubPr>
            <m:e>
              <m:acc>
                <m:accPr>
                  <m:chr m:val="⃑"/>
                  <m:ctrlPr>
                    <w:rPr>
                      <w:rFonts w:ascii="Cambria Math" w:hAnsi="Cambria Math"/>
                    </w:rPr>
                  </m:ctrlPr>
                </m:accPr>
                <m:e>
                  <m:acc>
                    <m:accPr>
                      <m:ctrlPr>
                        <w:rPr>
                          <w:rFonts w:ascii="Cambria Math" w:hAnsi="Cambria Math"/>
                        </w:rPr>
                      </m:ctrlPr>
                    </m:accPr>
                    <m:e>
                      <m:r>
                        <w:rPr>
                          <w:rFonts w:ascii="Cambria Math" w:hAnsi="Cambria Math"/>
                        </w:rPr>
                        <m:t>y</m:t>
                      </m:r>
                    </m:e>
                  </m:acc>
                </m:e>
              </m:acc>
            </m:e>
            <m:sub>
              <m:r>
                <w:rPr>
                  <w:rFonts w:ascii="Cambria Math" w:hAnsi="Cambria Math"/>
                </w:rPr>
                <m:t>C, fg</m:t>
              </m:r>
            </m:sub>
          </m:sSub>
        </m:oMath>
      </m:oMathPara>
    </w:p>
    <w:p w14:paraId="5E355D0C" w14:textId="6B4A8B76" w:rsidR="00EE2F90" w:rsidRPr="004962D8" w:rsidRDefault="00EE2F90" w:rsidP="005C6C47">
      <w:pPr>
        <w:jc w:val="both"/>
        <w:rPr>
          <w:rFonts w:ascii="Aptos" w:eastAsia="DengXian" w:hAnsi="Aptos" w:cs="Arial" w:hint="eastAsia"/>
          <w:i/>
        </w:rPr>
      </w:pPr>
      <w:r w:rsidRPr="005A7E21">
        <w:t xml:space="preserve">Where </w:t>
      </w:r>
      <m:oMath>
        <m:sSub>
          <m:sSubPr>
            <m:ctrlPr>
              <w:rPr>
                <w:rFonts w:ascii="Cambria Math" w:hAnsi="Cambria Math"/>
              </w:rPr>
            </m:ctrlPr>
          </m:sSubPr>
          <m:e>
            <m:acc>
              <m:accPr>
                <m:ctrlPr>
                  <w:rPr>
                    <w:rFonts w:ascii="Cambria Math" w:hAnsi="Cambria Math"/>
                    <w:i/>
                  </w:rPr>
                </m:ctrlPr>
              </m:accPr>
              <m:e>
                <m:r>
                  <m:rPr>
                    <m:sty m:val="p"/>
                  </m:rPr>
                  <w:rPr>
                    <w:rFonts w:ascii="Cambria Math" w:hAnsi="Cambria Math"/>
                  </w:rPr>
                  <m:t>E</m:t>
                </m:r>
                <m:r>
                  <w:rPr>
                    <w:rFonts w:ascii="Cambria Math" w:hAnsi="Cambria Math"/>
                  </w:rPr>
                  <m:t>F</m:t>
                </m:r>
              </m:e>
            </m:acc>
            <m:ctrlPr>
              <w:rPr>
                <w:rFonts w:ascii="Cambria Math" w:hAnsi="Cambria Math"/>
                <w:i/>
              </w:rPr>
            </m:ctrlPr>
          </m:e>
          <m:sub>
            <m:r>
              <w:rPr>
                <w:rFonts w:ascii="Cambria Math" w:hAnsi="Cambria Math"/>
              </w:rPr>
              <m:t>C, fg</m:t>
            </m:r>
          </m:sub>
        </m:sSub>
        <m:r>
          <w:rPr>
            <w:rFonts w:ascii="Cambria Math" w:hAnsi="Cambria Math"/>
          </w:rPr>
          <m:t xml:space="preserve"> </m:t>
        </m:r>
      </m:oMath>
      <w:r w:rsidRPr="005A7E21">
        <w:t>is the consump</w:t>
      </w:r>
      <w:r w:rsidRPr="00FB5E67">
        <w:rPr>
          <w:rFonts w:hint="eastAsia"/>
        </w:rPr>
        <w:t>ti</w:t>
      </w:r>
      <w:r w:rsidRPr="005A7E21">
        <w:t xml:space="preserve">on-based environmental footprint for the final demand, </w:t>
      </w:r>
      <m:oMath>
        <m:sSub>
          <m:sSubPr>
            <m:ctrlPr>
              <w:rPr>
                <w:rFonts w:ascii="Cambria Math" w:hAnsi="Cambria Math"/>
                <w:i/>
              </w:rPr>
            </m:ctrlPr>
          </m:sSubPr>
          <m:e>
            <m:acc>
              <m:accPr>
                <m:chr m:val="⃑"/>
                <m:ctrlPr>
                  <w:rPr>
                    <w:rFonts w:ascii="Cambria Math" w:hAnsi="Cambria Math"/>
                  </w:rPr>
                </m:ctrlPr>
              </m:accPr>
              <m:e>
                <m:acc>
                  <m:accPr>
                    <m:ctrlPr>
                      <w:rPr>
                        <w:rFonts w:ascii="Cambria Math" w:hAnsi="Cambria Math"/>
                      </w:rPr>
                    </m:ctrlPr>
                  </m:accPr>
                  <m:e>
                    <m:r>
                      <w:rPr>
                        <w:rFonts w:ascii="Cambria Math" w:hAnsi="Cambria Math"/>
                      </w:rPr>
                      <m:t>y</m:t>
                    </m:r>
                  </m:e>
                </m:acc>
              </m:e>
            </m:acc>
          </m:e>
          <m:sub>
            <m:r>
              <w:rPr>
                <w:rFonts w:ascii="Cambria Math" w:hAnsi="Cambria Math"/>
              </w:rPr>
              <m:t>C, fg</m:t>
            </m:r>
          </m:sub>
        </m:sSub>
      </m:oMath>
      <w:r w:rsidR="005C6C47">
        <w:t xml:space="preserve">, </w:t>
      </w:r>
      <w:r w:rsidR="005C6C47" w:rsidRPr="005A7E21">
        <w:t>of one</w:t>
      </w:r>
      <w:r w:rsidR="005C6C47" w:rsidRPr="00FB5E67">
        <w:rPr>
          <w:rFonts w:hint="eastAsia"/>
        </w:rPr>
        <w:t xml:space="preserve"> </w:t>
      </w:r>
      <w:r w:rsidR="005C6C47" w:rsidRPr="005A7E21">
        <w:t xml:space="preserve">tonne of food group </w:t>
      </w:r>
      <w:r w:rsidR="005C6C47" w:rsidRPr="005A7E21">
        <w:rPr>
          <w:rFonts w:ascii="Cambria Math" w:hAnsi="Cambria Math" w:cs="Cambria Math"/>
        </w:rPr>
        <w:t>𝑓𝑔</w:t>
      </w:r>
      <w:r w:rsidR="005C6C47" w:rsidRPr="005A7E21">
        <w:t xml:space="preserve"> in country </w:t>
      </w:r>
      <w:r w:rsidR="005C6C47" w:rsidRPr="005A7E21">
        <w:rPr>
          <w:rFonts w:ascii="Cambria Math" w:hAnsi="Cambria Math" w:cs="Cambria Math"/>
        </w:rPr>
        <w:t>𝐶</w:t>
      </w:r>
      <w:r w:rsidR="005C6C47" w:rsidRPr="00FB5E67">
        <w:rPr>
          <w:rFonts w:hint="eastAsia"/>
        </w:rPr>
        <w:t>;</w:t>
      </w:r>
      <w:r w:rsidR="005C6C47" w:rsidRPr="005A7E21">
        <w:t xml:space="preserve"> </w:t>
      </w:r>
      <m:oMath>
        <m:acc>
          <m:accPr>
            <m:chr m:val="⃗"/>
            <m:ctrlPr>
              <w:rPr>
                <w:rFonts w:ascii="Cambria Math" w:hAnsi="Cambria Math"/>
                <w:i/>
              </w:rPr>
            </m:ctrlPr>
          </m:accPr>
          <m:e>
            <m:r>
              <w:rPr>
                <w:rFonts w:ascii="Cambria Math" w:hAnsi="Cambria Math" w:hint="eastAsia"/>
              </w:rPr>
              <m:t>e</m:t>
            </m:r>
          </m:e>
        </m:acc>
      </m:oMath>
      <w:r w:rsidR="005C6C47" w:rsidRPr="005A7E21">
        <w:t xml:space="preserve"> is the direct emission coefficient vector; </w:t>
      </w:r>
      <w:r w:rsidR="005C6C47" w:rsidRPr="005A7E21">
        <w:rPr>
          <w:rFonts w:ascii="Cambria Math" w:hAnsi="Cambria Math" w:cs="Cambria Math"/>
        </w:rPr>
        <w:t>𝐿</w:t>
      </w:r>
      <w:r w:rsidR="005C6C47" w:rsidRPr="005A7E21">
        <w:t xml:space="preserve"> is</w:t>
      </w:r>
      <w:r w:rsidR="005C6C47" w:rsidRPr="00FB5E67">
        <w:rPr>
          <w:rFonts w:hint="eastAsia"/>
        </w:rPr>
        <w:t xml:space="preserve"> </w:t>
      </w:r>
      <w:r w:rsidR="005C6C47" w:rsidRPr="00FB5E67">
        <w:t>the Leon</w:t>
      </w:r>
      <w:r w:rsidR="005C6C47" w:rsidRPr="00FB5E67">
        <w:rPr>
          <w:rFonts w:ascii="Aptos" w:hAnsi="Aptos" w:cs="Aptos" w:hint="eastAsia"/>
        </w:rPr>
        <w:t>ti</w:t>
      </w:r>
      <w:r w:rsidR="005C6C47" w:rsidRPr="00FB5E67">
        <w:t>ef inverse matrix.</w:t>
      </w:r>
      <w:r w:rsidR="005C6C47">
        <w:t xml:space="preserve"> After these footprint calculations the outliers were again </w:t>
      </w:r>
      <w:r w:rsidR="004C3DFA">
        <w:t>re-assigned</w:t>
      </w:r>
      <w:r w:rsidR="005C6C47">
        <w:t xml:space="preserve"> </w:t>
      </w:r>
      <w:r w:rsidR="005C6C47" w:rsidRPr="00803E3C">
        <w:rPr>
          <w:rFonts w:eastAsia="DengXian" w:cs="Arial"/>
        </w:rPr>
        <w:t>to their respective lower or</w:t>
      </w:r>
      <w:r w:rsidR="005C6C47">
        <w:rPr>
          <w:rFonts w:ascii="Aptos" w:eastAsia="DengXian" w:hAnsi="Aptos" w:cs="Arial"/>
        </w:rPr>
        <w:t xml:space="preserve"> higher </w:t>
      </w:r>
      <w:r w:rsidR="005C6C47" w:rsidRPr="00532355">
        <w:rPr>
          <w:rFonts w:ascii="Aptos" w:eastAsia="DengXian" w:hAnsi="Aptos" w:cs="Arial"/>
        </w:rPr>
        <w:t>boundary</w:t>
      </w:r>
      <w:r w:rsidR="005C6C47">
        <w:t xml:space="preserve"> </w:t>
      </w:r>
      <w:r w:rsidR="005C6C47" w:rsidRPr="00803E3C">
        <w:rPr>
          <w:rFonts w:eastAsia="DengXian" w:cs="Arial"/>
        </w:rPr>
        <w:t>(1.5 times the interquartile range above and below the median)</w:t>
      </w:r>
      <w:r w:rsidR="00285CE4">
        <w:rPr>
          <w:rFonts w:eastAsia="DengXian" w:cs="Arial"/>
        </w:rPr>
        <w:fldChar w:fldCharType="begin"/>
      </w:r>
      <w:r w:rsidR="00334545">
        <w:rPr>
          <w:rFonts w:eastAsia="DengXian" w:cs="Arial"/>
        </w:rPr>
        <w:instrText xml:space="preserve"> ADDIN ZOTERO_ITEM CSL_CITATION {"citationID":"uz0HnzDi","properties":{"formattedCitation":"\\super 17\\nosupersub{}","plainCitation":"17","noteIndex":0},"citationItems":[{"id":270,"uris":["http://zotero.org/users/16665975/items/ZQ547INW"],"itemData":{"id":270,"type":"article-journal","abstract":"It is common to consider Tukey's schematic (“full”) boxplot as an informal test for the existence of outliers. While the procedure is useful, it should be used with caution, as at least 30% of samples from a normally-distributed population of any size will be flagged as containing an outlier, while for small samples (N&lt;10) even extreme outliers indicate little. This fact is most easily seen using a simulation, which ideally students should perform for themselves. The majority of students who learn about boxplots are not familiar with the tools (such as R) that upper-level students might use for such a simulation. This article shows how, with appropriate guidance, a class can use a spreadsheet such as Excel to explore this issue.","container-title":"Journal of Statistics Education","DOI":"10.1080/10691898.2011.11889610","ISSN":"null","issue":"2","note":"publisher: Taylor &amp; Francis\n_eprint: https://doi.org/10.1080/10691898.2011.11889610","source":"Taylor and Francis+NEJM","title":"How Significant is a Boxplot Outlier?","URL":"https://doi.org/10.1080/10691898.2011.11889610","volume":"19","author":[{"family":"Dawson","given":"Robert"}],"accessed":{"date-parts":[["2025",7,17]]},"issued":{"date-parts":[["2011",7,1]]}}}],"schema":"https://github.com/citation-style-language/schema/raw/master/csl-citation.json"} </w:instrText>
      </w:r>
      <w:r w:rsidR="00285CE4">
        <w:rPr>
          <w:rFonts w:eastAsia="DengXian" w:cs="Arial"/>
        </w:rPr>
        <w:fldChar w:fldCharType="separate"/>
      </w:r>
      <w:r w:rsidR="00334545" w:rsidRPr="00334545">
        <w:rPr>
          <w:rFonts w:ascii="Aptos" w:hAnsi="Aptos" w:cs="Times New Roman"/>
          <w:kern w:val="0"/>
          <w:vertAlign w:val="superscript"/>
        </w:rPr>
        <w:t>17</w:t>
      </w:r>
      <w:r w:rsidR="00285CE4">
        <w:rPr>
          <w:rFonts w:eastAsia="DengXian" w:cs="Arial"/>
        </w:rPr>
        <w:fldChar w:fldCharType="end"/>
      </w:r>
      <w:r w:rsidR="005C6C47">
        <w:rPr>
          <w:rFonts w:eastAsia="DengXian" w:cs="Arial"/>
        </w:rPr>
        <w:t xml:space="preserve">. </w:t>
      </w:r>
      <w:r w:rsidR="005C6C47" w:rsidRPr="00620B35">
        <w:rPr>
          <w:rFonts w:ascii="Aptos" w:eastAsia="DengXian" w:hAnsi="Aptos" w:cs="Arial"/>
        </w:rPr>
        <w:t xml:space="preserve">The </w:t>
      </w:r>
      <w:r w:rsidR="004C3DFA">
        <w:rPr>
          <w:rFonts w:ascii="Aptos" w:eastAsia="DengXian" w:hAnsi="Aptos" w:cs="Arial"/>
        </w:rPr>
        <w:t xml:space="preserve">final </w:t>
      </w:r>
      <w:r w:rsidR="00DA5765">
        <w:rPr>
          <w:rFonts w:ascii="Aptos" w:eastAsia="DengXian" w:hAnsi="Aptos" w:cs="Arial" w:hint="eastAsia"/>
        </w:rPr>
        <w:t xml:space="preserve">consumption-based </w:t>
      </w:r>
      <w:r w:rsidR="005C6C47" w:rsidRPr="00050418">
        <w:rPr>
          <w:rFonts w:ascii="Aptos" w:eastAsia="DengXian" w:hAnsi="Aptos" w:cs="Arial"/>
        </w:rPr>
        <w:t xml:space="preserve">environmental impact </w:t>
      </w:r>
      <w:r w:rsidR="008B07C5">
        <w:rPr>
          <w:rFonts w:ascii="Aptos" w:eastAsia="DengXian" w:hAnsi="Aptos" w:cs="Arial" w:hint="eastAsia"/>
        </w:rPr>
        <w:t>intensities</w:t>
      </w:r>
      <w:r w:rsidR="008B07C5" w:rsidRPr="00620B35">
        <w:rPr>
          <w:rFonts w:ascii="Aptos" w:eastAsia="DengXian" w:hAnsi="Aptos" w:cs="Arial"/>
        </w:rPr>
        <w:t xml:space="preserve"> </w:t>
      </w:r>
      <w:r w:rsidR="005C6C47" w:rsidRPr="00620B35">
        <w:rPr>
          <w:rFonts w:ascii="Aptos" w:eastAsia="DengXian" w:hAnsi="Aptos" w:cs="Arial"/>
        </w:rPr>
        <w:t>can be found in Figure 1</w:t>
      </w:r>
      <w:r w:rsidRPr="00620B35">
        <w:rPr>
          <w:rFonts w:ascii="Aptos" w:eastAsia="DengXian" w:hAnsi="Aptos" w:cs="Arial"/>
        </w:rPr>
        <w:t>.</w:t>
      </w:r>
      <w:r w:rsidR="0085589C">
        <w:rPr>
          <w:rFonts w:ascii="Aptos" w:eastAsia="DengXian" w:hAnsi="Aptos" w:cs="Arial" w:hint="eastAsia"/>
        </w:rPr>
        <w:t xml:space="preserve"> </w:t>
      </w:r>
    </w:p>
    <w:p w14:paraId="403F6F93" w14:textId="64045F46" w:rsidR="005C6C47" w:rsidRPr="00FB5E67" w:rsidRDefault="005C6C47" w:rsidP="005C6C47">
      <w:pPr>
        <w:jc w:val="both"/>
        <w:rPr>
          <w:rFonts w:hint="eastAsia"/>
        </w:rPr>
      </w:pPr>
      <w:r w:rsidRPr="00FB5E67">
        <w:t xml:space="preserve">The resultant environmental footprint per person per day (2,000 kcal) were then scaled by </w:t>
      </w:r>
      <w:r>
        <w:t xml:space="preserve">the </w:t>
      </w:r>
      <w:r w:rsidRPr="00FB5E67">
        <w:t xml:space="preserve">per capita food consumption in GDD as follows: </w:t>
      </w:r>
    </w:p>
    <w:p w14:paraId="5CA8288D" w14:textId="5AA3EA3F" w:rsidR="005C6C47" w:rsidRPr="00FB5E67" w:rsidRDefault="000029B0" w:rsidP="005C6C47">
      <w:pPr>
        <w:jc w:val="center"/>
        <w:rPr>
          <w:rFonts w:hint="eastAsia"/>
        </w:rPr>
      </w:pPr>
      <m:oMathPara>
        <m:oMath>
          <m:r>
            <m:rPr>
              <m:sty m:val="p"/>
            </m:rPr>
            <w:rPr>
              <w:rFonts w:ascii="Cambria Math" w:hAnsi="Cambria Math"/>
            </w:rPr>
            <m:t>E</m:t>
          </m:r>
          <m:sSub>
            <m:sSubPr>
              <m:ctrlPr>
                <w:rPr>
                  <w:rFonts w:ascii="Cambria Math" w:hAnsi="Cambria Math"/>
                </w:rPr>
              </m:ctrlPr>
            </m:sSubPr>
            <m:e>
              <m:r>
                <w:rPr>
                  <w:rFonts w:ascii="Cambria Math" w:hAnsi="Cambria Math"/>
                </w:rPr>
                <m:t>F</m:t>
              </m:r>
              <m:ctrlPr>
                <w:rPr>
                  <w:rFonts w:ascii="Cambria Math" w:hAnsi="Cambria Math"/>
                  <w:i/>
                </w:rPr>
              </m:ctrlPr>
            </m:e>
            <m:sub>
              <m:r>
                <w:rPr>
                  <w:rFonts w:ascii="Cambria Math" w:hAnsi="Cambria Math"/>
                </w:rPr>
                <m:t>per capita,C,</m:t>
              </m:r>
              <m:r>
                <w:rPr>
                  <w:rFonts w:ascii="Cambria Math" w:hAnsi="Cambria Math" w:hint="eastAsia"/>
                </w:rPr>
                <m:t>fg</m:t>
              </m:r>
              <m:r>
                <w:rPr>
                  <w:rFonts w:ascii="Cambria Math" w:hAnsi="Cambria Math"/>
                </w:rPr>
                <m:t>,</m:t>
              </m:r>
              <m:r>
                <w:rPr>
                  <w:rFonts w:ascii="Cambria Math" w:hAnsi="Cambria Math" w:hint="eastAsia"/>
                </w:rPr>
                <m:t>imp</m:t>
              </m:r>
            </m:sub>
          </m:sSub>
          <m:r>
            <w:rPr>
              <w:rFonts w:ascii="Cambria Math" w:hAnsi="Cambria Math"/>
            </w:rPr>
            <m:t>=</m:t>
          </m:r>
          <m:sSub>
            <m:sSubPr>
              <m:ctrlPr>
                <w:rPr>
                  <w:rFonts w:ascii="Cambria Math" w:hAnsi="Cambria Math"/>
                </w:rPr>
              </m:ctrlPr>
            </m:sSubPr>
            <m:e>
              <m:r>
                <w:rPr>
                  <w:rFonts w:ascii="Cambria Math" w:hAnsi="Cambria Math"/>
                </w:rPr>
                <m:t>GDD</m:t>
              </m:r>
              <m:ctrlPr>
                <w:rPr>
                  <w:rFonts w:ascii="Cambria Math" w:hAnsi="Cambria Math"/>
                  <w:i/>
                </w:rPr>
              </m:ctrlPr>
            </m:e>
            <m:sub>
              <m:r>
                <w:rPr>
                  <w:rFonts w:ascii="Cambria Math" w:hAnsi="Cambria Math"/>
                </w:rPr>
                <m:t>C, fg </m:t>
              </m:r>
            </m:sub>
          </m:sSub>
          <m:r>
            <w:rPr>
              <w:rFonts w:ascii="Cambria Math" w:hAnsi="Cambria Math"/>
            </w:rPr>
            <m:t>× </m:t>
          </m:r>
          <m:sSub>
            <m:sSubPr>
              <m:ctrlPr>
                <w:rPr>
                  <w:rFonts w:ascii="Cambria Math" w:hAnsi="Cambria Math"/>
                </w:rPr>
              </m:ctrlPr>
            </m:sSubPr>
            <m:e>
              <m:acc>
                <m:accPr>
                  <m:ctrlPr>
                    <w:rPr>
                      <w:rFonts w:ascii="Cambria Math" w:hAnsi="Cambria Math"/>
                      <w:i/>
                    </w:rPr>
                  </m:ctrlPr>
                </m:accPr>
                <m:e>
                  <m:r>
                    <m:rPr>
                      <m:sty m:val="p"/>
                    </m:rPr>
                    <w:rPr>
                      <w:rFonts w:ascii="Cambria Math" w:hAnsi="Cambria Math"/>
                    </w:rPr>
                    <m:t>E</m:t>
                  </m:r>
                  <m:r>
                    <w:rPr>
                      <w:rFonts w:ascii="Cambria Math" w:hAnsi="Cambria Math"/>
                    </w:rPr>
                    <m:t>F</m:t>
                  </m:r>
                </m:e>
              </m:acc>
              <m:ctrlPr>
                <w:rPr>
                  <w:rFonts w:ascii="Cambria Math" w:hAnsi="Cambria Math"/>
                  <w:i/>
                </w:rPr>
              </m:ctrlPr>
            </m:e>
            <m:sub>
              <m:r>
                <w:rPr>
                  <w:rFonts w:ascii="Cambria Math" w:hAnsi="Cambria Math"/>
                </w:rPr>
                <m:t>C, fg</m:t>
              </m:r>
            </m:sub>
          </m:sSub>
          <m:r>
            <w:rPr>
              <w:rFonts w:ascii="Cambria Math" w:hAnsi="Cambria Math"/>
            </w:rPr>
            <m:t>   </m:t>
          </m:r>
        </m:oMath>
      </m:oMathPara>
    </w:p>
    <w:p w14:paraId="3A28945F" w14:textId="16C7EC41" w:rsidR="005C6C47" w:rsidRDefault="005C6C47" w:rsidP="005C6C47">
      <w:pPr>
        <w:jc w:val="both"/>
        <w:rPr>
          <w:rFonts w:hint="eastAsia"/>
        </w:rPr>
      </w:pPr>
      <w:r w:rsidRPr="00FB5E67">
        <w:t xml:space="preserve">Where </w:t>
      </w:r>
      <m:oMath>
        <m:r>
          <m:rPr>
            <m:sty m:val="p"/>
          </m:rPr>
          <w:rPr>
            <w:rFonts w:ascii="Cambria Math" w:hAnsi="Cambria Math"/>
          </w:rPr>
          <m:t>E</m:t>
        </m:r>
        <m:sSub>
          <m:sSubPr>
            <m:ctrlPr>
              <w:rPr>
                <w:rFonts w:ascii="Cambria Math" w:hAnsi="Cambria Math"/>
              </w:rPr>
            </m:ctrlPr>
          </m:sSubPr>
          <m:e>
            <m:r>
              <w:rPr>
                <w:rFonts w:ascii="Cambria Math" w:hAnsi="Cambria Math"/>
              </w:rPr>
              <m:t>F</m:t>
            </m:r>
            <m:ctrlPr>
              <w:rPr>
                <w:rFonts w:ascii="Cambria Math" w:hAnsi="Cambria Math"/>
                <w:i/>
              </w:rPr>
            </m:ctrlPr>
          </m:e>
          <m:sub>
            <m:r>
              <w:rPr>
                <w:rFonts w:ascii="Cambria Math" w:hAnsi="Cambria Math"/>
              </w:rPr>
              <m:t>per capita,C,</m:t>
            </m:r>
            <m:r>
              <w:rPr>
                <w:rFonts w:ascii="Cambria Math" w:hAnsi="Cambria Math" w:hint="eastAsia"/>
              </w:rPr>
              <m:t>fg</m:t>
            </m:r>
            <m:r>
              <w:rPr>
                <w:rFonts w:ascii="Cambria Math" w:hAnsi="Cambria Math"/>
              </w:rPr>
              <m:t>,</m:t>
            </m:r>
            <m:r>
              <w:rPr>
                <w:rFonts w:ascii="Cambria Math" w:hAnsi="Cambria Math" w:hint="eastAsia"/>
              </w:rPr>
              <m:t>imp</m:t>
            </m:r>
          </m:sub>
        </m:sSub>
      </m:oMath>
      <w:r w:rsidRPr="00FB5E67">
        <w:t xml:space="preserve"> </w:t>
      </w:r>
      <w:r w:rsidRPr="00D1538D">
        <w:t>represents the country- (</w:t>
      </w:r>
      <w:r w:rsidRPr="00D1538D">
        <w:rPr>
          <w:rFonts w:ascii="Cambria Math" w:hAnsi="Cambria Math" w:cs="Cambria Math"/>
        </w:rPr>
        <w:t>𝐶</w:t>
      </w:r>
      <w:r w:rsidRPr="00D1538D">
        <w:t>) and food-specific (</w:t>
      </w:r>
      <w:r w:rsidRPr="00D1538D">
        <w:rPr>
          <w:rFonts w:ascii="Cambria Math" w:hAnsi="Cambria Math" w:cs="Cambria Math"/>
        </w:rPr>
        <w:t>𝑓𝑔</w:t>
      </w:r>
      <w:r w:rsidRPr="00D1538D">
        <w:t>) per capita environmental</w:t>
      </w:r>
      <w:r w:rsidRPr="00FB5E67">
        <w:rPr>
          <w:rFonts w:hint="eastAsia"/>
        </w:rPr>
        <w:t xml:space="preserve"> </w:t>
      </w:r>
      <w:r w:rsidRPr="00D1538D">
        <w:t xml:space="preserve">footprint; </w:t>
      </w:r>
      <m:oMath>
        <m:sSub>
          <m:sSubPr>
            <m:ctrlPr>
              <w:rPr>
                <w:rFonts w:ascii="Cambria Math" w:hAnsi="Cambria Math"/>
              </w:rPr>
            </m:ctrlPr>
          </m:sSubPr>
          <m:e>
            <m:r>
              <w:rPr>
                <w:rFonts w:ascii="Cambria Math" w:hAnsi="Cambria Math"/>
              </w:rPr>
              <m:t>GDD</m:t>
            </m:r>
            <m:ctrlPr>
              <w:rPr>
                <w:rFonts w:ascii="Cambria Math" w:hAnsi="Cambria Math"/>
                <w:i/>
              </w:rPr>
            </m:ctrlPr>
          </m:e>
          <m:sub>
            <m:r>
              <w:rPr>
                <w:rFonts w:ascii="Cambria Math" w:hAnsi="Cambria Math"/>
              </w:rPr>
              <m:t>C, fg </m:t>
            </m:r>
          </m:sub>
        </m:sSub>
      </m:oMath>
      <w:r w:rsidRPr="00D1538D">
        <w:t xml:space="preserve"> refers to consump</w:t>
      </w:r>
      <w:r w:rsidRPr="00FB5E67">
        <w:rPr>
          <w:rFonts w:ascii="Aptos" w:hAnsi="Aptos" w:cs="Aptos" w:hint="eastAsia"/>
        </w:rPr>
        <w:t>ti</w:t>
      </w:r>
      <w:r w:rsidRPr="00D1538D">
        <w:t xml:space="preserve">on of food group </w:t>
      </w:r>
      <w:r w:rsidRPr="00D1538D">
        <w:rPr>
          <w:rFonts w:ascii="Cambria Math" w:hAnsi="Cambria Math" w:cs="Cambria Math"/>
        </w:rPr>
        <w:t>𝑓𝑔</w:t>
      </w:r>
      <w:r w:rsidRPr="00D1538D">
        <w:t xml:space="preserve">, in each country </w:t>
      </w:r>
      <w:r w:rsidRPr="00D1538D">
        <w:rPr>
          <w:rFonts w:ascii="Cambria Math" w:hAnsi="Cambria Math" w:cs="Cambria Math"/>
        </w:rPr>
        <w:t>𝐶</w:t>
      </w:r>
      <w:r w:rsidRPr="00D1538D">
        <w:t xml:space="preserve">, in </w:t>
      </w:r>
      <w:r>
        <w:t>tonnes</w:t>
      </w:r>
      <w:r w:rsidRPr="00D1538D">
        <w:t>/day/2,000</w:t>
      </w:r>
      <w:r>
        <w:rPr>
          <w:rFonts w:hint="eastAsia"/>
        </w:rPr>
        <w:t xml:space="preserve"> </w:t>
      </w:r>
      <w:r w:rsidRPr="00FB5E67">
        <w:t>kcal.</w:t>
      </w:r>
      <w:r>
        <w:t xml:space="preserve"> </w:t>
      </w:r>
    </w:p>
    <w:p w14:paraId="02DFD12F" w14:textId="3D26B1BF" w:rsidR="00EE2F90" w:rsidRPr="00C80D0D" w:rsidRDefault="00EE2F90" w:rsidP="00EE2F90">
      <w:pPr>
        <w:jc w:val="both"/>
        <w:rPr>
          <w:rFonts w:hint="eastAsia"/>
          <w:b/>
          <w:bCs/>
        </w:rPr>
      </w:pPr>
      <w:r w:rsidRPr="00A67E56">
        <w:rPr>
          <w:b/>
          <w:bCs/>
        </w:rPr>
        <w:t>Population scaling</w:t>
      </w:r>
    </w:p>
    <w:p w14:paraId="5F68A9C0" w14:textId="5C3A41DE" w:rsidR="00EE2F90" w:rsidRPr="00A67E56" w:rsidRDefault="00EE2F90" w:rsidP="00EE2F90">
      <w:pPr>
        <w:jc w:val="both"/>
        <w:rPr>
          <w:rFonts w:hint="eastAsia"/>
        </w:rPr>
      </w:pPr>
      <w:r w:rsidRPr="00A67E56">
        <w:t xml:space="preserve">To estimate total dietary environmental footprints of each socio-demographic group, per capita environmental footprints were multiplied by the </w:t>
      </w:r>
      <w:r w:rsidR="005C6C47" w:rsidRPr="00A67E56">
        <w:t>subpopulation size from GLOPOP</w:t>
      </w:r>
      <w:r w:rsidR="005C6C47">
        <w:t>.</w:t>
      </w:r>
      <w:r w:rsidRPr="00A67E56">
        <w:t xml:space="preserve"> Since GDD captures per capita impacts, this scaling process was applied to estimate population-level impacts of specific sub-groups and their role within national environmental footprints, a common procedure in dietary environmental footprints:</w:t>
      </w:r>
    </w:p>
    <w:p w14:paraId="4D451500" w14:textId="77777777" w:rsidR="00EE2F90" w:rsidRPr="00A67E56" w:rsidRDefault="00EE2F90" w:rsidP="00EE2F90">
      <w:pPr>
        <w:jc w:val="both"/>
        <w:rPr>
          <w:rFonts w:hint="eastAsia"/>
        </w:rPr>
      </w:pPr>
      <m:oMathPara>
        <m:oMath>
          <m:r>
            <m:rPr>
              <m:sty m:val="p"/>
            </m:rPr>
            <w:rPr>
              <w:rFonts w:ascii="Cambria Math" w:hAnsi="Cambria Math"/>
            </w:rPr>
            <m:t>E</m:t>
          </m:r>
          <m:sSub>
            <m:sSubPr>
              <m:ctrlPr>
                <w:rPr>
                  <w:rFonts w:ascii="Cambria Math" w:hAnsi="Cambria Math"/>
                </w:rPr>
              </m:ctrlPr>
            </m:sSubPr>
            <m:e>
              <m:r>
                <w:rPr>
                  <w:rFonts w:ascii="Cambria Math" w:hAnsi="Cambria Math"/>
                </w:rPr>
                <m:t>F</m:t>
              </m:r>
              <m:ctrlPr>
                <w:rPr>
                  <w:rFonts w:ascii="Cambria Math" w:hAnsi="Cambria Math"/>
                  <w:i/>
                </w:rPr>
              </m:ctrlPr>
            </m:e>
            <m:sub>
              <m:r>
                <w:rPr>
                  <w:rFonts w:ascii="Cambria Math" w:hAnsi="Cambria Math"/>
                </w:rPr>
                <m:t>total,C</m:t>
              </m:r>
            </m:sub>
          </m:sSub>
          <m:r>
            <w:rPr>
              <w:rFonts w:ascii="Cambria Math" w:hAnsi="Cambria Math"/>
            </w:rPr>
            <m:t>=</m:t>
          </m:r>
          <m:nary>
            <m:naryPr>
              <m:chr m:val="∑"/>
              <m:ctrlPr>
                <w:rPr>
                  <w:rFonts w:ascii="Cambria Math" w:hAnsi="Cambria Math"/>
                </w:rPr>
              </m:ctrlPr>
            </m:naryPr>
            <m:sub>
              <m:r>
                <w:rPr>
                  <w:rFonts w:ascii="Cambria Math" w:hAnsi="Cambria Math"/>
                </w:rPr>
                <m:t> </m:t>
              </m:r>
            </m:sub>
            <m:sup>
              <m:r>
                <w:rPr>
                  <w:rFonts w:ascii="Cambria Math" w:hAnsi="Cambria Math"/>
                </w:rPr>
                <m:t> </m:t>
              </m:r>
            </m:sup>
            <m:e>
              <m:r>
                <m:rPr>
                  <m:sty m:val="p"/>
                </m:rPr>
                <w:rPr>
                  <w:rFonts w:ascii="Cambria Math" w:hAnsi="Cambria Math"/>
                </w:rPr>
                <m:t>E</m:t>
              </m:r>
              <m:sSub>
                <m:sSubPr>
                  <m:ctrlPr>
                    <w:rPr>
                      <w:rFonts w:ascii="Cambria Math" w:hAnsi="Cambria Math"/>
                    </w:rPr>
                  </m:ctrlPr>
                </m:sSubPr>
                <m:e>
                  <m:r>
                    <w:rPr>
                      <w:rFonts w:ascii="Cambria Math" w:hAnsi="Cambria Math"/>
                    </w:rPr>
                    <m:t>F</m:t>
                  </m:r>
                  <m:ctrlPr>
                    <w:rPr>
                      <w:rFonts w:ascii="Cambria Math" w:hAnsi="Cambria Math"/>
                      <w:i/>
                    </w:rPr>
                  </m:ctrlPr>
                </m:e>
                <m:sub>
                  <m:r>
                    <w:rPr>
                      <w:rFonts w:ascii="Cambria Math" w:hAnsi="Cambria Math"/>
                    </w:rPr>
                    <m:t>per capita,C,</m:t>
                  </m:r>
                  <m:r>
                    <w:rPr>
                      <w:rFonts w:ascii="Cambria Math" w:hAnsi="Cambria Math" w:hint="eastAsia"/>
                    </w:rPr>
                    <m:t>fg</m:t>
                  </m:r>
                  <m:r>
                    <w:rPr>
                      <w:rFonts w:ascii="Cambria Math" w:hAnsi="Cambria Math"/>
                    </w:rPr>
                    <m:t>,</m:t>
                  </m:r>
                  <m:r>
                    <w:rPr>
                      <w:rFonts w:ascii="Cambria Math" w:hAnsi="Cambria Math" w:hint="eastAsia"/>
                    </w:rPr>
                    <m:t>imp</m:t>
                  </m:r>
                </m:sub>
              </m:sSub>
            </m:e>
          </m:nary>
          <m:r>
            <w:rPr>
              <w:rFonts w:ascii="Cambria Math" w:hAnsi="Cambria Math"/>
            </w:rPr>
            <m:t>. Populatio</m:t>
          </m:r>
          <m:sSub>
            <m:sSubPr>
              <m:ctrlPr>
                <w:rPr>
                  <w:rFonts w:ascii="Cambria Math" w:hAnsi="Cambria Math"/>
                </w:rPr>
              </m:ctrlPr>
            </m:sSubPr>
            <m:e>
              <m:r>
                <w:rPr>
                  <w:rFonts w:ascii="Cambria Math" w:hAnsi="Cambria Math"/>
                </w:rPr>
                <m:t>n</m:t>
              </m:r>
              <m:ctrlPr>
                <w:rPr>
                  <w:rFonts w:ascii="Cambria Math" w:hAnsi="Cambria Math"/>
                  <w:i/>
                </w:rPr>
              </m:ctrlPr>
            </m:e>
            <m:sub>
              <m:r>
                <w:rPr>
                  <w:rFonts w:ascii="Cambria Math" w:hAnsi="Cambria Math"/>
                </w:rPr>
                <m:t>C </m:t>
              </m:r>
            </m:sub>
          </m:sSub>
          <m:r>
            <w:rPr>
              <w:rFonts w:ascii="Cambria Math" w:hAnsi="Cambria Math"/>
            </w:rPr>
            <m:t>    </m:t>
          </m:r>
        </m:oMath>
      </m:oMathPara>
    </w:p>
    <w:p w14:paraId="6E438135" w14:textId="784495AA" w:rsidR="00EE2F90" w:rsidRDefault="00EE2F90" w:rsidP="00EE2F90">
      <w:pPr>
        <w:jc w:val="both"/>
        <w:rPr>
          <w:rFonts w:ascii="Aptos" w:eastAsia="DengXian" w:hAnsi="Aptos" w:cs="Arial" w:hint="eastAsia"/>
        </w:rPr>
      </w:pPr>
      <w:r w:rsidRPr="00A67E56">
        <w:t>W</w:t>
      </w:r>
      <w:r w:rsidRPr="00A67E56">
        <w:rPr>
          <w:rFonts w:hint="eastAsia"/>
        </w:rPr>
        <w:t xml:space="preserve">here </w:t>
      </w:r>
      <m:oMath>
        <m:r>
          <m:rPr>
            <m:sty m:val="p"/>
          </m:rPr>
          <w:rPr>
            <w:rFonts w:ascii="Cambria Math" w:hAnsi="Cambria Math"/>
          </w:rPr>
          <m:t>E</m:t>
        </m:r>
        <m:sSub>
          <m:sSubPr>
            <m:ctrlPr>
              <w:rPr>
                <w:rFonts w:ascii="Cambria Math" w:hAnsi="Cambria Math"/>
              </w:rPr>
            </m:ctrlPr>
          </m:sSubPr>
          <m:e>
            <m:r>
              <w:rPr>
                <w:rFonts w:ascii="Cambria Math" w:hAnsi="Cambria Math"/>
              </w:rPr>
              <m:t>F</m:t>
            </m:r>
            <m:ctrlPr>
              <w:rPr>
                <w:rFonts w:ascii="Cambria Math" w:hAnsi="Cambria Math"/>
                <w:i/>
              </w:rPr>
            </m:ctrlPr>
          </m:e>
          <m:sub>
            <m:r>
              <w:rPr>
                <w:rFonts w:ascii="Cambria Math" w:hAnsi="Cambria Math"/>
              </w:rPr>
              <m:t>total</m:t>
            </m:r>
            <m:r>
              <m:rPr>
                <m:sty m:val="p"/>
              </m:rPr>
              <w:rPr>
                <w:rFonts w:ascii="Cambria Math" w:hAnsi="Cambria Math"/>
              </w:rPr>
              <m:t>,</m:t>
            </m:r>
            <m:r>
              <w:rPr>
                <w:rFonts w:ascii="Cambria Math" w:hAnsi="Cambria Math"/>
              </w:rPr>
              <m:t>C</m:t>
            </m:r>
          </m:sub>
        </m:sSub>
      </m:oMath>
      <w:r w:rsidRPr="00A67E56">
        <w:rPr>
          <w:rFonts w:hint="eastAsia"/>
        </w:rPr>
        <w:t xml:space="preserve"> </w:t>
      </w:r>
      <w:r w:rsidRPr="00A67E56">
        <w:t>represents national dietary environmental footprints of each country</w:t>
      </w:r>
      <w:r w:rsidR="001166DF">
        <w:t>,</w:t>
      </w:r>
      <w:r w:rsidRPr="00A67E56">
        <w:rPr>
          <w:rFonts w:hint="eastAsia"/>
        </w:rPr>
        <w:t xml:space="preserve"> </w:t>
      </w:r>
      <m:oMath>
        <m:r>
          <w:rPr>
            <w:rFonts w:ascii="Cambria Math" w:hAnsi="Cambria Math"/>
          </w:rPr>
          <m:t>Populatio</m:t>
        </m:r>
        <m:sSub>
          <m:sSubPr>
            <m:ctrlPr>
              <w:rPr>
                <w:rFonts w:ascii="Cambria Math" w:hAnsi="Cambria Math"/>
              </w:rPr>
            </m:ctrlPr>
          </m:sSubPr>
          <m:e>
            <m:r>
              <w:rPr>
                <w:rFonts w:ascii="Cambria Math" w:hAnsi="Cambria Math"/>
              </w:rPr>
              <m:t>n</m:t>
            </m:r>
            <m:ctrlPr>
              <w:rPr>
                <w:rFonts w:ascii="Cambria Math" w:hAnsi="Cambria Math"/>
                <w:i/>
              </w:rPr>
            </m:ctrlPr>
          </m:e>
          <m:sub>
            <m:r>
              <w:rPr>
                <w:rFonts w:ascii="Cambria Math" w:hAnsi="Cambria Math"/>
              </w:rPr>
              <m:t>C</m:t>
            </m:r>
            <m:r>
              <m:rPr>
                <m:sty m:val="p"/>
              </m:rPr>
              <w:rPr>
                <w:rFonts w:ascii="Cambria Math" w:hAnsi="Cambria Math"/>
              </w:rPr>
              <m:t> </m:t>
            </m:r>
          </m:sub>
        </m:sSub>
        <m:r>
          <m:rPr>
            <m:sty m:val="p"/>
          </m:rPr>
          <w:rPr>
            <w:rFonts w:ascii="Cambria Math" w:hAnsi="Cambria Math"/>
          </w:rPr>
          <m:t> </m:t>
        </m:r>
      </m:oMath>
      <w:r w:rsidRPr="00A67E56">
        <w:rPr>
          <w:rFonts w:hint="eastAsia"/>
        </w:rPr>
        <w:t xml:space="preserve">refers to </w:t>
      </w:r>
      <w:r w:rsidR="001166DF">
        <w:t xml:space="preserve">the </w:t>
      </w:r>
      <w:r w:rsidRPr="00A67E56">
        <w:rPr>
          <w:rFonts w:hint="eastAsia"/>
        </w:rPr>
        <w:t>t</w:t>
      </w:r>
      <w:r w:rsidRPr="00A67E56">
        <w:t>otal population of each country</w:t>
      </w:r>
      <w:r w:rsidRPr="00A67E56">
        <w:rPr>
          <w:rFonts w:hint="eastAsia"/>
        </w:rPr>
        <w:t xml:space="preserve">. </w:t>
      </w:r>
      <w:r w:rsidR="005C6C47" w:rsidRPr="00A67E56">
        <w:t xml:space="preserve">This accounts for the total impact of dietary pattern across different age, gender, and socioeconomic </w:t>
      </w:r>
      <w:proofErr w:type="spellStart"/>
      <w:r w:rsidR="005C6C47" w:rsidRPr="00A67E56">
        <w:t>groups</w:t>
      </w:r>
      <w:r w:rsidR="005C6C47" w:rsidRPr="00A67E56">
        <w:fldChar w:fldCharType="begin"/>
      </w:r>
      <w:r w:rsidR="00334545">
        <w:instrText xml:space="preserve"> ADDIN ZOTERO_ITEM CSL_CITATION {"citationID":"xwupcocY","properties":{"formattedCitation":"\\super 18\\nosupersub{}","plainCitation":"18","noteIndex":0},"citationItems":[{"id":122,"uris":["http://zotero.org/users/16665975/items/RJ5XA9C5"],"itemData":{"id":122,"type":"article-journal","abstract":"The environmental gains of dietary change are often assessed in relation to average national diets, overlooking differences in individual consumption habits and people’s willingness to change. This study combines microdata on food intake and consumer behaviour to elicit the likely environmental gains of dietary shifts. We focus on the Netherlands owing to the country’s ambition to halve its dietary footprint by 2050. Linking food recall survey data from a cross-section of the population (n = 4313), life cycle inventory analysis for 220 food products, and behavioural survey data (n = 1233), we estimate the dietary footprints of consumer groups across water, land, biodiversity and greenhouse gas (GHG). We find that meat and dairy significantly contribute to the dietary GHG footprint (59%), land footprint (54%), and biodiversity footprint (59%) of all consumer groups and that male consumers impose a 30%–32% greater burden than women across these impact areas. Our sc</w:instrText>
      </w:r>
      <w:r w:rsidR="00334545">
        <w:rPr>
          <w:rFonts w:hint="eastAsia"/>
        </w:rPr>
        <w:instrText xml:space="preserve">enario analysis reveals that simply replacing cow milk with soy milk could reduce the GHG, land and biodiversity footprints by </w:instrText>
      </w:r>
      <w:r w:rsidR="00334545">
        <w:rPr>
          <w:rFonts w:hint="eastAsia"/>
        </w:rPr>
        <w:instrText>≈</w:instrText>
      </w:r>
      <w:r w:rsidR="00334545">
        <w:rPr>
          <w:rFonts w:hint="eastAsia"/>
        </w:rPr>
        <w:instrText xml:space="preserve">8% if widely adopted by the Dutch adult population. These footprints could be further reduced to </w:instrText>
      </w:r>
      <w:r w:rsidR="00334545">
        <w:rPr>
          <w:rFonts w:hint="eastAsia"/>
        </w:rPr>
        <w:instrText>≈</w:instrText>
      </w:r>
      <w:r w:rsidR="00334545">
        <w:rPr>
          <w:rFonts w:hint="eastAsia"/>
        </w:rPr>
        <w:instrText>20% with full adoption of the</w:instrText>
      </w:r>
      <w:r w:rsidR="00334545">
        <w:instrText xml:space="preserve"> EAT-Lancet diet but with a significantly increased blue water footprint. However, when incorporating gender- and age-specific willingness to reduce meat and dairy consumption, the environmental gains resulting from partial adoption of the No-Milk diet an</w:instrText>
      </w:r>
      <w:r w:rsidR="00334545">
        <w:rPr>
          <w:rFonts w:hint="eastAsia"/>
        </w:rPr>
        <w:instrText xml:space="preserve">d EAT diet diminish to a mere </w:instrText>
      </w:r>
      <w:r w:rsidR="00334545">
        <w:rPr>
          <w:rFonts w:hint="eastAsia"/>
        </w:rPr>
        <w:instrText>≈</w:instrText>
      </w:r>
      <w:r w:rsidR="00334545">
        <w:rPr>
          <w:rFonts w:hint="eastAsia"/>
        </w:rPr>
        <w:instrText xml:space="preserve">0.8% and </w:instrText>
      </w:r>
      <w:r w:rsidR="00334545">
        <w:rPr>
          <w:rFonts w:hint="eastAsia"/>
        </w:rPr>
        <w:instrText>≈</w:instrText>
      </w:r>
      <w:r w:rsidR="00334545">
        <w:rPr>
          <w:rFonts w:hint="eastAsia"/>
        </w:rPr>
        <w:instrText>4.5%, respectively. Consequently, consumer motivation alone is insufficient to realise the significant environmental gains often promised by dietary change. Yet, substituting high-impact food products offers a near</w:instrText>
      </w:r>
      <w:r w:rsidR="00334545">
        <w:instrText xml:space="preserve">-term opportunity to accelerate a rapid sustainable dietary transition. Future studies on sustainable dietary transition must incorporate consumer behaviour to fully comprehend the lock-in of food consumption patterns and targeted policy action required to secure a sustainable food future.","container-title":"Environmental Research Letters","DOI":"10.1088/1748-9326/ad3c57","ISSN":"1748-9326","issue":"5","journalAbbreviation":"Environ. Res. Lett.","language":"en","note":"publisher: IOP Publishing","page":"054033","source":"Institute of Physics","title":"Consumer resistance diminishes environmental gains of dietary change","volume":"19","author":[{"family":"Payró","given":"Clara"},{"family":"Taherzadeh","given":"Oliver"},{"family":"Oorschot","given":"Mark","non-dropping-particle":"van"},{"family":"Koch","given":"Julia"},{"family":"Marselis","given":"Suzanne"}],"issued":{"date-parts":[["2024",5]]}}}],"schema":"https://github.com/citation-style-language/schema/raw/master/csl-citation.json"} </w:instrText>
      </w:r>
      <w:r w:rsidR="005C6C47" w:rsidRPr="00A67E56">
        <w:fldChar w:fldCharType="separate"/>
      </w:r>
      <w:r w:rsidR="00334545" w:rsidRPr="00334545">
        <w:rPr>
          <w:rFonts w:ascii="Aptos" w:hAnsi="Aptos" w:cs="Times New Roman"/>
          <w:kern w:val="0"/>
          <w:vertAlign w:val="superscript"/>
        </w:rPr>
        <w:t>18</w:t>
      </w:r>
      <w:proofErr w:type="spellEnd"/>
      <w:r w:rsidR="005C6C47" w:rsidRPr="00A67E56">
        <w:fldChar w:fldCharType="end"/>
      </w:r>
      <w:r w:rsidR="005C6C47" w:rsidRPr="00A67E56">
        <w:t>.</w:t>
      </w:r>
      <w:r w:rsidR="005C6C47">
        <w:rPr>
          <w:rFonts w:hint="eastAsia"/>
        </w:rPr>
        <w:t xml:space="preserve"> </w:t>
      </w:r>
      <w:r w:rsidR="005C6C47" w:rsidRPr="00FA2DC8">
        <w:rPr>
          <w:rFonts w:ascii="Aptos" w:eastAsia="DengXian" w:hAnsi="Aptos" w:cs="Arial"/>
        </w:rPr>
        <w:t>Although the GDD does not provide dietary data disaggregated by income or wealth, we extended subgroup analyses to include these dimensions to explore broader inequality-related patterns in environmental impacts.</w:t>
      </w:r>
      <w:r w:rsidR="005C6C47">
        <w:rPr>
          <w:rFonts w:ascii="Aptos" w:eastAsia="DengXian" w:hAnsi="Aptos" w:cs="Arial"/>
        </w:rPr>
        <w:t xml:space="preserve"> Some of the GLOPOP age groups have been aggregated in order to match with those listed in the GDD. </w:t>
      </w:r>
    </w:p>
    <w:p w14:paraId="7E9B7695" w14:textId="107DBC57" w:rsidR="00166119" w:rsidRPr="00B06802" w:rsidRDefault="00B06802" w:rsidP="6B6B33D6">
      <w:pPr>
        <w:pStyle w:val="Heading1"/>
        <w:jc w:val="both"/>
        <w:rPr>
          <w:b/>
          <w:bCs/>
          <w:color w:val="auto"/>
          <w:sz w:val="28"/>
          <w:szCs w:val="28"/>
        </w:rPr>
      </w:pPr>
      <w:bookmarkStart w:id="4" w:name="_Toc204093431"/>
      <w:r>
        <w:rPr>
          <w:rFonts w:hint="eastAsia"/>
          <w:b/>
          <w:bCs/>
          <w:color w:val="auto"/>
          <w:sz w:val="28"/>
          <w:szCs w:val="28"/>
        </w:rPr>
        <w:lastRenderedPageBreak/>
        <w:t>1</w:t>
      </w:r>
      <w:r w:rsidRPr="00B06802">
        <w:rPr>
          <w:rFonts w:hint="eastAsia"/>
          <w:b/>
          <w:bCs/>
          <w:color w:val="auto"/>
          <w:sz w:val="28"/>
          <w:szCs w:val="28"/>
        </w:rPr>
        <w:t>.</w:t>
      </w:r>
      <w:r w:rsidR="00E568DF">
        <w:rPr>
          <w:rFonts w:hint="eastAsia"/>
          <w:b/>
          <w:bCs/>
          <w:color w:val="auto"/>
          <w:sz w:val="28"/>
          <w:szCs w:val="28"/>
        </w:rPr>
        <w:t>1</w:t>
      </w:r>
      <w:r>
        <w:rPr>
          <w:rFonts w:hint="eastAsia"/>
          <w:b/>
          <w:bCs/>
          <w:color w:val="auto"/>
          <w:sz w:val="28"/>
          <w:szCs w:val="28"/>
        </w:rPr>
        <w:t>5</w:t>
      </w:r>
      <w:r w:rsidR="00E743B3" w:rsidRPr="00B06802">
        <w:rPr>
          <w:rFonts w:hint="eastAsia"/>
          <w:b/>
          <w:bCs/>
          <w:color w:val="auto"/>
          <w:sz w:val="28"/>
          <w:szCs w:val="28"/>
        </w:rPr>
        <w:t xml:space="preserve"> </w:t>
      </w:r>
      <w:r w:rsidRPr="00B06802">
        <w:rPr>
          <w:rFonts w:hint="eastAsia"/>
          <w:b/>
          <w:bCs/>
          <w:color w:val="auto"/>
          <w:sz w:val="28"/>
          <w:szCs w:val="28"/>
        </w:rPr>
        <w:t>S</w:t>
      </w:r>
      <w:r w:rsidR="003478AD" w:rsidRPr="00B06802">
        <w:rPr>
          <w:rFonts w:hint="eastAsia"/>
          <w:b/>
          <w:bCs/>
          <w:color w:val="auto"/>
          <w:sz w:val="28"/>
          <w:szCs w:val="28"/>
        </w:rPr>
        <w:t>ensitivity analysis</w:t>
      </w:r>
      <w:bookmarkEnd w:id="4"/>
    </w:p>
    <w:p w14:paraId="140A8DBF" w14:textId="4975CFE1" w:rsidR="00E852D8" w:rsidRDefault="00E852D8" w:rsidP="00E852D8">
      <w:pPr>
        <w:jc w:val="both"/>
        <w:rPr>
          <w:rFonts w:hint="eastAsia"/>
        </w:rPr>
      </w:pPr>
      <w:r>
        <w:t xml:space="preserve">To assess how changes in product contributions </w:t>
      </w:r>
      <w:r w:rsidR="004C3DFA">
        <w:t>influence</w:t>
      </w:r>
      <w:r>
        <w:t xml:space="preserve"> the environmental impacts of product groups, a sensitivity analysis was conducted. This analysis is based on the allocation of GDD product groups to multiple FABIO products. For each country, the share of each product is estimated by dividing its final demand by the total final demand of all related products (see Section 4.1). </w:t>
      </w:r>
    </w:p>
    <w:p w14:paraId="73EC9F31" w14:textId="56EB6FCE" w:rsidR="00E852D8" w:rsidRPr="0037006E" w:rsidRDefault="681F1947" w:rsidP="00E852D8">
      <w:pPr>
        <w:jc w:val="both"/>
        <w:rPr>
          <w:rFonts w:hint="eastAsia"/>
        </w:rPr>
      </w:pPr>
      <w:r>
        <w:t xml:space="preserve">The sensitivity analysis </w:t>
      </w:r>
      <w:r w:rsidR="2272D11F">
        <w:t>makes incremental changes to</w:t>
      </w:r>
      <w:r>
        <w:t xml:space="preserve"> the product composition per product group</w:t>
      </w:r>
      <w:r w:rsidR="0361BCDC">
        <w:t xml:space="preserve"> per country</w:t>
      </w:r>
      <w:r>
        <w:t xml:space="preserve">.  </w:t>
      </w:r>
      <w:r w:rsidR="3BEBF510">
        <w:t>T</w:t>
      </w:r>
      <w:r>
        <w:t xml:space="preserve">his </w:t>
      </w:r>
      <w:r w:rsidR="21B6B07C">
        <w:t>produces</w:t>
      </w:r>
      <w:r>
        <w:t xml:space="preserve"> a</w:t>
      </w:r>
      <w:r w:rsidR="44C4FF13">
        <w:t>n</w:t>
      </w:r>
      <w:r>
        <w:t xml:space="preserve"> </w:t>
      </w:r>
      <w:r w:rsidR="794FE999">
        <w:t xml:space="preserve">alternative </w:t>
      </w:r>
      <w:r>
        <w:t xml:space="preserve">sourcing pattern related to a product group.  </w:t>
      </w:r>
      <w:r w:rsidR="0B1DCA0C">
        <w:t>The</w:t>
      </w:r>
      <w:r w:rsidR="3B9A5B57">
        <w:t xml:space="preserve"> </w:t>
      </w:r>
      <w:r w:rsidR="706B98A1">
        <w:t xml:space="preserve">country-specific </w:t>
      </w:r>
      <w:r w:rsidR="7DBB9403">
        <w:t>product</w:t>
      </w:r>
      <w:r w:rsidR="3B9A5B57">
        <w:t xml:space="preserve"> compositio</w:t>
      </w:r>
      <w:r w:rsidR="4B0EC58B">
        <w:t>n</w:t>
      </w:r>
      <w:r w:rsidR="3B9A5B57">
        <w:t xml:space="preserve"> of</w:t>
      </w:r>
      <w:r w:rsidR="0B1DCA0C">
        <w:t xml:space="preserve"> </w:t>
      </w:r>
      <w:r w:rsidR="4166F0AF">
        <w:t xml:space="preserve">GDD </w:t>
      </w:r>
      <w:r w:rsidR="5AFDEE01">
        <w:t xml:space="preserve">food </w:t>
      </w:r>
      <w:r w:rsidR="77A14629">
        <w:t>groups</w:t>
      </w:r>
      <w:r w:rsidR="5AFDEE01">
        <w:t xml:space="preserve"> in FABIO w</w:t>
      </w:r>
      <w:r w:rsidR="001166DF">
        <w:t>as</w:t>
      </w:r>
      <w:r w:rsidR="5AFDEE01">
        <w:t xml:space="preserve"> treated as a baseline for all calculations generated by MATILDA; in the sensitivity analysis</w:t>
      </w:r>
      <w:r w:rsidR="00350160">
        <w:t>,</w:t>
      </w:r>
      <w:r w:rsidR="5AFDEE01">
        <w:t xml:space="preserve"> these were varied</w:t>
      </w:r>
      <w:r w:rsidR="3501F5FD">
        <w:t xml:space="preserve"> </w:t>
      </w:r>
      <w:r w:rsidR="6FF363CC">
        <w:t>by</w:t>
      </w:r>
      <w:r w:rsidR="784E4EE4">
        <w:t xml:space="preserve"> </w:t>
      </w:r>
      <w:r>
        <w:t xml:space="preserve">a </w:t>
      </w:r>
      <w:r w:rsidR="005C6C47">
        <w:t xml:space="preserve">0 to 10% increase or decrease. The product-specific food group compositions are calculated using the Latin Hypercube Sampling </w:t>
      </w:r>
      <w:proofErr w:type="spellStart"/>
      <w:r w:rsidR="005C6C47">
        <w:t>method</w:t>
      </w:r>
      <w:r w:rsidR="005C6C47">
        <w:fldChar w:fldCharType="begin"/>
      </w:r>
      <w:r w:rsidR="00334545">
        <w:instrText xml:space="preserve"> ADDIN ZOTERO_ITEM CSL_CITATION {"citationID":"ZVdNgvhB","properties":{"formattedCitation":"\\super 19\\nosupersub{}","plainCitation":"19","noteIndex":0},"citationItems":[{"id":252,"uris":["http://zotero.org/users/16665975/items/J47KZGKB"],"itemData":{"id":252,"type":"article-journal","abstract":"Two types of sampling plans are examined as alternatives to simple random sampling in Monte Carlo studies. These plans are shown to be improvements over simple random sampling with respect to variance for a class of estimators which includes the sample mean and the empirical distribution function.","container-title":"Technometrics","DOI":"10.1080/00401706.2000.10485979","ISSN":"0040-1706","issue":"1","note":"publisher: ASA Website\n_eprint: https://www.tandfonline.com/doi/pdf/10.1080/00401706.2000.10485979","page":"55-61","source":"Taylor and Francis+NEJM","title":"A Comparison of Three Methods for Selecting Values of Input Variables in the Analysis of Output From a Computer Code","volume":"42","author":[{"family":"Mckay","given":"M. D."},{"family":"Beckman","given":"R. J."},{"family":"Conover","given":"W. J."}],"issued":{"date-parts":[["2000",2,1]]}}}],"schema":"https://github.com/citation-style-language/schema/raw/master/csl-citation.json"} </w:instrText>
      </w:r>
      <w:r w:rsidR="005C6C47">
        <w:fldChar w:fldCharType="separate"/>
      </w:r>
      <w:r w:rsidR="00334545" w:rsidRPr="00334545">
        <w:rPr>
          <w:rFonts w:ascii="Aptos" w:hAnsi="Aptos" w:cs="Times New Roman"/>
          <w:kern w:val="0"/>
          <w:vertAlign w:val="superscript"/>
        </w:rPr>
        <w:t>19</w:t>
      </w:r>
      <w:proofErr w:type="spellEnd"/>
      <w:r w:rsidR="005C6C47">
        <w:fldChar w:fldCharType="end"/>
      </w:r>
      <w:r w:rsidR="005C6C47">
        <w:t>.</w:t>
      </w:r>
      <w:r>
        <w:t xml:space="preserve"> </w:t>
      </w:r>
      <w:r w:rsidR="0037006E">
        <w:t>The analysis covers 165 countries and includes 1</w:t>
      </w:r>
      <w:r w:rsidR="0604D78E">
        <w:t>6</w:t>
      </w:r>
      <w:r w:rsidR="0037006E">
        <w:t xml:space="preserve"> GDD product groups that are linked to 72 FABIO products. Of these, five GDD product groups have a direct one-to-one correspondence with FABIO categorie</w:t>
      </w:r>
      <w:r w:rsidR="00350160">
        <w:t>s</w:t>
      </w:r>
      <w:r w:rsidR="0037006E">
        <w:t xml:space="preserve"> and are therefore excluded from the sensitivity analysis.</w:t>
      </w:r>
    </w:p>
    <w:p w14:paraId="25B6BD7A" w14:textId="5EC1B488" w:rsidR="005C6C47" w:rsidRDefault="005C6C47" w:rsidP="005C6C47">
      <w:pPr>
        <w:jc w:val="both"/>
        <w:rPr>
          <w:rFonts w:hint="eastAsia"/>
        </w:rPr>
      </w:pPr>
      <w:r>
        <w:t xml:space="preserve">The number of samples is estimated based on the maximum change in IQR that we observe across all parameters. The number of samples should be sufficient to limit the change in IQR across all parameters to 5%. As shown in Figure </w:t>
      </w:r>
      <w:r w:rsidRPr="4B4C2EF0">
        <w:t>2</w:t>
      </w:r>
      <w:r>
        <w:t xml:space="preserve">, this is achieved after 78 runs. </w:t>
      </w:r>
      <w:r w:rsidR="004C3DFA">
        <w:t>As such</w:t>
      </w:r>
      <w:r>
        <w:t xml:space="preserve">, 200 samples were deemed sufficient to robustly assess the variability in environmental impacts of food consumption, accounting for variability in product composition of GDD food groups (Figure </w:t>
      </w:r>
      <w:r w:rsidRPr="4B4C2EF0">
        <w:t>2</w:t>
      </w:r>
      <w:r>
        <w:t xml:space="preserve">). For some product group-country pairs, it is impossible to calculate the related sourcing pattern as final demand data is missing. In such cases, missing data were replaced by global sourcing patterns just like in the main analysis. </w:t>
      </w:r>
    </w:p>
    <w:p w14:paraId="6E8FB461" w14:textId="77777777" w:rsidR="005C6C47" w:rsidRDefault="005C6C47" w:rsidP="005C6C47">
      <w:pPr>
        <w:jc w:val="both"/>
        <w:rPr>
          <w:rFonts w:hint="eastAsia"/>
          <w:i/>
          <w:iCs/>
          <w:lang w:val="en-US"/>
        </w:rPr>
      </w:pPr>
      <w:r>
        <w:t xml:space="preserve">The results of the sensitivity analysis are plotted in Figure </w:t>
      </w:r>
      <w:r>
        <w:rPr>
          <w:rFonts w:hint="eastAsia"/>
        </w:rPr>
        <w:t>3</w:t>
      </w:r>
      <w:r>
        <w:t xml:space="preserve"> for all three impacts. The variation in impacts between product groups can partially be explained by the number of products related to one product group. Overall, we find minimal variations in the environmental footprints of food groups in response to a moderate (&lt;|10%|) variation in the product composition of food group consumption.</w:t>
      </w:r>
    </w:p>
    <w:p w14:paraId="5B6151BB" w14:textId="15BACC7E" w:rsidR="00E852D8" w:rsidRDefault="625751B6" w:rsidP="00E852D8">
      <w:pPr>
        <w:jc w:val="both"/>
        <w:rPr>
          <w:rFonts w:hint="eastAsia"/>
        </w:rPr>
      </w:pPr>
      <w:r>
        <w:t xml:space="preserve"> </w:t>
      </w:r>
    </w:p>
    <w:p w14:paraId="30AF4B55" w14:textId="3A3B8E03" w:rsidR="00796048" w:rsidRPr="00796048" w:rsidRDefault="00796048" w:rsidP="00796048">
      <w:pPr>
        <w:jc w:val="both"/>
        <w:rPr>
          <w:rFonts w:hint="eastAsia"/>
        </w:rPr>
      </w:pPr>
      <w:r w:rsidRPr="00796048">
        <w:rPr>
          <w:noProof/>
        </w:rPr>
        <w:lastRenderedPageBreak/>
        <w:drawing>
          <wp:inline distT="0" distB="0" distL="0" distR="0" wp14:anchorId="4250CC02" wp14:editId="6DD8A384">
            <wp:extent cx="5731510" cy="7562850"/>
            <wp:effectExtent l="0" t="0" r="2540" b="0"/>
            <wp:docPr id="590418029" name="Picture 10" descr="A graph of different types of foo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418029" name="Picture 10" descr="A graph of different types of food&#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7562850"/>
                    </a:xfrm>
                    <a:prstGeom prst="rect">
                      <a:avLst/>
                    </a:prstGeom>
                    <a:noFill/>
                    <a:ln>
                      <a:noFill/>
                    </a:ln>
                  </pic:spPr>
                </pic:pic>
              </a:graphicData>
            </a:graphic>
          </wp:inline>
        </w:drawing>
      </w:r>
    </w:p>
    <w:p w14:paraId="46D590A5" w14:textId="160F9FC9" w:rsidR="00382B84" w:rsidRPr="00382B84" w:rsidRDefault="00382B84" w:rsidP="00382B84">
      <w:pPr>
        <w:jc w:val="both"/>
        <w:rPr>
          <w:rFonts w:hint="eastAsia"/>
        </w:rPr>
      </w:pPr>
    </w:p>
    <w:p w14:paraId="2F3AB534" w14:textId="59FEE11C" w:rsidR="00593EA0" w:rsidRPr="00050418" w:rsidRDefault="002A5AA0" w:rsidP="00593EA0">
      <w:pPr>
        <w:jc w:val="both"/>
        <w:rPr>
          <w:rFonts w:hint="eastAsia"/>
          <w:i/>
          <w:iCs/>
        </w:rPr>
      </w:pPr>
      <w:r w:rsidRPr="00050418">
        <w:rPr>
          <w:i/>
          <w:iCs/>
        </w:rPr>
        <w:t xml:space="preserve">Figure 1. </w:t>
      </w:r>
      <w:r w:rsidR="002B79D3" w:rsidRPr="00050418">
        <w:rPr>
          <w:i/>
          <w:iCs/>
        </w:rPr>
        <w:t>Consump</w:t>
      </w:r>
      <w:r w:rsidR="00082A90" w:rsidRPr="00050418">
        <w:rPr>
          <w:i/>
          <w:iCs/>
        </w:rPr>
        <w:t>tion</w:t>
      </w:r>
      <w:r w:rsidR="0085589C" w:rsidRPr="00050418">
        <w:rPr>
          <w:i/>
          <w:iCs/>
        </w:rPr>
        <w:t xml:space="preserve">-based </w:t>
      </w:r>
      <w:r w:rsidR="00350160">
        <w:rPr>
          <w:i/>
          <w:iCs/>
        </w:rPr>
        <w:t>e</w:t>
      </w:r>
      <w:r w:rsidRPr="00050418">
        <w:rPr>
          <w:i/>
          <w:iCs/>
        </w:rPr>
        <w:t xml:space="preserve">nvironmental impact </w:t>
      </w:r>
      <w:r w:rsidR="003734A4" w:rsidRPr="00050418">
        <w:rPr>
          <w:i/>
          <w:iCs/>
        </w:rPr>
        <w:t>intensities</w:t>
      </w:r>
      <w:r w:rsidR="003734A4" w:rsidRPr="0085589C">
        <w:rPr>
          <w:i/>
          <w:iCs/>
        </w:rPr>
        <w:t xml:space="preserve"> </w:t>
      </w:r>
      <w:r w:rsidRPr="00050418">
        <w:rPr>
          <w:i/>
          <w:iCs/>
        </w:rPr>
        <w:t>in FABIO.</w:t>
      </w:r>
    </w:p>
    <w:p w14:paraId="5E602F5C" w14:textId="77777777" w:rsidR="00412FB3" w:rsidRPr="00050418" w:rsidRDefault="00412FB3" w:rsidP="00E852D8">
      <w:pPr>
        <w:jc w:val="both"/>
        <w:rPr>
          <w:rFonts w:hint="eastAsia"/>
        </w:rPr>
      </w:pPr>
    </w:p>
    <w:p w14:paraId="64EDC024" w14:textId="77777777" w:rsidR="00412FB3" w:rsidRPr="00050418" w:rsidRDefault="00412FB3" w:rsidP="00E852D8">
      <w:pPr>
        <w:jc w:val="both"/>
        <w:rPr>
          <w:rFonts w:hint="eastAsia"/>
        </w:rPr>
      </w:pPr>
    </w:p>
    <w:p w14:paraId="0FE80EB1" w14:textId="1EE07F0B" w:rsidR="00E852D8" w:rsidRPr="00E852D8" w:rsidRDefault="18141BB9" w:rsidP="00E852D8">
      <w:pPr>
        <w:jc w:val="both"/>
        <w:rPr>
          <w:rFonts w:hint="eastAsia"/>
        </w:rPr>
      </w:pPr>
      <w:r>
        <w:rPr>
          <w:noProof/>
        </w:rPr>
        <w:lastRenderedPageBreak/>
        <w:drawing>
          <wp:inline distT="0" distB="0" distL="0" distR="0" wp14:anchorId="4127E1D2" wp14:editId="7E9B09F6">
            <wp:extent cx="5724524" cy="3057525"/>
            <wp:effectExtent l="0" t="0" r="0" b="0"/>
            <wp:docPr id="377381408" name="Picture 377381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5724524" cy="3057525"/>
                    </a:xfrm>
                    <a:prstGeom prst="rect">
                      <a:avLst/>
                    </a:prstGeom>
                  </pic:spPr>
                </pic:pic>
              </a:graphicData>
            </a:graphic>
          </wp:inline>
        </w:drawing>
      </w:r>
      <w:r w:rsidR="00E852D8" w:rsidRPr="00E852D8">
        <w:t> </w:t>
      </w:r>
    </w:p>
    <w:p w14:paraId="548844FC" w14:textId="74710EDC" w:rsidR="00E852D8" w:rsidRDefault="00E852D8" w:rsidP="00E852D8">
      <w:pPr>
        <w:jc w:val="both"/>
        <w:rPr>
          <w:rFonts w:hint="eastAsia"/>
        </w:rPr>
      </w:pPr>
      <w:r w:rsidRPr="00E852D8">
        <w:rPr>
          <w:i/>
          <w:iCs/>
          <w:lang w:val="en-US"/>
        </w:rPr>
        <w:t xml:space="preserve">Figure </w:t>
      </w:r>
      <w:r w:rsidR="006F5CB5">
        <w:rPr>
          <w:rFonts w:hint="eastAsia"/>
          <w:i/>
          <w:iCs/>
          <w:lang w:val="en-US"/>
        </w:rPr>
        <w:t>2</w:t>
      </w:r>
      <w:r w:rsidRPr="00E852D8">
        <w:rPr>
          <w:i/>
          <w:iCs/>
          <w:lang w:val="en-US"/>
        </w:rPr>
        <w:t>: The maximum inter-quartile range (IQR) expansion after each additional sample across all 13,464</w:t>
      </w:r>
      <w:r w:rsidR="6F7D086E" w:rsidRPr="33ACFAAE">
        <w:rPr>
          <w:i/>
          <w:iCs/>
          <w:lang w:val="en-US"/>
        </w:rPr>
        <w:t xml:space="preserve"> </w:t>
      </w:r>
      <w:r w:rsidRPr="00E852D8">
        <w:rPr>
          <w:i/>
          <w:iCs/>
          <w:lang w:val="en-US"/>
        </w:rPr>
        <w:t xml:space="preserve">parameters </w:t>
      </w:r>
      <w:r w:rsidR="45B10326" w:rsidRPr="1D84ACEA">
        <w:rPr>
          <w:i/>
          <w:iCs/>
          <w:lang w:val="en-US"/>
        </w:rPr>
        <w:t xml:space="preserve">included in </w:t>
      </w:r>
      <w:r w:rsidRPr="00E852D8">
        <w:rPr>
          <w:i/>
          <w:iCs/>
          <w:lang w:val="en-US"/>
        </w:rPr>
        <w:t xml:space="preserve">the sensitivity analysis. The baseline is not included. </w:t>
      </w:r>
      <w:r w:rsidR="60B87A05" w:rsidRPr="3C4CA14C">
        <w:rPr>
          <w:i/>
          <w:iCs/>
          <w:lang w:val="en-US"/>
        </w:rPr>
        <w:t>Hence</w:t>
      </w:r>
      <w:r w:rsidRPr="00E852D8">
        <w:rPr>
          <w:i/>
          <w:iCs/>
          <w:lang w:val="en-US"/>
        </w:rPr>
        <w:t>, the first sample has an IQR of 0</w:t>
      </w:r>
      <w:r w:rsidR="00350160">
        <w:rPr>
          <w:i/>
          <w:iCs/>
          <w:lang w:val="en-US"/>
        </w:rPr>
        <w:t>,</w:t>
      </w:r>
      <w:r w:rsidRPr="00E852D8">
        <w:rPr>
          <w:i/>
          <w:iCs/>
          <w:lang w:val="en-US"/>
        </w:rPr>
        <w:t xml:space="preserve"> which makes the IQR expansion of the 2</w:t>
      </w:r>
      <w:r w:rsidRPr="00E852D8">
        <w:rPr>
          <w:i/>
          <w:iCs/>
          <w:vertAlign w:val="superscript"/>
          <w:lang w:val="en-US"/>
        </w:rPr>
        <w:t>nd</w:t>
      </w:r>
      <w:r w:rsidRPr="00E852D8">
        <w:rPr>
          <w:i/>
          <w:iCs/>
          <w:lang w:val="en-US"/>
        </w:rPr>
        <w:t xml:space="preserve"> sample infinitely high. </w:t>
      </w:r>
      <w:r w:rsidR="004C3DFA">
        <w:rPr>
          <w:i/>
          <w:iCs/>
          <w:lang w:val="en-US"/>
        </w:rPr>
        <w:t>As such</w:t>
      </w:r>
      <w:r w:rsidRPr="00E852D8">
        <w:rPr>
          <w:i/>
          <w:iCs/>
          <w:lang w:val="en-US"/>
        </w:rPr>
        <w:t>, the plot is visible from sample 3 onwards.</w:t>
      </w:r>
      <w:r w:rsidRPr="00E852D8">
        <w:t> </w:t>
      </w:r>
    </w:p>
    <w:p w14:paraId="6FD2012B" w14:textId="77777777" w:rsidR="007E343A" w:rsidRDefault="007E343A" w:rsidP="00E852D8">
      <w:pPr>
        <w:jc w:val="both"/>
        <w:rPr>
          <w:rFonts w:hint="eastAsia"/>
        </w:rPr>
      </w:pPr>
    </w:p>
    <w:p w14:paraId="6A79DCC6" w14:textId="77777777" w:rsidR="007E343A" w:rsidRDefault="007E343A" w:rsidP="00E852D8">
      <w:pPr>
        <w:jc w:val="both"/>
        <w:rPr>
          <w:rFonts w:hint="eastAsia"/>
        </w:rPr>
      </w:pPr>
    </w:p>
    <w:p w14:paraId="002670B7" w14:textId="77777777" w:rsidR="007E343A" w:rsidRPr="00E852D8" w:rsidRDefault="007E343A" w:rsidP="00E852D8">
      <w:pPr>
        <w:jc w:val="both"/>
        <w:rPr>
          <w:rFonts w:hint="eastAsia"/>
        </w:rPr>
      </w:pPr>
    </w:p>
    <w:p w14:paraId="215ACFCD" w14:textId="28B6FC9E" w:rsidR="009E69BD" w:rsidRPr="009E69BD" w:rsidRDefault="009E69BD" w:rsidP="009E69BD">
      <w:pPr>
        <w:jc w:val="both"/>
        <w:rPr>
          <w:rFonts w:hint="eastAsia"/>
        </w:rPr>
      </w:pPr>
    </w:p>
    <w:p w14:paraId="1262827E" w14:textId="5572BE1F" w:rsidR="005A62AA" w:rsidRPr="005A62AA" w:rsidRDefault="005A62AA" w:rsidP="005A62AA">
      <w:pPr>
        <w:jc w:val="both"/>
        <w:rPr>
          <w:rFonts w:hint="eastAsia"/>
        </w:rPr>
      </w:pPr>
    </w:p>
    <w:p w14:paraId="1E7E807F" w14:textId="0C66C6EE" w:rsidR="00A50184" w:rsidRPr="00A50184" w:rsidRDefault="00E852D8" w:rsidP="00A50184">
      <w:pPr>
        <w:jc w:val="both"/>
        <w:rPr>
          <w:rFonts w:hint="eastAsia"/>
        </w:rPr>
      </w:pPr>
      <w:r w:rsidRPr="00E852D8">
        <w:t> </w:t>
      </w:r>
    </w:p>
    <w:p w14:paraId="41D83C76" w14:textId="4D2297A9" w:rsidR="007E343A" w:rsidRDefault="007E343A" w:rsidP="007E343A">
      <w:pPr>
        <w:jc w:val="both"/>
        <w:rPr>
          <w:rFonts w:hint="eastAsia"/>
        </w:rPr>
      </w:pPr>
    </w:p>
    <w:p w14:paraId="20D471F5" w14:textId="36F9B30B" w:rsidR="00F276FC" w:rsidRPr="00F276FC" w:rsidRDefault="00084D4C" w:rsidP="00F276FC">
      <w:pPr>
        <w:jc w:val="both"/>
        <w:rPr>
          <w:rFonts w:eastAsia="Times New Roman"/>
          <w:kern w:val="0"/>
          <w14:ligatures w14:val="none"/>
        </w:rPr>
      </w:pPr>
      <w:r w:rsidRPr="00084D4C">
        <w:rPr>
          <w:rFonts w:ascii="Times New Roman" w:eastAsia="Times New Roman" w:hAnsi="Times New Roman" w:cs="Times New Roman"/>
          <w:kern w:val="0"/>
          <w14:ligatures w14:val="none"/>
        </w:rPr>
        <w:lastRenderedPageBreak/>
        <w:t xml:space="preserve"> </w:t>
      </w:r>
      <w:r w:rsidR="00F276FC" w:rsidRPr="00F276FC">
        <w:rPr>
          <w:rFonts w:eastAsia="Times New Roman"/>
          <w:noProof/>
          <w:kern w:val="0"/>
          <w14:ligatures w14:val="none"/>
        </w:rPr>
        <w:drawing>
          <wp:inline distT="0" distB="0" distL="0" distR="0" wp14:anchorId="3BBEC691" wp14:editId="1BFA6090">
            <wp:extent cx="5731510" cy="5872480"/>
            <wp:effectExtent l="0" t="0" r="2540" b="0"/>
            <wp:docPr id="1844447628" name="Picture 2" descr="A graph of different colore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447628" name="Picture 2" descr="A graph of different colored lines&#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5872480"/>
                    </a:xfrm>
                    <a:prstGeom prst="rect">
                      <a:avLst/>
                    </a:prstGeom>
                    <a:noFill/>
                    <a:ln>
                      <a:noFill/>
                    </a:ln>
                  </pic:spPr>
                </pic:pic>
              </a:graphicData>
            </a:graphic>
          </wp:inline>
        </w:drawing>
      </w:r>
    </w:p>
    <w:p w14:paraId="0BFF1284" w14:textId="522E218D" w:rsidR="00A50184" w:rsidRDefault="00E852D8" w:rsidP="00E852D8">
      <w:pPr>
        <w:jc w:val="both"/>
        <w:rPr>
          <w:rFonts w:hint="eastAsia"/>
          <w:i/>
          <w:iCs/>
          <w:lang w:val="en-US"/>
        </w:rPr>
      </w:pPr>
      <w:r w:rsidRPr="2F8A181A">
        <w:rPr>
          <w:i/>
          <w:iCs/>
          <w:lang w:val="en-US"/>
        </w:rPr>
        <w:t xml:space="preserve">Figure </w:t>
      </w:r>
      <w:r w:rsidR="006F5CB5">
        <w:rPr>
          <w:rFonts w:hint="eastAsia"/>
          <w:i/>
          <w:iCs/>
          <w:lang w:val="en-US"/>
        </w:rPr>
        <w:t>3</w:t>
      </w:r>
      <w:r w:rsidRPr="2F8A181A">
        <w:rPr>
          <w:i/>
          <w:iCs/>
          <w:lang w:val="en-US"/>
        </w:rPr>
        <w:t>: The relative change of environmental impacts per product group compared to the baseline composition due to varying underlying product compositions</w:t>
      </w:r>
      <w:r w:rsidR="55D8CA90" w:rsidRPr="2F8A181A">
        <w:rPr>
          <w:i/>
          <w:iCs/>
          <w:lang w:val="en-US"/>
        </w:rPr>
        <w:t xml:space="preserve"> (n)</w:t>
      </w:r>
      <w:r w:rsidRPr="2F8A181A">
        <w:rPr>
          <w:i/>
          <w:iCs/>
          <w:lang w:val="en-US"/>
        </w:rPr>
        <w:t>. For every product group, the data</w:t>
      </w:r>
      <w:r w:rsidR="00350160">
        <w:rPr>
          <w:i/>
          <w:iCs/>
          <w:lang w:val="en-US"/>
        </w:rPr>
        <w:t xml:space="preserve"> </w:t>
      </w:r>
      <w:r w:rsidRPr="2F8A181A">
        <w:rPr>
          <w:i/>
          <w:iCs/>
          <w:lang w:val="en-US"/>
        </w:rPr>
        <w:t>points are cut</w:t>
      </w:r>
      <w:r w:rsidR="00350160">
        <w:rPr>
          <w:i/>
          <w:iCs/>
          <w:lang w:val="en-US"/>
        </w:rPr>
        <w:t xml:space="preserve"> </w:t>
      </w:r>
      <w:r w:rsidRPr="2F8A181A">
        <w:rPr>
          <w:i/>
          <w:iCs/>
          <w:lang w:val="en-US"/>
        </w:rPr>
        <w:t xml:space="preserve">off at an IQR of 1.5 to improve readability. Note that for </w:t>
      </w:r>
      <w:r w:rsidR="44B79E1D" w:rsidRPr="2F8A181A">
        <w:rPr>
          <w:i/>
          <w:iCs/>
          <w:lang w:val="en-US"/>
        </w:rPr>
        <w:t xml:space="preserve">GDD </w:t>
      </w:r>
      <w:r w:rsidRPr="2F8A181A">
        <w:rPr>
          <w:i/>
          <w:iCs/>
          <w:lang w:val="en-US"/>
        </w:rPr>
        <w:t xml:space="preserve">product groups with a </w:t>
      </w:r>
      <w:r w:rsidR="39B7CD08" w:rsidRPr="2F8A181A">
        <w:rPr>
          <w:i/>
          <w:iCs/>
          <w:lang w:val="en-US"/>
        </w:rPr>
        <w:t xml:space="preserve">single corresponding product in FABIO (n=1), such as </w:t>
      </w:r>
      <w:r w:rsidR="1DA41A05" w:rsidRPr="2F8A181A">
        <w:rPr>
          <w:i/>
          <w:iCs/>
          <w:lang w:val="en-US"/>
        </w:rPr>
        <w:t>c</w:t>
      </w:r>
      <w:r w:rsidRPr="2F8A181A">
        <w:rPr>
          <w:i/>
          <w:iCs/>
          <w:lang w:val="en-US"/>
        </w:rPr>
        <w:t xml:space="preserve">offee, </w:t>
      </w:r>
      <w:r w:rsidR="647F63FC" w:rsidRPr="2F8A181A">
        <w:rPr>
          <w:i/>
          <w:iCs/>
          <w:lang w:val="en-US"/>
        </w:rPr>
        <w:t>e</w:t>
      </w:r>
      <w:r w:rsidRPr="2F8A181A">
        <w:rPr>
          <w:i/>
          <w:iCs/>
          <w:lang w:val="en-US"/>
        </w:rPr>
        <w:t xml:space="preserve">ggs, </w:t>
      </w:r>
      <w:r w:rsidR="4095AFB2" w:rsidRPr="2F8A181A">
        <w:rPr>
          <w:i/>
          <w:iCs/>
          <w:lang w:val="en-US"/>
        </w:rPr>
        <w:t>t</w:t>
      </w:r>
      <w:r w:rsidRPr="2F8A181A">
        <w:rPr>
          <w:i/>
          <w:iCs/>
          <w:lang w:val="en-US"/>
        </w:rPr>
        <w:t xml:space="preserve">ea, </w:t>
      </w:r>
      <w:r w:rsidR="092B370C" w:rsidRPr="2F8A181A">
        <w:rPr>
          <w:i/>
          <w:iCs/>
          <w:lang w:val="en-US"/>
        </w:rPr>
        <w:t>t</w:t>
      </w:r>
      <w:r w:rsidRPr="2F8A181A">
        <w:rPr>
          <w:i/>
          <w:iCs/>
          <w:lang w:val="en-US"/>
        </w:rPr>
        <w:t xml:space="preserve">otal </w:t>
      </w:r>
      <w:r w:rsidR="2F8DBD57" w:rsidRPr="2F8A181A">
        <w:rPr>
          <w:i/>
          <w:iCs/>
          <w:lang w:val="en-US"/>
        </w:rPr>
        <w:t>m</w:t>
      </w:r>
      <w:r w:rsidRPr="2F8A181A">
        <w:rPr>
          <w:i/>
          <w:iCs/>
          <w:lang w:val="en-US"/>
        </w:rPr>
        <w:t xml:space="preserve">ilk, and </w:t>
      </w:r>
      <w:r w:rsidR="7D2F4627" w:rsidRPr="2F8A181A">
        <w:rPr>
          <w:i/>
          <w:iCs/>
          <w:lang w:val="en-US"/>
        </w:rPr>
        <w:t>t</w:t>
      </w:r>
      <w:r w:rsidRPr="2F8A181A">
        <w:rPr>
          <w:i/>
          <w:iCs/>
          <w:lang w:val="en-US"/>
        </w:rPr>
        <w:t>otal seafoods</w:t>
      </w:r>
      <w:r w:rsidR="0E9C76F5" w:rsidRPr="2F8A181A">
        <w:rPr>
          <w:i/>
          <w:iCs/>
          <w:lang w:val="en-US"/>
        </w:rPr>
        <w:t>, no variation was implemented.</w:t>
      </w:r>
    </w:p>
    <w:p w14:paraId="076151FF" w14:textId="51F40FF8" w:rsidR="0002287C" w:rsidRPr="00426A8C" w:rsidRDefault="00E568DF" w:rsidP="6B6B33D6">
      <w:pPr>
        <w:pStyle w:val="Heading1"/>
        <w:jc w:val="both"/>
        <w:rPr>
          <w:b/>
          <w:bCs/>
          <w:color w:val="auto"/>
          <w:sz w:val="32"/>
          <w:szCs w:val="32"/>
        </w:rPr>
      </w:pPr>
      <w:bookmarkStart w:id="5" w:name="_Toc204093432"/>
      <w:r>
        <w:rPr>
          <w:rFonts w:hint="eastAsia"/>
          <w:b/>
          <w:bCs/>
          <w:color w:val="auto"/>
          <w:sz w:val="32"/>
          <w:szCs w:val="32"/>
        </w:rPr>
        <w:t>1.</w:t>
      </w:r>
      <w:r w:rsidR="00B06802">
        <w:rPr>
          <w:rFonts w:hint="eastAsia"/>
          <w:b/>
          <w:bCs/>
          <w:color w:val="auto"/>
          <w:sz w:val="32"/>
          <w:szCs w:val="32"/>
        </w:rPr>
        <w:t>2</w:t>
      </w:r>
      <w:r w:rsidR="0002287C" w:rsidRPr="00426A8C">
        <w:rPr>
          <w:rFonts w:hint="eastAsia"/>
          <w:b/>
          <w:bCs/>
          <w:color w:val="auto"/>
          <w:sz w:val="32"/>
          <w:szCs w:val="32"/>
        </w:rPr>
        <w:t xml:space="preserve"> </w:t>
      </w:r>
      <w:r w:rsidR="00232E76">
        <w:rPr>
          <w:rFonts w:hint="eastAsia"/>
          <w:b/>
          <w:bCs/>
          <w:color w:val="auto"/>
          <w:sz w:val="32"/>
          <w:szCs w:val="32"/>
        </w:rPr>
        <w:t>M</w:t>
      </w:r>
      <w:r w:rsidR="0002287C" w:rsidRPr="00426A8C">
        <w:rPr>
          <w:rFonts w:hint="eastAsia"/>
          <w:b/>
          <w:bCs/>
          <w:color w:val="auto"/>
          <w:sz w:val="32"/>
          <w:szCs w:val="32"/>
        </w:rPr>
        <w:t xml:space="preserve">ultilevel </w:t>
      </w:r>
      <w:r w:rsidR="009E173F" w:rsidRPr="00426A8C">
        <w:rPr>
          <w:rFonts w:hint="eastAsia"/>
          <w:b/>
          <w:bCs/>
          <w:color w:val="auto"/>
          <w:sz w:val="32"/>
          <w:szCs w:val="32"/>
        </w:rPr>
        <w:t>regression model</w:t>
      </w:r>
      <w:bookmarkEnd w:id="5"/>
    </w:p>
    <w:p w14:paraId="1FFCFDFF" w14:textId="51324CE2" w:rsidR="004C3DFA" w:rsidRPr="00D6347B" w:rsidRDefault="009E173F" w:rsidP="009E173F">
      <w:pPr>
        <w:jc w:val="both"/>
        <w:rPr>
          <w:rFonts w:hint="eastAsia"/>
        </w:rPr>
      </w:pPr>
      <w:r>
        <w:t xml:space="preserve">We use multilevel regression models with random intercepts and slopes to </w:t>
      </w:r>
      <w:r w:rsidRPr="00A67E56">
        <w:t xml:space="preserve">examine the </w:t>
      </w:r>
      <w:r w:rsidR="3258C2F4">
        <w:t xml:space="preserve">association </w:t>
      </w:r>
      <w:r w:rsidR="00181D47">
        <w:rPr>
          <w:rFonts w:hint="eastAsia"/>
        </w:rPr>
        <w:t>between the AHEI and the dietary environmental impacts</w:t>
      </w:r>
      <w:r w:rsidRPr="00A67E56">
        <w:t xml:space="preserve"> </w:t>
      </w:r>
      <w:r w:rsidR="5A3BDFA4">
        <w:t>of</w:t>
      </w:r>
      <w:r w:rsidRPr="00A67E56">
        <w:t xml:space="preserve"> population subgroups.</w:t>
      </w:r>
      <w:r w:rsidRPr="00A67E56">
        <w:rPr>
          <w:rFonts w:hint="eastAsia"/>
        </w:rPr>
        <w:t xml:space="preserve"> </w:t>
      </w:r>
      <w:r w:rsidRPr="00A67E56">
        <w:t xml:space="preserve">A likelihood ratio (LR) test was used to assess the statistical significance of </w:t>
      </w:r>
      <w:r w:rsidRPr="00A67E56">
        <w:lastRenderedPageBreak/>
        <w:t xml:space="preserve">the differential associations between AHEI and environmental footprints across population subgroups. </w:t>
      </w:r>
    </w:p>
    <w:p w14:paraId="69EAD76A" w14:textId="77777777" w:rsidR="009E173F" w:rsidRPr="00A67E56" w:rsidRDefault="009E173F" w:rsidP="009E173F">
      <w:pPr>
        <w:jc w:val="both"/>
        <w:rPr>
          <w:rFonts w:hint="eastAsia"/>
        </w:rPr>
      </w:pPr>
      <w:r w:rsidRPr="00A67E56">
        <w:t xml:space="preserve">The grouping variable was </w:t>
      </w:r>
      <w:r>
        <w:t>modelled</w:t>
      </w:r>
      <w:r w:rsidRPr="00A67E56">
        <w:t xml:space="preserve"> as a second-level hierarchical factor (random effect), while the remaining three demographic variables were treated as fixed effects. The grouping variable was </w:t>
      </w:r>
      <w:r>
        <w:t>modelled</w:t>
      </w:r>
      <w:r w:rsidRPr="00A67E56">
        <w:t xml:space="preserve"> as a second-level hierarchical factor (random effect), while the remaining three demographic variables were treated as fixed effects. Specifically, when age was the grouping variable, sex, education level, and residence were included as fixed effects; similarly, when sex (male/female), education level (low, middle, high), or residence (urban/rural) was the grouping variable, the other three variables were included as fixed effects. </w:t>
      </w:r>
    </w:p>
    <w:p w14:paraId="529035D1" w14:textId="4EBCDD95" w:rsidR="003C7A96" w:rsidRPr="009E173F" w:rsidRDefault="009E173F" w:rsidP="00976C99">
      <w:pPr>
        <w:jc w:val="both"/>
        <w:rPr>
          <w:rFonts w:hint="eastAsia"/>
        </w:rPr>
      </w:pPr>
      <w:r w:rsidRPr="00A67E56">
        <w:t>The combined slope for each subgroup consisted of a fixed-effect slope plus a random-effect slope. The models included two levels of variance: individuals (level 1, n = 12,312) and the selected grouping variable (level 2, with 6 age groups, 2 sexes, 3 education levels, or 2 residence categories). The slope and intercept of AHEI were allowed to vary randomly across subgroups. Dietary environmental footprints (densities) were included as the dependent variable (logarithmic transformation), with AHEI as the independent variable, adjusted for the fixed effects of age, sex, education level, and residence. The Akaike Information Criterion (AIC) and Bayesian Information Criterion (BIC) were used to assess model fit. A p-value &lt; 0.05 was considered statistically significant.</w:t>
      </w:r>
    </w:p>
    <w:p w14:paraId="652C4D44" w14:textId="197067A7" w:rsidR="003C7A96" w:rsidRPr="00BE0ECE" w:rsidRDefault="7D54E0AE" w:rsidP="7D54E0AE">
      <w:pPr>
        <w:jc w:val="both"/>
        <w:rPr>
          <w:rFonts w:hint="eastAsia"/>
          <w:b/>
          <w:bCs/>
          <w:lang w:val="en-US"/>
        </w:rPr>
      </w:pPr>
      <w:r w:rsidRPr="7D54E0AE">
        <w:rPr>
          <w:b/>
          <w:bCs/>
          <w:lang w:val="en-US"/>
        </w:rPr>
        <w:t>References</w:t>
      </w:r>
    </w:p>
    <w:p w14:paraId="52C8ADBA" w14:textId="77777777" w:rsidR="00334545" w:rsidRPr="00334545" w:rsidRDefault="00764AE4" w:rsidP="00334545">
      <w:pPr>
        <w:pStyle w:val="Bibliography"/>
        <w:rPr>
          <w:rFonts w:ascii="Aptos" w:hAnsi="Aptos" w:hint="eastAsia"/>
        </w:rPr>
      </w:pPr>
      <w:r>
        <w:fldChar w:fldCharType="begin"/>
      </w:r>
      <w:r>
        <w:instrText xml:space="preserve"> ADDIN ZOTERO_BIBL {"uncited":[],"omitted":[],"custom":[]} CSL_BIBLIOGRAPHY </w:instrText>
      </w:r>
      <w:r>
        <w:fldChar w:fldCharType="separate"/>
      </w:r>
      <w:r w:rsidR="00334545" w:rsidRPr="00334545">
        <w:rPr>
          <w:rFonts w:ascii="Aptos" w:hAnsi="Aptos"/>
        </w:rPr>
        <w:t>1.</w:t>
      </w:r>
      <w:r w:rsidR="00334545" w:rsidRPr="00334545">
        <w:rPr>
          <w:rFonts w:ascii="Aptos" w:hAnsi="Aptos"/>
        </w:rPr>
        <w:tab/>
        <w:t>Welcome to the Global Dietary Database | Global Dietary Database. https://globaldietarydatabase.org/.</w:t>
      </w:r>
    </w:p>
    <w:p w14:paraId="77BDA0DE" w14:textId="77777777" w:rsidR="00334545" w:rsidRPr="00334545" w:rsidRDefault="00334545" w:rsidP="00334545">
      <w:pPr>
        <w:pStyle w:val="Bibliography"/>
        <w:rPr>
          <w:rFonts w:ascii="Aptos" w:hAnsi="Aptos" w:hint="eastAsia"/>
        </w:rPr>
      </w:pPr>
      <w:r w:rsidRPr="00334545">
        <w:rPr>
          <w:rFonts w:ascii="Aptos" w:hAnsi="Aptos"/>
          <w:lang w:val="it-IT"/>
        </w:rPr>
        <w:t>2.</w:t>
      </w:r>
      <w:r w:rsidRPr="00334545">
        <w:rPr>
          <w:rFonts w:ascii="Aptos" w:hAnsi="Aptos"/>
          <w:lang w:val="it-IT"/>
        </w:rPr>
        <w:tab/>
        <w:t xml:space="preserve">Del Gobbo, L. C. </w:t>
      </w:r>
      <w:r w:rsidRPr="00334545">
        <w:rPr>
          <w:rFonts w:ascii="Aptos" w:hAnsi="Aptos"/>
          <w:i/>
          <w:iCs/>
          <w:lang w:val="it-IT"/>
        </w:rPr>
        <w:t>et al.</w:t>
      </w:r>
      <w:r w:rsidRPr="00334545">
        <w:rPr>
          <w:rFonts w:ascii="Aptos" w:hAnsi="Aptos"/>
          <w:lang w:val="it-IT"/>
        </w:rPr>
        <w:t xml:space="preserve"> </w:t>
      </w:r>
      <w:r w:rsidRPr="00334545">
        <w:rPr>
          <w:rFonts w:ascii="Aptos" w:hAnsi="Aptos"/>
        </w:rPr>
        <w:t xml:space="preserve">Assessing global dietary habits: a comparison of national estimatesfrom the FAO and the Global Dietary Database23. </w:t>
      </w:r>
      <w:r w:rsidRPr="00334545">
        <w:rPr>
          <w:rFonts w:ascii="Aptos" w:hAnsi="Aptos"/>
          <w:i/>
          <w:iCs/>
        </w:rPr>
        <w:t>Am. J. Clin. Nutr.</w:t>
      </w:r>
      <w:r w:rsidRPr="00334545">
        <w:rPr>
          <w:rFonts w:ascii="Aptos" w:hAnsi="Aptos"/>
        </w:rPr>
        <w:t xml:space="preserve"> </w:t>
      </w:r>
      <w:r w:rsidRPr="00334545">
        <w:rPr>
          <w:rFonts w:ascii="Aptos" w:hAnsi="Aptos"/>
          <w:b/>
          <w:bCs/>
        </w:rPr>
        <w:t>101</w:t>
      </w:r>
      <w:r w:rsidRPr="00334545">
        <w:rPr>
          <w:rFonts w:ascii="Aptos" w:hAnsi="Aptos"/>
        </w:rPr>
        <w:t>, 1038–1046 (2015).</w:t>
      </w:r>
    </w:p>
    <w:p w14:paraId="40D15EDB" w14:textId="77777777" w:rsidR="00334545" w:rsidRPr="00334545" w:rsidRDefault="00334545" w:rsidP="00334545">
      <w:pPr>
        <w:pStyle w:val="Bibliography"/>
        <w:rPr>
          <w:rFonts w:ascii="Aptos" w:hAnsi="Aptos" w:hint="eastAsia"/>
        </w:rPr>
      </w:pPr>
      <w:r w:rsidRPr="00334545">
        <w:rPr>
          <w:rFonts w:ascii="Aptos" w:hAnsi="Aptos"/>
        </w:rPr>
        <w:t>3.</w:t>
      </w:r>
      <w:r w:rsidRPr="00334545">
        <w:rPr>
          <w:rFonts w:ascii="Aptos" w:hAnsi="Aptos"/>
        </w:rPr>
        <w:tab/>
        <w:t xml:space="preserve">Miller, V. </w:t>
      </w:r>
      <w:r w:rsidRPr="00334545">
        <w:rPr>
          <w:rFonts w:ascii="Aptos" w:hAnsi="Aptos"/>
          <w:i/>
          <w:iCs/>
        </w:rPr>
        <w:t>et al.</w:t>
      </w:r>
      <w:r w:rsidRPr="00334545">
        <w:rPr>
          <w:rFonts w:ascii="Aptos" w:hAnsi="Aptos"/>
        </w:rPr>
        <w:t xml:space="preserve"> Global Dietary Database 2017: data availability and gaps on 54 major foods, beverages and nutrients among 5.6 million children and adults from 1220 surveys worldwide. </w:t>
      </w:r>
      <w:r w:rsidRPr="00334545">
        <w:rPr>
          <w:rFonts w:ascii="Aptos" w:hAnsi="Aptos"/>
          <w:i/>
          <w:iCs/>
        </w:rPr>
        <w:t>BMJ Glob. Health</w:t>
      </w:r>
      <w:r w:rsidRPr="00334545">
        <w:rPr>
          <w:rFonts w:ascii="Aptos" w:hAnsi="Aptos"/>
        </w:rPr>
        <w:t xml:space="preserve"> </w:t>
      </w:r>
      <w:r w:rsidRPr="00334545">
        <w:rPr>
          <w:rFonts w:ascii="Aptos" w:hAnsi="Aptos"/>
          <w:b/>
          <w:bCs/>
        </w:rPr>
        <w:t>6</w:t>
      </w:r>
      <w:r w:rsidRPr="00334545">
        <w:rPr>
          <w:rFonts w:ascii="Aptos" w:hAnsi="Aptos"/>
        </w:rPr>
        <w:t>, (2021).</w:t>
      </w:r>
    </w:p>
    <w:p w14:paraId="3B30DB4A" w14:textId="77777777" w:rsidR="00334545" w:rsidRPr="00334545" w:rsidRDefault="00334545" w:rsidP="00334545">
      <w:pPr>
        <w:pStyle w:val="Bibliography"/>
        <w:rPr>
          <w:rFonts w:ascii="Aptos" w:hAnsi="Aptos" w:hint="eastAsia"/>
        </w:rPr>
      </w:pPr>
      <w:r w:rsidRPr="00334545">
        <w:rPr>
          <w:rFonts w:ascii="Aptos" w:hAnsi="Aptos"/>
        </w:rPr>
        <w:t>4.</w:t>
      </w:r>
      <w:r w:rsidRPr="00334545">
        <w:rPr>
          <w:rFonts w:ascii="Aptos" w:hAnsi="Aptos"/>
        </w:rPr>
        <w:tab/>
        <w:t xml:space="preserve">Miller, V. </w:t>
      </w:r>
      <w:r w:rsidRPr="00334545">
        <w:rPr>
          <w:rFonts w:ascii="Aptos" w:hAnsi="Aptos"/>
          <w:i/>
          <w:iCs/>
        </w:rPr>
        <w:t>et al.</w:t>
      </w:r>
      <w:r w:rsidRPr="00334545">
        <w:rPr>
          <w:rFonts w:ascii="Aptos" w:hAnsi="Aptos"/>
        </w:rPr>
        <w:t xml:space="preserve"> Global, regional, and national consumption of animal-source foods between 1990 and 2018: findings from the Global Dietary Database. </w:t>
      </w:r>
      <w:r w:rsidRPr="00334545">
        <w:rPr>
          <w:rFonts w:ascii="Aptos" w:hAnsi="Aptos"/>
          <w:i/>
          <w:iCs/>
        </w:rPr>
        <w:t>Lancet Planet. Health</w:t>
      </w:r>
      <w:r w:rsidRPr="00334545">
        <w:rPr>
          <w:rFonts w:ascii="Aptos" w:hAnsi="Aptos"/>
        </w:rPr>
        <w:t xml:space="preserve"> </w:t>
      </w:r>
      <w:r w:rsidRPr="00334545">
        <w:rPr>
          <w:rFonts w:ascii="Aptos" w:hAnsi="Aptos"/>
          <w:b/>
          <w:bCs/>
        </w:rPr>
        <w:t>6</w:t>
      </w:r>
      <w:r w:rsidRPr="00334545">
        <w:rPr>
          <w:rFonts w:ascii="Aptos" w:hAnsi="Aptos"/>
        </w:rPr>
        <w:t>, e243–e256 (2022).</w:t>
      </w:r>
    </w:p>
    <w:p w14:paraId="5C5976A7" w14:textId="77777777" w:rsidR="00334545" w:rsidRPr="00334545" w:rsidRDefault="00334545" w:rsidP="00334545">
      <w:pPr>
        <w:pStyle w:val="Bibliography"/>
        <w:rPr>
          <w:rFonts w:ascii="Aptos" w:hAnsi="Aptos" w:hint="eastAsia"/>
        </w:rPr>
      </w:pPr>
      <w:r w:rsidRPr="00334545">
        <w:rPr>
          <w:rFonts w:ascii="Aptos" w:hAnsi="Aptos"/>
        </w:rPr>
        <w:lastRenderedPageBreak/>
        <w:t>5.</w:t>
      </w:r>
      <w:r w:rsidRPr="00334545">
        <w:rPr>
          <w:rFonts w:ascii="Aptos" w:hAnsi="Aptos"/>
        </w:rPr>
        <w:tab/>
        <w:t xml:space="preserve">Bruckner, M. </w:t>
      </w:r>
      <w:r w:rsidRPr="00334545">
        <w:rPr>
          <w:rFonts w:ascii="Aptos" w:hAnsi="Aptos"/>
          <w:i/>
          <w:iCs/>
        </w:rPr>
        <w:t>et al.</w:t>
      </w:r>
      <w:r w:rsidRPr="00334545">
        <w:rPr>
          <w:rFonts w:ascii="Aptos" w:hAnsi="Aptos"/>
        </w:rPr>
        <w:t xml:space="preserve"> FABIO—The Construction of the Food and Agriculture Biomass Input–Output Model. </w:t>
      </w:r>
      <w:r w:rsidRPr="00334545">
        <w:rPr>
          <w:rFonts w:ascii="Aptos" w:hAnsi="Aptos"/>
          <w:i/>
          <w:iCs/>
        </w:rPr>
        <w:t>Environ. Sci. Technol.</w:t>
      </w:r>
      <w:r w:rsidRPr="00334545">
        <w:rPr>
          <w:rFonts w:ascii="Aptos" w:hAnsi="Aptos"/>
        </w:rPr>
        <w:t xml:space="preserve"> </w:t>
      </w:r>
      <w:r w:rsidRPr="00334545">
        <w:rPr>
          <w:rFonts w:ascii="Aptos" w:hAnsi="Aptos"/>
          <w:b/>
          <w:bCs/>
        </w:rPr>
        <w:t>53</w:t>
      </w:r>
      <w:r w:rsidRPr="00334545">
        <w:rPr>
          <w:rFonts w:ascii="Aptos" w:hAnsi="Aptos"/>
        </w:rPr>
        <w:t>, 11302–11312 (2019).</w:t>
      </w:r>
    </w:p>
    <w:p w14:paraId="6F29DD86" w14:textId="77777777" w:rsidR="00334545" w:rsidRPr="00334545" w:rsidRDefault="00334545" w:rsidP="00334545">
      <w:pPr>
        <w:pStyle w:val="Bibliography"/>
        <w:rPr>
          <w:rFonts w:ascii="Aptos" w:hAnsi="Aptos" w:hint="eastAsia"/>
        </w:rPr>
      </w:pPr>
      <w:r w:rsidRPr="00334545">
        <w:rPr>
          <w:rFonts w:ascii="Aptos" w:hAnsi="Aptos"/>
        </w:rPr>
        <w:t>6.</w:t>
      </w:r>
      <w:r w:rsidRPr="00334545">
        <w:rPr>
          <w:rFonts w:ascii="Aptos" w:hAnsi="Aptos"/>
        </w:rPr>
        <w:tab/>
        <w:t xml:space="preserve">McCullough, M. L. &amp; Willett, W. C. Evaluating adherence to recommended diets in adults: the Alternate Healthy Eating Index. </w:t>
      </w:r>
      <w:r w:rsidRPr="00334545">
        <w:rPr>
          <w:rFonts w:ascii="Aptos" w:hAnsi="Aptos"/>
          <w:i/>
          <w:iCs/>
        </w:rPr>
        <w:t>Public Health Nutr.</w:t>
      </w:r>
      <w:r w:rsidRPr="00334545">
        <w:rPr>
          <w:rFonts w:ascii="Aptos" w:hAnsi="Aptos"/>
        </w:rPr>
        <w:t xml:space="preserve"> </w:t>
      </w:r>
      <w:r w:rsidRPr="00334545">
        <w:rPr>
          <w:rFonts w:ascii="Aptos" w:hAnsi="Aptos"/>
          <w:b/>
          <w:bCs/>
        </w:rPr>
        <w:t>9</w:t>
      </w:r>
      <w:r w:rsidRPr="00334545">
        <w:rPr>
          <w:rFonts w:ascii="Aptos" w:hAnsi="Aptos"/>
        </w:rPr>
        <w:t>, 152–157 (2006).</w:t>
      </w:r>
    </w:p>
    <w:p w14:paraId="34245D5C" w14:textId="77777777" w:rsidR="00334545" w:rsidRPr="00334545" w:rsidRDefault="00334545" w:rsidP="00334545">
      <w:pPr>
        <w:pStyle w:val="Bibliography"/>
        <w:rPr>
          <w:rFonts w:ascii="Aptos" w:hAnsi="Aptos" w:hint="eastAsia"/>
        </w:rPr>
      </w:pPr>
      <w:r w:rsidRPr="00334545">
        <w:rPr>
          <w:rFonts w:ascii="Aptos" w:hAnsi="Aptos"/>
        </w:rPr>
        <w:t>7.</w:t>
      </w:r>
      <w:r w:rsidRPr="00334545">
        <w:rPr>
          <w:rFonts w:ascii="Aptos" w:hAnsi="Aptos"/>
        </w:rPr>
        <w:tab/>
        <w:t>FAO (Food &amp; Nations), A. O. of the U. Technical conversion factors for agricultural commodities. (2000).</w:t>
      </w:r>
    </w:p>
    <w:p w14:paraId="721E59AD" w14:textId="77777777" w:rsidR="00334545" w:rsidRPr="00334545" w:rsidRDefault="00334545" w:rsidP="00334545">
      <w:pPr>
        <w:pStyle w:val="Bibliography"/>
        <w:rPr>
          <w:rFonts w:ascii="Aptos" w:hAnsi="Aptos" w:hint="eastAsia"/>
        </w:rPr>
      </w:pPr>
      <w:r w:rsidRPr="00334545">
        <w:rPr>
          <w:rFonts w:ascii="Aptos" w:hAnsi="Aptos"/>
        </w:rPr>
        <w:t>8.</w:t>
      </w:r>
      <w:r w:rsidRPr="00334545">
        <w:rPr>
          <w:rFonts w:ascii="Aptos" w:hAnsi="Aptos"/>
        </w:rPr>
        <w:tab/>
        <w:t>Agriculture, U. S. D. of. USDA Database for the Added Sugars Content of Selected Foods, Release 1. (2006).</w:t>
      </w:r>
    </w:p>
    <w:p w14:paraId="11633816" w14:textId="77777777" w:rsidR="00334545" w:rsidRPr="00334545" w:rsidRDefault="00334545" w:rsidP="00334545">
      <w:pPr>
        <w:pStyle w:val="Bibliography"/>
        <w:rPr>
          <w:rFonts w:ascii="Aptos" w:hAnsi="Aptos" w:hint="eastAsia"/>
        </w:rPr>
      </w:pPr>
      <w:r w:rsidRPr="00334545">
        <w:rPr>
          <w:rFonts w:ascii="Aptos" w:hAnsi="Aptos"/>
        </w:rPr>
        <w:t>9.</w:t>
      </w:r>
      <w:r w:rsidRPr="00334545">
        <w:rPr>
          <w:rFonts w:ascii="Aptos" w:hAnsi="Aptos"/>
        </w:rPr>
        <w:tab/>
        <w:t xml:space="preserve">Santini, A. </w:t>
      </w:r>
      <w:r w:rsidRPr="00334545">
        <w:rPr>
          <w:rFonts w:ascii="Aptos" w:hAnsi="Aptos"/>
          <w:i/>
          <w:iCs/>
        </w:rPr>
        <w:t>et al.</w:t>
      </w:r>
      <w:r w:rsidRPr="00334545">
        <w:rPr>
          <w:rFonts w:ascii="Aptos" w:hAnsi="Aptos"/>
        </w:rPr>
        <w:t xml:space="preserve"> Influence of different coffee drink preparations on ochratoxin A content and evaluation of the antioxidant activity and caffeine variations. </w:t>
      </w:r>
      <w:r w:rsidRPr="00334545">
        <w:rPr>
          <w:rFonts w:ascii="Aptos" w:hAnsi="Aptos"/>
          <w:i/>
          <w:iCs/>
        </w:rPr>
        <w:t>Food Control</w:t>
      </w:r>
      <w:r w:rsidRPr="00334545">
        <w:rPr>
          <w:rFonts w:ascii="Aptos" w:hAnsi="Aptos"/>
        </w:rPr>
        <w:t xml:space="preserve"> </w:t>
      </w:r>
      <w:r w:rsidRPr="00334545">
        <w:rPr>
          <w:rFonts w:ascii="Aptos" w:hAnsi="Aptos"/>
          <w:b/>
          <w:bCs/>
        </w:rPr>
        <w:t>22</w:t>
      </w:r>
      <w:r w:rsidRPr="00334545">
        <w:rPr>
          <w:rFonts w:ascii="Aptos" w:hAnsi="Aptos"/>
        </w:rPr>
        <w:t>, 1240–1245 (2011).</w:t>
      </w:r>
    </w:p>
    <w:p w14:paraId="266B6FBF" w14:textId="77777777" w:rsidR="00334545" w:rsidRPr="00334545" w:rsidRDefault="00334545" w:rsidP="00334545">
      <w:pPr>
        <w:pStyle w:val="Bibliography"/>
        <w:rPr>
          <w:rFonts w:ascii="Aptos" w:hAnsi="Aptos" w:hint="eastAsia"/>
        </w:rPr>
      </w:pPr>
      <w:r w:rsidRPr="00334545">
        <w:rPr>
          <w:rFonts w:ascii="Aptos" w:hAnsi="Aptos"/>
        </w:rPr>
        <w:t>10.</w:t>
      </w:r>
      <w:r w:rsidRPr="00334545">
        <w:rPr>
          <w:rFonts w:ascii="Aptos" w:hAnsi="Aptos"/>
        </w:rPr>
        <w:tab/>
        <w:t xml:space="preserve">Azapagic, A., Bore, J., Cheserek, B., Kamunya, S. &amp; Elbehri, A. The global warming potential of production and consumption of Kenyan tea. </w:t>
      </w:r>
      <w:r w:rsidRPr="00334545">
        <w:rPr>
          <w:rFonts w:ascii="Aptos" w:hAnsi="Aptos"/>
          <w:i/>
          <w:iCs/>
        </w:rPr>
        <w:t>J. Clean. Prod.</w:t>
      </w:r>
      <w:r w:rsidRPr="00334545">
        <w:rPr>
          <w:rFonts w:ascii="Aptos" w:hAnsi="Aptos"/>
        </w:rPr>
        <w:t xml:space="preserve"> </w:t>
      </w:r>
      <w:r w:rsidRPr="00334545">
        <w:rPr>
          <w:rFonts w:ascii="Aptos" w:hAnsi="Aptos"/>
          <w:b/>
          <w:bCs/>
        </w:rPr>
        <w:t>112</w:t>
      </w:r>
      <w:r w:rsidRPr="00334545">
        <w:rPr>
          <w:rFonts w:ascii="Aptos" w:hAnsi="Aptos"/>
        </w:rPr>
        <w:t>, 4031–4040 (2016).</w:t>
      </w:r>
    </w:p>
    <w:p w14:paraId="02AABE5E" w14:textId="77777777" w:rsidR="00334545" w:rsidRPr="00334545" w:rsidRDefault="00334545" w:rsidP="00334545">
      <w:pPr>
        <w:pStyle w:val="Bibliography"/>
        <w:rPr>
          <w:rFonts w:ascii="Aptos" w:hAnsi="Aptos" w:hint="eastAsia"/>
          <w:lang w:val="fr-FR"/>
        </w:rPr>
      </w:pPr>
      <w:r w:rsidRPr="00334545">
        <w:rPr>
          <w:rFonts w:ascii="Aptos" w:hAnsi="Aptos"/>
        </w:rPr>
        <w:t>11.</w:t>
      </w:r>
      <w:r w:rsidRPr="00334545">
        <w:rPr>
          <w:rFonts w:ascii="Aptos" w:hAnsi="Aptos"/>
        </w:rPr>
        <w:tab/>
        <w:t xml:space="preserve">Hoekstra, A. Y. &amp; Mekonnen, M. M. The water footprint of humanity. </w:t>
      </w:r>
      <w:r w:rsidRPr="00334545">
        <w:rPr>
          <w:rFonts w:ascii="Aptos" w:hAnsi="Aptos"/>
          <w:i/>
          <w:iCs/>
          <w:lang w:val="fr-FR"/>
        </w:rPr>
        <w:t>Proc. Natl. Acad. Sci.</w:t>
      </w:r>
      <w:r w:rsidRPr="00334545">
        <w:rPr>
          <w:rFonts w:ascii="Aptos" w:hAnsi="Aptos"/>
          <w:lang w:val="fr-FR"/>
        </w:rPr>
        <w:t xml:space="preserve"> </w:t>
      </w:r>
      <w:r w:rsidRPr="00334545">
        <w:rPr>
          <w:rFonts w:ascii="Aptos" w:hAnsi="Aptos"/>
          <w:b/>
          <w:bCs/>
          <w:lang w:val="fr-FR"/>
        </w:rPr>
        <w:t>109</w:t>
      </w:r>
      <w:r w:rsidRPr="00334545">
        <w:rPr>
          <w:rFonts w:ascii="Aptos" w:hAnsi="Aptos"/>
          <w:lang w:val="fr-FR"/>
        </w:rPr>
        <w:t>, 3232–3237 (2012).</w:t>
      </w:r>
    </w:p>
    <w:p w14:paraId="6B55D6AA" w14:textId="77777777" w:rsidR="00334545" w:rsidRPr="00334545" w:rsidRDefault="00334545" w:rsidP="00334545">
      <w:pPr>
        <w:pStyle w:val="Bibliography"/>
        <w:rPr>
          <w:rFonts w:ascii="Aptos" w:hAnsi="Aptos" w:hint="eastAsia"/>
          <w:lang w:val="fr-FR"/>
        </w:rPr>
      </w:pPr>
      <w:r w:rsidRPr="00334545">
        <w:rPr>
          <w:rFonts w:ascii="Aptos" w:hAnsi="Aptos"/>
          <w:lang w:val="fr-FR"/>
        </w:rPr>
        <w:t>12.</w:t>
      </w:r>
      <w:r w:rsidRPr="00334545">
        <w:rPr>
          <w:rFonts w:ascii="Aptos" w:hAnsi="Aptos"/>
          <w:lang w:val="fr-FR"/>
        </w:rPr>
        <w:tab/>
        <w:t>FAOSTAT. https://www.fao.org/faostat/en/#home.</w:t>
      </w:r>
    </w:p>
    <w:p w14:paraId="571932A4" w14:textId="77777777" w:rsidR="00334545" w:rsidRPr="00334545" w:rsidRDefault="00334545" w:rsidP="00334545">
      <w:pPr>
        <w:pStyle w:val="Bibliography"/>
        <w:rPr>
          <w:rFonts w:ascii="Aptos" w:hAnsi="Aptos" w:hint="eastAsia"/>
        </w:rPr>
      </w:pPr>
      <w:r w:rsidRPr="00334545">
        <w:rPr>
          <w:rFonts w:ascii="Aptos" w:hAnsi="Aptos"/>
          <w:lang w:val="fr-FR"/>
        </w:rPr>
        <w:t>13.</w:t>
      </w:r>
      <w:r w:rsidRPr="00334545">
        <w:rPr>
          <w:rFonts w:ascii="Aptos" w:hAnsi="Aptos"/>
          <w:lang w:val="fr-FR"/>
        </w:rPr>
        <w:tab/>
        <w:t xml:space="preserve">Hurtt, G. C. </w:t>
      </w:r>
      <w:r w:rsidRPr="00334545">
        <w:rPr>
          <w:rFonts w:ascii="Aptos" w:hAnsi="Aptos"/>
          <w:i/>
          <w:iCs/>
          <w:lang w:val="fr-FR"/>
        </w:rPr>
        <w:t>et al.</w:t>
      </w:r>
      <w:r w:rsidRPr="00334545">
        <w:rPr>
          <w:rFonts w:ascii="Aptos" w:hAnsi="Aptos"/>
          <w:lang w:val="fr-FR"/>
        </w:rPr>
        <w:t xml:space="preserve"> </w:t>
      </w:r>
      <w:r w:rsidRPr="00334545">
        <w:rPr>
          <w:rFonts w:ascii="Aptos" w:hAnsi="Aptos"/>
        </w:rPr>
        <w:t xml:space="preserve">Harmonization of global land use change and management for the period 850–2100 (LUH2) for CMIP6. </w:t>
      </w:r>
      <w:r w:rsidRPr="00334545">
        <w:rPr>
          <w:rFonts w:ascii="Aptos" w:hAnsi="Aptos"/>
          <w:i/>
          <w:iCs/>
        </w:rPr>
        <w:t>Geosci. Model Dev.</w:t>
      </w:r>
      <w:r w:rsidRPr="00334545">
        <w:rPr>
          <w:rFonts w:ascii="Aptos" w:hAnsi="Aptos"/>
        </w:rPr>
        <w:t xml:space="preserve"> </w:t>
      </w:r>
      <w:r w:rsidRPr="00334545">
        <w:rPr>
          <w:rFonts w:ascii="Aptos" w:hAnsi="Aptos"/>
          <w:b/>
          <w:bCs/>
        </w:rPr>
        <w:t>13</w:t>
      </w:r>
      <w:r w:rsidRPr="00334545">
        <w:rPr>
          <w:rFonts w:ascii="Aptos" w:hAnsi="Aptos"/>
        </w:rPr>
        <w:t>, 5425–5464 (2020).</w:t>
      </w:r>
    </w:p>
    <w:p w14:paraId="7CB8AA4C" w14:textId="77777777" w:rsidR="00334545" w:rsidRPr="00334545" w:rsidRDefault="00334545" w:rsidP="00334545">
      <w:pPr>
        <w:pStyle w:val="Bibliography"/>
        <w:rPr>
          <w:rFonts w:ascii="Aptos" w:hAnsi="Aptos" w:hint="eastAsia"/>
        </w:rPr>
      </w:pPr>
      <w:r w:rsidRPr="00334545">
        <w:rPr>
          <w:rFonts w:ascii="Aptos" w:hAnsi="Aptos"/>
        </w:rPr>
        <w:t>14.</w:t>
      </w:r>
      <w:r w:rsidRPr="00334545">
        <w:rPr>
          <w:rFonts w:ascii="Aptos" w:hAnsi="Aptos"/>
        </w:rPr>
        <w:tab/>
        <w:t xml:space="preserve">Stadler, K. </w:t>
      </w:r>
      <w:r w:rsidRPr="00334545">
        <w:rPr>
          <w:rFonts w:ascii="Aptos" w:hAnsi="Aptos"/>
          <w:i/>
          <w:iCs/>
        </w:rPr>
        <w:t>et al.</w:t>
      </w:r>
      <w:r w:rsidRPr="00334545">
        <w:rPr>
          <w:rFonts w:ascii="Aptos" w:hAnsi="Aptos"/>
        </w:rPr>
        <w:t xml:space="preserve"> EXIOBASE 3: Developing a Time Series of Detailed Environmentally Extended Multi-Regional Input-Output Tables. </w:t>
      </w:r>
      <w:r w:rsidRPr="00334545">
        <w:rPr>
          <w:rFonts w:ascii="Aptos" w:hAnsi="Aptos"/>
          <w:i/>
          <w:iCs/>
        </w:rPr>
        <w:t>J. Ind. Ecol.</w:t>
      </w:r>
      <w:r w:rsidRPr="00334545">
        <w:rPr>
          <w:rFonts w:ascii="Aptos" w:hAnsi="Aptos"/>
        </w:rPr>
        <w:t xml:space="preserve"> </w:t>
      </w:r>
      <w:r w:rsidRPr="00334545">
        <w:rPr>
          <w:rFonts w:ascii="Aptos" w:hAnsi="Aptos"/>
          <w:b/>
          <w:bCs/>
        </w:rPr>
        <w:t>22</w:t>
      </w:r>
      <w:r w:rsidRPr="00334545">
        <w:rPr>
          <w:rFonts w:ascii="Aptos" w:hAnsi="Aptos"/>
        </w:rPr>
        <w:t>, 502–515 (2018).</w:t>
      </w:r>
    </w:p>
    <w:p w14:paraId="536A14F4" w14:textId="77777777" w:rsidR="00334545" w:rsidRPr="00334545" w:rsidRDefault="00334545" w:rsidP="00334545">
      <w:pPr>
        <w:pStyle w:val="Bibliography"/>
        <w:rPr>
          <w:rFonts w:ascii="Aptos" w:hAnsi="Aptos" w:hint="eastAsia"/>
        </w:rPr>
      </w:pPr>
      <w:r w:rsidRPr="00334545">
        <w:rPr>
          <w:rFonts w:ascii="Aptos" w:hAnsi="Aptos"/>
        </w:rPr>
        <w:lastRenderedPageBreak/>
        <w:t>15.</w:t>
      </w:r>
      <w:r w:rsidRPr="00334545">
        <w:rPr>
          <w:rFonts w:ascii="Aptos" w:hAnsi="Aptos"/>
        </w:rPr>
        <w:tab/>
        <w:t xml:space="preserve">Guilhoto, J. M. </w:t>
      </w:r>
      <w:r w:rsidRPr="00334545">
        <w:rPr>
          <w:rFonts w:ascii="Aptos" w:hAnsi="Aptos"/>
          <w:i/>
          <w:iCs/>
        </w:rPr>
        <w:t>et al.</w:t>
      </w:r>
      <w:r w:rsidRPr="00334545">
        <w:rPr>
          <w:rFonts w:ascii="Aptos" w:hAnsi="Aptos"/>
        </w:rPr>
        <w:t xml:space="preserve"> Methodology for estimation of Energy Physical Supply and Use Tables based on IEA’s World Energy Balances. </w:t>
      </w:r>
      <w:r w:rsidRPr="00334545">
        <w:rPr>
          <w:rFonts w:ascii="Aptos" w:hAnsi="Aptos"/>
          <w:i/>
          <w:iCs/>
        </w:rPr>
        <w:t>OECD Sci. Technol. Ind. Work. Pap.</w:t>
      </w:r>
      <w:r w:rsidRPr="00334545">
        <w:rPr>
          <w:rFonts w:ascii="Aptos" w:hAnsi="Aptos"/>
        </w:rPr>
        <w:t xml:space="preserve"> </w:t>
      </w:r>
      <w:r w:rsidRPr="00334545">
        <w:rPr>
          <w:rFonts w:ascii="Aptos" w:hAnsi="Aptos"/>
          <w:b/>
          <w:bCs/>
        </w:rPr>
        <w:t>2021</w:t>
      </w:r>
      <w:r w:rsidRPr="00334545">
        <w:rPr>
          <w:rFonts w:ascii="Aptos" w:hAnsi="Aptos"/>
        </w:rPr>
        <w:t>, 1–29 (2021).</w:t>
      </w:r>
    </w:p>
    <w:p w14:paraId="27B2AB7C" w14:textId="77777777" w:rsidR="00334545" w:rsidRPr="00334545" w:rsidRDefault="00334545" w:rsidP="00334545">
      <w:pPr>
        <w:pStyle w:val="Bibliography"/>
        <w:rPr>
          <w:rFonts w:ascii="Aptos" w:hAnsi="Aptos" w:hint="eastAsia"/>
        </w:rPr>
      </w:pPr>
      <w:r w:rsidRPr="00334545">
        <w:rPr>
          <w:rFonts w:ascii="Aptos" w:hAnsi="Aptos"/>
        </w:rPr>
        <w:t>16.</w:t>
      </w:r>
      <w:r w:rsidRPr="00334545">
        <w:rPr>
          <w:rFonts w:ascii="Aptos" w:hAnsi="Aptos"/>
        </w:rPr>
        <w:tab/>
        <w:t>Mukherji, A. Climate change 2023 synthesis report. (2023).</w:t>
      </w:r>
    </w:p>
    <w:p w14:paraId="0C697B88" w14:textId="77777777" w:rsidR="00334545" w:rsidRPr="00334545" w:rsidRDefault="00334545" w:rsidP="00334545">
      <w:pPr>
        <w:pStyle w:val="Bibliography"/>
        <w:rPr>
          <w:rFonts w:ascii="Aptos" w:hAnsi="Aptos" w:hint="eastAsia"/>
        </w:rPr>
      </w:pPr>
      <w:r w:rsidRPr="00334545">
        <w:rPr>
          <w:rFonts w:ascii="Aptos" w:hAnsi="Aptos"/>
        </w:rPr>
        <w:t>17.</w:t>
      </w:r>
      <w:r w:rsidRPr="00334545">
        <w:rPr>
          <w:rFonts w:ascii="Aptos" w:hAnsi="Aptos"/>
        </w:rPr>
        <w:tab/>
        <w:t xml:space="preserve">Dawson, R. How Significant is a Boxplot Outlier? </w:t>
      </w:r>
      <w:r w:rsidRPr="00334545">
        <w:rPr>
          <w:rFonts w:ascii="Aptos" w:hAnsi="Aptos"/>
          <w:i/>
          <w:iCs/>
        </w:rPr>
        <w:t>J. Stat. Educ.</w:t>
      </w:r>
      <w:r w:rsidRPr="00334545">
        <w:rPr>
          <w:rFonts w:ascii="Aptos" w:hAnsi="Aptos"/>
        </w:rPr>
        <w:t xml:space="preserve"> </w:t>
      </w:r>
      <w:r w:rsidRPr="00334545">
        <w:rPr>
          <w:rFonts w:ascii="Aptos" w:hAnsi="Aptos"/>
          <w:b/>
          <w:bCs/>
        </w:rPr>
        <w:t>19</w:t>
      </w:r>
      <w:r w:rsidRPr="00334545">
        <w:rPr>
          <w:rFonts w:ascii="Aptos" w:hAnsi="Aptos"/>
        </w:rPr>
        <w:t>, (2011).</w:t>
      </w:r>
    </w:p>
    <w:p w14:paraId="45B4CED2" w14:textId="77777777" w:rsidR="00334545" w:rsidRPr="00334545" w:rsidRDefault="00334545" w:rsidP="00334545">
      <w:pPr>
        <w:pStyle w:val="Bibliography"/>
        <w:rPr>
          <w:rFonts w:ascii="Aptos" w:hAnsi="Aptos" w:hint="eastAsia"/>
        </w:rPr>
      </w:pPr>
      <w:r w:rsidRPr="00334545">
        <w:rPr>
          <w:rFonts w:ascii="Aptos" w:hAnsi="Aptos"/>
        </w:rPr>
        <w:t>18.</w:t>
      </w:r>
      <w:r w:rsidRPr="00334545">
        <w:rPr>
          <w:rFonts w:ascii="Aptos" w:hAnsi="Aptos"/>
        </w:rPr>
        <w:tab/>
        <w:t xml:space="preserve">Payró, C., Taherzadeh, O., van Oorschot, M., Koch, J. &amp; Marselis, S. Consumer resistance diminishes environmental gains of dietary change. </w:t>
      </w:r>
      <w:r w:rsidRPr="00334545">
        <w:rPr>
          <w:rFonts w:ascii="Aptos" w:hAnsi="Aptos"/>
          <w:i/>
          <w:iCs/>
        </w:rPr>
        <w:t>Environ. Res. Lett.</w:t>
      </w:r>
      <w:r w:rsidRPr="00334545">
        <w:rPr>
          <w:rFonts w:ascii="Aptos" w:hAnsi="Aptos"/>
        </w:rPr>
        <w:t xml:space="preserve"> </w:t>
      </w:r>
      <w:r w:rsidRPr="00334545">
        <w:rPr>
          <w:rFonts w:ascii="Aptos" w:hAnsi="Aptos"/>
          <w:b/>
          <w:bCs/>
        </w:rPr>
        <w:t>19</w:t>
      </w:r>
      <w:r w:rsidRPr="00334545">
        <w:rPr>
          <w:rFonts w:ascii="Aptos" w:hAnsi="Aptos"/>
        </w:rPr>
        <w:t>, 054033 (2024).</w:t>
      </w:r>
    </w:p>
    <w:p w14:paraId="446F33E4" w14:textId="77777777" w:rsidR="00334545" w:rsidRPr="00334545" w:rsidRDefault="00334545" w:rsidP="00334545">
      <w:pPr>
        <w:pStyle w:val="Bibliography"/>
        <w:rPr>
          <w:rFonts w:ascii="Aptos" w:hAnsi="Aptos" w:hint="eastAsia"/>
        </w:rPr>
      </w:pPr>
      <w:r w:rsidRPr="00334545">
        <w:rPr>
          <w:rFonts w:ascii="Aptos" w:hAnsi="Aptos"/>
        </w:rPr>
        <w:t>19.</w:t>
      </w:r>
      <w:r w:rsidRPr="00334545">
        <w:rPr>
          <w:rFonts w:ascii="Aptos" w:hAnsi="Aptos"/>
        </w:rPr>
        <w:tab/>
        <w:t xml:space="preserve">Mckay, M. D., Beckman, R. J. &amp; Conover, W. J. A Comparison of Three Methods for Selecting Values of Input Variables in the Analysis of Output From a Computer Code. </w:t>
      </w:r>
      <w:r w:rsidRPr="00334545">
        <w:rPr>
          <w:rFonts w:ascii="Aptos" w:hAnsi="Aptos"/>
          <w:i/>
          <w:iCs/>
        </w:rPr>
        <w:t>Technometrics</w:t>
      </w:r>
      <w:r w:rsidRPr="00334545">
        <w:rPr>
          <w:rFonts w:ascii="Aptos" w:hAnsi="Aptos"/>
        </w:rPr>
        <w:t xml:space="preserve"> </w:t>
      </w:r>
      <w:r w:rsidRPr="00334545">
        <w:rPr>
          <w:rFonts w:ascii="Aptos" w:hAnsi="Aptos"/>
          <w:b/>
          <w:bCs/>
        </w:rPr>
        <w:t>42</w:t>
      </w:r>
      <w:r w:rsidRPr="00334545">
        <w:rPr>
          <w:rFonts w:ascii="Aptos" w:hAnsi="Aptos"/>
        </w:rPr>
        <w:t>, 55–61 (2000).</w:t>
      </w:r>
    </w:p>
    <w:p w14:paraId="149CA42B" w14:textId="58895C9E" w:rsidR="00FA2DC8" w:rsidRDefault="00764AE4" w:rsidP="00976C99">
      <w:pPr>
        <w:jc w:val="both"/>
        <w:rPr>
          <w:rFonts w:hint="eastAsia"/>
        </w:rPr>
      </w:pPr>
      <w:r>
        <w:fldChar w:fldCharType="end"/>
      </w:r>
    </w:p>
    <w:p w14:paraId="2D26CC08" w14:textId="2FF7E7F4" w:rsidR="006A563F" w:rsidRPr="00CA7DCF" w:rsidRDefault="006A563F" w:rsidP="09412DAC">
      <w:pPr>
        <w:pStyle w:val="Heading1"/>
        <w:jc w:val="both"/>
        <w:rPr>
          <w:b/>
          <w:bCs/>
          <w:color w:val="auto"/>
          <w:sz w:val="32"/>
          <w:szCs w:val="32"/>
        </w:rPr>
      </w:pPr>
      <w:bookmarkStart w:id="6" w:name="_Toc204093433"/>
      <w:r w:rsidRPr="00CA7DCF">
        <w:rPr>
          <w:rFonts w:hint="eastAsia"/>
          <w:b/>
          <w:bCs/>
          <w:color w:val="auto"/>
          <w:sz w:val="32"/>
          <w:szCs w:val="32"/>
        </w:rPr>
        <w:t xml:space="preserve">Supplementary </w:t>
      </w:r>
      <w:r w:rsidRPr="00CA7DCF">
        <w:rPr>
          <w:b/>
          <w:bCs/>
          <w:color w:val="auto"/>
          <w:sz w:val="32"/>
          <w:szCs w:val="32"/>
        </w:rPr>
        <w:t xml:space="preserve">Table 1 – Environmental indicators integrated into </w:t>
      </w:r>
      <w:r w:rsidR="61F5F8C6" w:rsidRPr="23A3D8D9">
        <w:rPr>
          <w:b/>
          <w:bCs/>
          <w:color w:val="auto"/>
          <w:sz w:val="32"/>
          <w:szCs w:val="32"/>
        </w:rPr>
        <w:t>FABIO</w:t>
      </w:r>
      <w:r w:rsidRPr="00CA7DCF">
        <w:rPr>
          <w:b/>
          <w:bCs/>
          <w:color w:val="auto"/>
          <w:sz w:val="32"/>
          <w:szCs w:val="32"/>
        </w:rPr>
        <w:t xml:space="preserve"> for diet-related </w:t>
      </w:r>
      <w:proofErr w:type="spellStart"/>
      <w:r w:rsidRPr="00CA7DCF">
        <w:rPr>
          <w:b/>
          <w:bCs/>
          <w:color w:val="auto"/>
          <w:sz w:val="32"/>
          <w:szCs w:val="32"/>
        </w:rPr>
        <w:t>footprinting</w:t>
      </w:r>
      <w:bookmarkEnd w:id="6"/>
      <w:proofErr w:type="spellEnd"/>
    </w:p>
    <w:tbl>
      <w:tblPr>
        <w:tblStyle w:val="TableGrid"/>
        <w:tblW w:w="9104" w:type="dxa"/>
        <w:tblBorders>
          <w:left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1881"/>
        <w:gridCol w:w="4522"/>
        <w:gridCol w:w="2701"/>
      </w:tblGrid>
      <w:tr w:rsidR="00CA7DCF" w:rsidRPr="00CA7DCF" w14:paraId="02FFC35F" w14:textId="77777777">
        <w:trPr>
          <w:trHeight w:val="300"/>
        </w:trPr>
        <w:tc>
          <w:tcPr>
            <w:tcW w:w="1881" w:type="dxa"/>
            <w:tcBorders>
              <w:top w:val="single" w:sz="4" w:space="0" w:color="auto"/>
              <w:bottom w:val="single" w:sz="4" w:space="0" w:color="auto"/>
            </w:tcBorders>
            <w:vAlign w:val="center"/>
          </w:tcPr>
          <w:p w14:paraId="446E2453" w14:textId="77777777" w:rsidR="006A563F" w:rsidRPr="00CA7DCF" w:rsidRDefault="006A563F" w:rsidP="6B6B33D6">
            <w:pPr>
              <w:jc w:val="both"/>
              <w:rPr>
                <w:rFonts w:hint="eastAsia"/>
              </w:rPr>
            </w:pPr>
            <w:r w:rsidRPr="00CA7DCF">
              <w:t>Environmental dimension</w:t>
            </w:r>
          </w:p>
        </w:tc>
        <w:tc>
          <w:tcPr>
            <w:tcW w:w="4522" w:type="dxa"/>
            <w:tcBorders>
              <w:top w:val="single" w:sz="4" w:space="0" w:color="auto"/>
              <w:bottom w:val="single" w:sz="4" w:space="0" w:color="auto"/>
            </w:tcBorders>
            <w:vAlign w:val="center"/>
          </w:tcPr>
          <w:p w14:paraId="507460B0" w14:textId="77777777" w:rsidR="006A563F" w:rsidRPr="00CA7DCF" w:rsidRDefault="006A563F" w:rsidP="6B6B33D6">
            <w:pPr>
              <w:jc w:val="both"/>
              <w:rPr>
                <w:rFonts w:hint="eastAsia"/>
              </w:rPr>
            </w:pPr>
            <w:r w:rsidRPr="00CA7DCF">
              <w:t>Indicator</w:t>
            </w:r>
          </w:p>
        </w:tc>
        <w:tc>
          <w:tcPr>
            <w:tcW w:w="2701" w:type="dxa"/>
            <w:tcBorders>
              <w:top w:val="single" w:sz="4" w:space="0" w:color="auto"/>
              <w:bottom w:val="single" w:sz="4" w:space="0" w:color="auto"/>
            </w:tcBorders>
            <w:vAlign w:val="center"/>
          </w:tcPr>
          <w:p w14:paraId="1BAE264B" w14:textId="77777777" w:rsidR="006A563F" w:rsidRPr="00CA7DCF" w:rsidRDefault="006A563F" w:rsidP="6B6B33D6">
            <w:pPr>
              <w:jc w:val="both"/>
              <w:rPr>
                <w:rFonts w:hint="eastAsia"/>
              </w:rPr>
            </w:pPr>
            <w:r w:rsidRPr="00CA7DCF">
              <w:t>Source</w:t>
            </w:r>
          </w:p>
        </w:tc>
      </w:tr>
      <w:tr w:rsidR="00CA7DCF" w:rsidRPr="00CA7DCF" w14:paraId="22E213E9" w14:textId="77777777">
        <w:trPr>
          <w:trHeight w:val="300"/>
        </w:trPr>
        <w:tc>
          <w:tcPr>
            <w:tcW w:w="1881" w:type="dxa"/>
            <w:tcBorders>
              <w:top w:val="single" w:sz="4" w:space="0" w:color="auto"/>
            </w:tcBorders>
            <w:vAlign w:val="center"/>
          </w:tcPr>
          <w:p w14:paraId="28F6C8DD" w14:textId="77777777" w:rsidR="006A563F" w:rsidRPr="00CA7DCF" w:rsidRDefault="006A563F" w:rsidP="6B6B33D6">
            <w:pPr>
              <w:jc w:val="both"/>
              <w:rPr>
                <w:rFonts w:hint="eastAsia"/>
              </w:rPr>
            </w:pPr>
            <w:r w:rsidRPr="00CA7DCF">
              <w:t>Water use</w:t>
            </w:r>
          </w:p>
        </w:tc>
        <w:tc>
          <w:tcPr>
            <w:tcW w:w="4522" w:type="dxa"/>
            <w:tcBorders>
              <w:top w:val="single" w:sz="4" w:space="0" w:color="auto"/>
            </w:tcBorders>
            <w:vAlign w:val="center"/>
          </w:tcPr>
          <w:p w14:paraId="1E84865B" w14:textId="77777777" w:rsidR="006A563F" w:rsidRPr="00CA7DCF" w:rsidRDefault="006A563F" w:rsidP="6B6B33D6">
            <w:pPr>
              <w:jc w:val="both"/>
              <w:rPr>
                <w:rFonts w:hint="eastAsia"/>
              </w:rPr>
            </w:pPr>
            <w:r w:rsidRPr="00CA7DCF">
              <w:t>Green and blue water use (m</w:t>
            </w:r>
            <w:r w:rsidRPr="0067067C">
              <w:rPr>
                <w:vertAlign w:val="superscript"/>
              </w:rPr>
              <w:t>3</w:t>
            </w:r>
            <w:r w:rsidRPr="00CA7DCF">
              <w:t>)</w:t>
            </w:r>
          </w:p>
        </w:tc>
        <w:tc>
          <w:tcPr>
            <w:tcW w:w="2701" w:type="dxa"/>
            <w:tcBorders>
              <w:top w:val="single" w:sz="4" w:space="0" w:color="auto"/>
            </w:tcBorders>
            <w:vAlign w:val="center"/>
          </w:tcPr>
          <w:p w14:paraId="5D2300C9" w14:textId="338283CA" w:rsidR="006A563F" w:rsidRPr="00CA7DCF" w:rsidRDefault="00EF1901" w:rsidP="5A88F34A">
            <w:pPr>
              <w:rPr>
                <w:rFonts w:hint="eastAsia"/>
              </w:rPr>
            </w:pPr>
            <w:r w:rsidRPr="00CA7DCF">
              <w:t xml:space="preserve">Hoekstra </w:t>
            </w:r>
            <w:r w:rsidR="006A563F" w:rsidRPr="00CA7DCF">
              <w:t xml:space="preserve">&amp; </w:t>
            </w:r>
            <w:r w:rsidRPr="00CA7DCF">
              <w:t xml:space="preserve">Mekonnen </w:t>
            </w:r>
            <w:r w:rsidR="006A563F" w:rsidRPr="00CA7DCF">
              <w:t>(201</w:t>
            </w:r>
            <w:r w:rsidR="0067067C">
              <w:rPr>
                <w:rFonts w:hint="eastAsia"/>
              </w:rPr>
              <w:t>2</w:t>
            </w:r>
            <w:r w:rsidR="006A563F" w:rsidRPr="00CA7DCF">
              <w:t>)</w:t>
            </w:r>
            <w:r w:rsidR="0067067C">
              <w:fldChar w:fldCharType="begin"/>
            </w:r>
            <w:r w:rsidR="00EF7336">
              <w:instrText xml:space="preserve"> ADDIN ZOTERO_ITEM CSL_CITATION {"citationID":"ZhJYIwMM","properties":{"formattedCitation":"\\super 11\\nosupersub{}","plainCitation":"11","noteIndex":0},"citationItems":[{"id":134,"uris":["http://zotero.org/users/16665975/items/T8HPLD4S"],"itemData":{"id":134,"type":"article-journal","abstract":"This study quantifies and maps the water footprint (WF) of humanity at a high spatial resolution. It reports on consumptive use of rainwater (green WF) and ground and surface water (blue WF) and volumes of water polluted (gray WF). Water footprints are estimated per nation from both a production and consumption perspective. International virtual water flows are estimated based on trade in agricultural and industrial commodities. The global annual average WF in the period 1996–2005 was 9,087 Gm3/y (74% green, 11% blue, 15% gray). Agricultural production contributes 92%. About one-fifth of the global WF relates to production for export. The total volume of international virtual water flows related to trade in agricultural and industrial products was 2,320 Gm3/y (68% green, 13% blue, 19% gray). The WF of the global average consumer was 1,385 m3/y. The average consumer in the United States has a WF of 2,842 m3/y, whereas the average citizens in China and India have WFs of 1,071 and 1,089 m3/y, respectively. Consumption of cereal products gives the largest contribution to the WF of the average consumer (27%), followed by meat (22%) and milk products (7%). The volume and pattern of consumption and the WF per ton of product of the products consumed are the main factors determining the WF of a consumer. The study illustrates the global dimension of water consumption and pollution by showing that several countries heavily rely on foreign water resources and that many countries have significant impacts on water consumption and pollution elsewhere.","container-title":"Proceedings of the National Academy of Sciences","DOI":"10.1073/pnas.1109936109","issue":"9","note":"publisher: Proceedings of the National Academy of Sciences","page":"3232-3237","source":"pnas.org (Atypon)","title":"The water footprint of humanity","volume":"109","author":[{"family":"Hoekstra","given":"Arjen Y."},{"family":"Mekonnen","given":"Mesfin M."}],"issued":{"date-parts":[["2012",2,28]]}}}],"schema":"https://github.com/citation-style-language/schema/raw/master/csl-citation.json"} </w:instrText>
            </w:r>
            <w:r w:rsidR="0067067C">
              <w:fldChar w:fldCharType="separate"/>
            </w:r>
            <w:r w:rsidR="00EF7336" w:rsidRPr="00EF7336">
              <w:rPr>
                <w:rFonts w:ascii="Aptos" w:hAnsi="Aptos" w:cs="Times New Roman"/>
                <w:kern w:val="0"/>
                <w:vertAlign w:val="superscript"/>
              </w:rPr>
              <w:t>11</w:t>
            </w:r>
            <w:r w:rsidR="0067067C">
              <w:fldChar w:fldCharType="end"/>
            </w:r>
          </w:p>
        </w:tc>
      </w:tr>
      <w:tr w:rsidR="00CA7DCF" w:rsidRPr="00CA7DCF" w14:paraId="0840B285" w14:textId="77777777">
        <w:trPr>
          <w:trHeight w:val="576"/>
        </w:trPr>
        <w:tc>
          <w:tcPr>
            <w:tcW w:w="1881" w:type="dxa"/>
            <w:vAlign w:val="center"/>
          </w:tcPr>
          <w:p w14:paraId="562292E8" w14:textId="77777777" w:rsidR="006A563F" w:rsidRPr="00CA7DCF" w:rsidRDefault="006A563F" w:rsidP="6B6B33D6">
            <w:pPr>
              <w:jc w:val="both"/>
              <w:rPr>
                <w:rFonts w:hint="eastAsia"/>
              </w:rPr>
            </w:pPr>
            <w:r w:rsidRPr="00CA7DCF">
              <w:t>Land use</w:t>
            </w:r>
          </w:p>
        </w:tc>
        <w:tc>
          <w:tcPr>
            <w:tcW w:w="4522" w:type="dxa"/>
            <w:vAlign w:val="center"/>
          </w:tcPr>
          <w:p w14:paraId="076AB024" w14:textId="77777777" w:rsidR="006A563F" w:rsidRPr="00CA7DCF" w:rsidRDefault="006A563F" w:rsidP="6B6B33D6">
            <w:pPr>
              <w:jc w:val="both"/>
              <w:rPr>
                <w:rFonts w:hint="eastAsia"/>
              </w:rPr>
            </w:pPr>
            <w:r w:rsidRPr="00CA7DCF">
              <w:t>Agricultural land area (ha)</w:t>
            </w:r>
          </w:p>
        </w:tc>
        <w:tc>
          <w:tcPr>
            <w:tcW w:w="2701" w:type="dxa"/>
            <w:vAlign w:val="center"/>
          </w:tcPr>
          <w:p w14:paraId="22F41119" w14:textId="7DEE57D0" w:rsidR="006A563F" w:rsidRPr="00CA7DCF" w:rsidRDefault="006A563F" w:rsidP="5A88F34A">
            <w:pPr>
              <w:rPr>
                <w:rFonts w:hint="eastAsia"/>
              </w:rPr>
            </w:pPr>
            <w:proofErr w:type="spellStart"/>
            <w:r w:rsidRPr="00CA7DCF">
              <w:t>FAOSTAT</w:t>
            </w:r>
            <w:r w:rsidRPr="00CA7DCF">
              <w:fldChar w:fldCharType="begin"/>
            </w:r>
            <w:r w:rsidR="00B828F9">
              <w:instrText xml:space="preserve"> ADDIN ZOTERO_ITEM CSL_CITATION {"citationID":"mOcci2nH","properties":{"formattedCitation":"\\super 12\\nosupersub{}","plainCitation":"12","noteIndex":0},"citationItems":[{"id":136,"uris":["http://zotero.org/users/16665975/items/4ZK2HMHM"],"itemData":{"id":136,"type":"webpage","title":"FAOSTAT","URL":"https://www.fao.org/faostat/en/#home","accessed":{"date-parts":[["2025",3,24]]}}}],"schema":"https://github.com/citation-style-language/schema/raw/master/csl-citation.json"} </w:instrText>
            </w:r>
            <w:r w:rsidRPr="00CA7DCF">
              <w:fldChar w:fldCharType="separate"/>
            </w:r>
            <w:r w:rsidR="00B828F9" w:rsidRPr="00B828F9">
              <w:rPr>
                <w:rFonts w:ascii="Aptos" w:hAnsi="Aptos" w:cs="Times New Roman"/>
                <w:kern w:val="0"/>
                <w:vertAlign w:val="superscript"/>
              </w:rPr>
              <w:t>12</w:t>
            </w:r>
            <w:proofErr w:type="spellEnd"/>
            <w:r w:rsidRPr="00CA7DCF">
              <w:fldChar w:fldCharType="end"/>
            </w:r>
          </w:p>
        </w:tc>
      </w:tr>
      <w:tr w:rsidR="00CA7DCF" w:rsidRPr="00EF1901" w14:paraId="459ECFB9" w14:textId="77777777">
        <w:trPr>
          <w:trHeight w:val="2592"/>
        </w:trPr>
        <w:tc>
          <w:tcPr>
            <w:tcW w:w="1881" w:type="dxa"/>
            <w:vAlign w:val="center"/>
          </w:tcPr>
          <w:p w14:paraId="350D41E7" w14:textId="77777777" w:rsidR="006A563F" w:rsidRPr="00CA7DCF" w:rsidRDefault="006A563F" w:rsidP="2B3C8734">
            <w:pPr>
              <w:rPr>
                <w:rFonts w:hint="eastAsia"/>
              </w:rPr>
            </w:pPr>
            <w:r w:rsidRPr="00CA7DCF">
              <w:t>Emissions</w:t>
            </w:r>
          </w:p>
        </w:tc>
        <w:tc>
          <w:tcPr>
            <w:tcW w:w="4522" w:type="dxa"/>
            <w:vAlign w:val="center"/>
          </w:tcPr>
          <w:p w14:paraId="58A60D7D" w14:textId="77777777" w:rsidR="006A563F" w:rsidRPr="00CA7DCF" w:rsidRDefault="006A563F" w:rsidP="2B3C8734">
            <w:pPr>
              <w:rPr>
                <w:rFonts w:ascii="Aptos" w:eastAsia="Aptos" w:hAnsi="Aptos" w:cs="Aptos"/>
                <w:lang w:val="en-US"/>
              </w:rPr>
            </w:pPr>
            <w:r w:rsidRPr="00CA7DCF">
              <w:t xml:space="preserve">Greenhouse gas emissions eq. </w:t>
            </w:r>
            <w:proofErr w:type="spellStart"/>
            <w:r w:rsidRPr="00CA7DCF">
              <w:t>Ammortisation</w:t>
            </w:r>
            <w:proofErr w:type="spellEnd"/>
            <w:r w:rsidRPr="00CA7DCF">
              <w:t xml:space="preserve"> 100 years - </w:t>
            </w:r>
            <w:r w:rsidRPr="00CA7DCF">
              <w:rPr>
                <w:rFonts w:ascii="Aptos" w:eastAsia="Aptos" w:hAnsi="Aptos" w:cs="Aptos"/>
              </w:rPr>
              <w:t>"Primary (100 years)","Secondary (100 years)","Emissions (CH4) (Fires in organic soils)","Emissions (CO2) (Fires in organic soils)","Emissions (N2O) (Fires in humid tropical forests)","Emissions (CH4) (Fires in humid tropical forests)"</w:t>
            </w:r>
          </w:p>
        </w:tc>
        <w:tc>
          <w:tcPr>
            <w:tcW w:w="2701" w:type="dxa"/>
            <w:vAlign w:val="center"/>
          </w:tcPr>
          <w:p w14:paraId="756054B1" w14:textId="79672588" w:rsidR="006A563F" w:rsidRPr="00CA7DCF" w:rsidRDefault="006A563F" w:rsidP="5A88F34A">
            <w:pPr>
              <w:rPr>
                <w:rFonts w:ascii="Aptos" w:hAnsi="Aptos" w:cs="Times New Roman" w:hint="eastAsia"/>
                <w:vertAlign w:val="superscript"/>
              </w:rPr>
            </w:pPr>
            <w:r w:rsidRPr="00CA7DCF" w:rsidDel="1D4F1AE2">
              <w:rPr>
                <w:lang w:val="en-US"/>
              </w:rPr>
              <w:t xml:space="preserve">On-farm emissions: </w:t>
            </w:r>
            <w:proofErr w:type="spellStart"/>
            <w:r w:rsidRPr="00CA7DCF">
              <w:rPr>
                <w:lang w:val="en-US"/>
              </w:rPr>
              <w:t>FAOSTAT</w:t>
            </w:r>
            <w:proofErr w:type="spellEnd"/>
            <w:r w:rsidRPr="00CA7DCF">
              <w:rPr>
                <w:lang w:val="en-US"/>
              </w:rPr>
              <w:fldChar w:fldCharType="begin"/>
            </w:r>
            <w:r w:rsidR="00B828F9">
              <w:rPr>
                <w:lang w:val="en-US"/>
              </w:rPr>
              <w:instrText xml:space="preserve"> ADDIN ZOTERO_ITEM CSL_CITATION {"citationID":"weoTSrZH","properties":{"formattedCitation":"\\super 12\\nosupersub{}","plainCitation":"12","noteIndex":0},"citationItems":[{"id":136,"uris":["http://zotero.org/users/16665975/items/4ZK2HMHM"],"itemData":{"id":136,"type":"webpage","title":"FAOSTAT","URL":"https://www.fao.org/faostat/en/#home","accessed":{"date-parts":[["2025",3,24]]}}}],"schema":"https://github.com/citation-style-language/schema/raw/master/csl-citation.json"} </w:instrText>
            </w:r>
            <w:r w:rsidRPr="00CA7DCF">
              <w:rPr>
                <w:lang w:val="en-US"/>
              </w:rPr>
              <w:fldChar w:fldCharType="separate"/>
            </w:r>
            <w:r w:rsidR="00B828F9" w:rsidRPr="00B828F9">
              <w:rPr>
                <w:rFonts w:ascii="Aptos" w:hAnsi="Aptos" w:cs="Times New Roman"/>
                <w:kern w:val="0"/>
                <w:vertAlign w:val="superscript"/>
              </w:rPr>
              <w:t>12</w:t>
            </w:r>
            <w:r w:rsidRPr="00CA7DCF">
              <w:rPr>
                <w:lang w:val="en-US"/>
              </w:rPr>
              <w:fldChar w:fldCharType="end"/>
            </w:r>
            <w:r w:rsidRPr="00CA7DCF">
              <w:rPr>
                <w:lang w:val="en-US"/>
              </w:rPr>
              <w:t xml:space="preserve">, Land use change emissions: </w:t>
            </w:r>
            <w:proofErr w:type="spellStart"/>
            <w:r w:rsidRPr="00CA7DCF">
              <w:rPr>
                <w:lang w:val="en-US"/>
              </w:rPr>
              <w:t>LUH2</w:t>
            </w:r>
            <w:proofErr w:type="spellEnd"/>
            <w:r w:rsidRPr="00CA7DCF">
              <w:rPr>
                <w:lang w:val="en-US"/>
              </w:rPr>
              <w:fldChar w:fldCharType="begin"/>
            </w:r>
            <w:r w:rsidR="00F57ABA">
              <w:rPr>
                <w:lang w:val="en-US"/>
              </w:rPr>
              <w:instrText xml:space="preserve"> ADDIN ZOTERO_ITEM CSL_CITATION {"citationID":"FbrC1I6J","properties":{"formattedCitation":"\\super 13\\nosupersub{}","plainCitation":"13","noteIndex":0},"citationItems":[{"id":138,"uris":["http://zotero.org/users/16665975/items/SHBHNN4R"],"itemData":{"id":138,"type":"article-journal","abstract":"Human land use activities have resulted in large changes to the biogeochemical and biophysical properties of the Earth's surface, with consequences for climate and other ecosystem services. In the future, land use activities are likely to expand and/or intensify further to meet growing demands for food, fiber, and energy. As part of the World Climate Research Program Coupled Model Intercomparison Project (CMIP6), the international community has developed the next generation of advanced Earth system models (ESMs) to estimate the combined effects of human activities (e.g., land use and fossil fuel emissions) on the carbon–climate system. A new set of historical data based on the History of the Global Environment database (HYDE), and multiple alternative scenarios of the future (2015–2100) from Integrated Assessment Model (IAM) teams, is required as input for these models. With most ESM simulations for CMIP6 now completed, it is important to document the land use patterns used by those simulations. Here we present results from the Land-Use Harmonization 2 (LUH2) project, which smoothly connects updated historical reconstructions of land use with eight new future projections in the format required for ESMs. The harmonization strategy estimates the fractional land use patterns, underlying land use transitions, key agricultural management information, and resulting secondary lands annually, while minimizing the differences between the end of the historical reconstruction and IAM initial conditions and preserving changes depicted by the IAMs in the future. The new approach builds on a similar effort from CMIP5 and is now provided at higher resolution (0.25</w:instrText>
            </w:r>
            <w:r w:rsidR="00F57ABA">
              <w:rPr>
                <w:rFonts w:ascii="Cambria Math" w:hAnsi="Cambria Math" w:cs="Cambria Math"/>
                <w:lang w:val="en-US"/>
              </w:rPr>
              <w:instrText>∘</w:instrText>
            </w:r>
            <w:r w:rsidR="00F57ABA">
              <w:rPr>
                <w:rFonts w:ascii="Aptos" w:hAnsi="Aptos" w:cs="Aptos"/>
                <w:lang w:val="en-US"/>
              </w:rPr>
              <w:instrText>×</w:instrText>
            </w:r>
            <w:r w:rsidR="00F57ABA">
              <w:rPr>
                <w:lang w:val="en-US"/>
              </w:rPr>
              <w:instrText>0.25</w:instrText>
            </w:r>
            <w:r w:rsidR="00F57ABA">
              <w:rPr>
                <w:rFonts w:ascii="Cambria Math" w:hAnsi="Cambria Math" w:cs="Cambria Math"/>
                <w:lang w:val="en-US"/>
              </w:rPr>
              <w:instrText>∘</w:instrText>
            </w:r>
            <w:r w:rsidR="00F57ABA">
              <w:rPr>
                <w:lang w:val="en-US"/>
              </w:rPr>
              <w:instrText>) over a longer time domain (850</w:instrText>
            </w:r>
            <w:r w:rsidR="00F57ABA">
              <w:rPr>
                <w:rFonts w:ascii="Aptos" w:hAnsi="Aptos" w:cs="Aptos"/>
                <w:lang w:val="en-US"/>
              </w:rPr>
              <w:instrText>–</w:instrText>
            </w:r>
            <w:r w:rsidR="00F57ABA">
              <w:rPr>
                <w:lang w:val="en-US"/>
              </w:rPr>
              <w:instrText xml:space="preserve">2100, with extensions to 2300) with more detail (including multiple crop and pasture types and associated management practices) using more input datasets (including Landsat remote sensing data) and updated algorithms (wood harvest and shifting cultivation); it is assessed via a new diagnostic package. The new LUH2 products contain &amp;gt;&amp;thinsp;50 times the information content of the datasets used in CMIP5 and are designed to enable new and improved estimates of the combined effects of land use on the global carbon–climate system.","container-title":"Geoscientific Model Development","DOI":"10.5194/gmd-13-5425-2020","ISSN":"1991-959X","issue":"11","language":"English","note":"publisher: Copernicus GmbH","page":"5425-5464","source":"Copernicus Online Journals","title":"Harmonization of global land use change and management for the period 850–2100 (LUH2) for CMIP6","volume":"13","author":[{"family":"Hurtt","given":"George C."},{"family":"Chini","given":"Louise"},{"family":"Sahajpal","given":"Ritvik"},{"family":"Frolking","given":"Steve"},{"family":"Bodirsky","given":"Benjamin L."},{"family":"Calvin","given":"Katherine"},{"family":"Doelman","given":"Jonathan C."},{"family":"Fisk","given":"Justin"},{"family":"Fujimori","given":"Shinichiro"},{"family":"Klein Goldewijk","given":"Kees"},{"family":"Hasegawa","given":"Tomoko"},{"family":"Havlik","given":"Peter"},{"family":"Heinimann","given":"Andreas"},{"family":"Humpenöder","given":"Florian"},{"family":"Jungclaus","given":"Johan"},{"family":"Kaplan","given":"Jed O."},{"family":"Kennedy","given":"Jennifer"},{"family":"Krisztin","given":"Tamás"},{"family":"Lawrence","given":"David"},{"family":"Lawrence","given":"Peter"},{"family":"Ma","given":"Lei"},{"family":"Mertz","given":"Ole"},{"family":"Pongratz","given":"Julia"},{"family":"Popp","given":"Alexander"},{"family":"Poulter","given":"Benjamin"},{"family":"Riahi","given":"Keywan"},{"family":"Shevliakova","given":"Elena"},{"family":"Stehfest","given":"Elke"},{"family":"Thornton","given":"Peter"},{"family":"Tubiello","given":"Francesco N."},{"family":"Vuuren","given":"Detlef P.","non-dropping-particle":"van"},{"family":"Zhang","given":"Xin"}],"issued":{"date-parts":[["2020",11,10]]}}}],"schema":"https://github.com/citation-style-language/schema/raw/master/csl-citation.json"} </w:instrText>
            </w:r>
            <w:r w:rsidRPr="00CA7DCF">
              <w:rPr>
                <w:lang w:val="en-US"/>
              </w:rPr>
              <w:fldChar w:fldCharType="separate"/>
            </w:r>
            <w:r w:rsidR="00F57ABA" w:rsidRPr="00F57ABA">
              <w:rPr>
                <w:rFonts w:ascii="Aptos" w:hAnsi="Aptos" w:cs="Times New Roman"/>
                <w:kern w:val="0"/>
                <w:vertAlign w:val="superscript"/>
              </w:rPr>
              <w:t>13</w:t>
            </w:r>
            <w:r w:rsidRPr="00CA7DCF">
              <w:rPr>
                <w:lang w:val="en-US"/>
              </w:rPr>
              <w:fldChar w:fldCharType="end"/>
            </w:r>
            <w:r w:rsidRPr="00CA7DCF">
              <w:rPr>
                <w:lang w:val="en-US"/>
              </w:rPr>
              <w:t>, up- and downstream emissions beyond the</w:t>
            </w:r>
          </w:p>
          <w:p w14:paraId="0B9DF3CE" w14:textId="3BB49361" w:rsidR="006A563F" w:rsidRPr="00EF1901" w:rsidRDefault="006A563F" w:rsidP="5A88F34A">
            <w:pPr>
              <w:rPr>
                <w:rFonts w:ascii="Aptos" w:hAnsi="Aptos" w:cs="Times New Roman" w:hint="eastAsia"/>
                <w:vertAlign w:val="superscript"/>
              </w:rPr>
            </w:pPr>
            <w:r w:rsidRPr="00CA7DCF">
              <w:rPr>
                <w:lang w:val="en-US"/>
              </w:rPr>
              <w:t xml:space="preserve">farm-gate: </w:t>
            </w:r>
            <w:proofErr w:type="spellStart"/>
            <w:r w:rsidRPr="00CA7DCF">
              <w:rPr>
                <w:lang w:val="en-US"/>
              </w:rPr>
              <w:t>Exiobase</w:t>
            </w:r>
            <w:proofErr w:type="spellEnd"/>
            <w:r w:rsidRPr="00CA7DCF">
              <w:rPr>
                <w:lang w:val="en-US"/>
              </w:rPr>
              <w:fldChar w:fldCharType="begin"/>
            </w:r>
            <w:r w:rsidR="00EF1901">
              <w:rPr>
                <w:lang w:val="en-US"/>
              </w:rPr>
              <w:instrText xml:space="preserve"> ADDIN ZOTERO_ITEM CSL_CITATION {"citationID":"5HuRRWbK","properties":{"formattedCitation":"\\super 14\\nosupersub{}","plainCitation":"14","noteIndex":0},"citationItems":[{"id":140,"uris":["http://zotero.org/users/16665975/items/HZGHDAVF"],"itemData":{"id":140,"type":"article-journal","abstract":"Environmentally extended multiregional input-output (EE MRIO) tables have emerged as a key framework to provide a comprehensive description of the global economy and analyze its effects on the environment. Of the available EE MRIO databases, EXIOBASE stands out as a database compatible with the System of Environmental-Economic Accounting (SEEA) with a high sectorial detail matched with multiple social and environmental satellite accounts. In this paper, we present the latest developments realized with EXIOBASE 3—a time series of EE MRIO tables ranging from 1995 to 2011 for 44 countries (28 EU member plus 16 major economies) and five rest of the world regions. EXIOBASE 3 builds upon the previous versions of EXIOBASE by using rectangular supply-use tables (SUTs) in a 163 industry by 200 products classification as the main building blocks. In order to capture structural changes, economic developments, as reported by national statistical agencies, were imposed on the available, disaggregated SUTs from EXIOBASE 2. These initial estimates were further refined by incorporating detailed data on energy, agricultural production, resource extraction, and bilateral trade. EXIOBASE 3 inherits the high level of environmental stressor detail from its precursor, with further improvement in the level of detail for resource extraction. To account for the expansion of the European Union (EU), EXIOBASE 3 was developed with the full EU28 country set (including the new member state Croatia). EXIOBASE 3 provides a unique tool for analyzing the dynamics of environmental pressures of economic activities over time.","container-title":"Journal of Industrial Ecology","DOI":"10.1111/jiec.12715","ISSN":"1530-9290","issue":"3","language":"en","license":"© 2018 The Authors. Journal of Industrial Ecology, published by Wiley Periodicals, Inc., on behalf of Yale University.","note":"_eprint: https://onlinelibrary.wiley.com/doi/pdf/10.1111/jiec.12715","page":"502-515","source":"Wiley Online Library","title":"EXIOBASE 3: Developing a Time Series of Detailed Environmentally Extended Multi-Regional Input-Output Tables","title-short":"EXIOBASE 3","volume":"22","author":[{"family":"Stadler","given":"Konstantin"},{"family":"Wood","given":"Richard"},{"family":"Bulavskaya","given":"Tatyana"},{"family":"Södersten","given":"Carl-Johan"},{"family":"Simas","given":"Moana"},{"family":"Schmidt","given":"Sarah"},{"family":"Usubiaga","given":"Arkaitz"},{"family":"Acosta-Fernández","given":"José"},{"family":"Kuenen","given":"Jeroen"},{"family":"Bruckner","given":"Martin"},{"family":"Giljum","given":"Stefan"},{"family":"Lutter","given":"Stephan"},{"family":"Merciai","given":"Stefano"},{"family":"Schmidt","given":"Jannick H."},{"family":"Theurl","given":"Michaela C."},{"family":"Plutzar","given":"Christoph"},{"family":"Kastner","given":"Thomas"},{"family":"Eisenmenger","given":"Nina"},{"family":"Erb","given":"Karl-Heinz"},{"family":"Koning","given":"Arjan","non-dropping-particle":"de"},{"family":"Tukker","given":"Arnold"}],"issued":{"date-parts":[["2018"]]}}}],"schema":"https://github.com/citation-style-language/schema/raw/master/csl-citation.json"} </w:instrText>
            </w:r>
            <w:r w:rsidRPr="00CA7DCF">
              <w:rPr>
                <w:lang w:val="en-US"/>
              </w:rPr>
              <w:fldChar w:fldCharType="separate"/>
            </w:r>
            <w:r w:rsidR="00EF1901" w:rsidRPr="00EF1901">
              <w:rPr>
                <w:rFonts w:ascii="Aptos" w:hAnsi="Aptos" w:cs="Times New Roman"/>
                <w:kern w:val="0"/>
                <w:vertAlign w:val="superscript"/>
              </w:rPr>
              <w:t>14</w:t>
            </w:r>
            <w:r w:rsidRPr="00CA7DCF">
              <w:rPr>
                <w:lang w:val="en-US"/>
              </w:rPr>
              <w:fldChar w:fldCharType="end"/>
            </w:r>
            <w:r w:rsidRPr="00EF1901">
              <w:t xml:space="preserve"> &amp; </w:t>
            </w:r>
            <w:proofErr w:type="spellStart"/>
            <w:r w:rsidRPr="00EF1901">
              <w:t>IEA</w:t>
            </w:r>
            <w:r w:rsidRPr="00CA7DCF">
              <w:rPr>
                <w:lang w:val="en-US"/>
              </w:rPr>
              <w:fldChar w:fldCharType="begin"/>
            </w:r>
            <w:r w:rsidR="00EF1901">
              <w:instrText xml:space="preserve"> ADDIN ZOTERO_ITEM CSL_CITATION {"citationID":"BJpnw84b","properties":{"formattedCitation":"\\super 15\\nosupersub{}","plainCitation":"15","noteIndex":0},"citationItems":[{"id":145,"uris":["http://zotero.org/users/16665975/items/FMRAQ447"],"itemData":{"id":145,"type":"article-journal","container-title":"OECD Science, Technology and Industry Working Papers","issue":"13","note":"publisher: Organisation for Economic Cooperation and Development (OECD)","page":"1–29","source":"Google Scholar","title":"Methodology for estimation of Energy Physical Supply and Use Tables based on IEA's World Energy Balances","volume":"2021","author":[{"family":"Guilhoto","given":"Joaquim Martins"},{"family":"Johnstone","given":"Nick"},{"family":"Mattion","given":"Francesco"},{"family":"Papadimoulis","given":"Faidon"},{"family":"Quadrelli","given":"Roberta"},{"family":"Webb","given":"Colin"}],"issued":{"date-parts":[["2021"]]}}}],"schema":"https://github.com/citation-style-language/schema/raw/master/csl-citation.json"} </w:instrText>
            </w:r>
            <w:r w:rsidRPr="00CA7DCF">
              <w:rPr>
                <w:lang w:val="en-US"/>
              </w:rPr>
              <w:fldChar w:fldCharType="separate"/>
            </w:r>
            <w:r w:rsidR="00EF1901" w:rsidRPr="00EF1901">
              <w:rPr>
                <w:rFonts w:ascii="Aptos" w:hAnsi="Aptos" w:cs="Times New Roman"/>
                <w:kern w:val="0"/>
                <w:vertAlign w:val="superscript"/>
              </w:rPr>
              <w:t>15</w:t>
            </w:r>
            <w:proofErr w:type="spellEnd"/>
            <w:r w:rsidRPr="00CA7DCF">
              <w:rPr>
                <w:lang w:val="en-US"/>
              </w:rPr>
              <w:fldChar w:fldCharType="end"/>
            </w:r>
          </w:p>
        </w:tc>
      </w:tr>
    </w:tbl>
    <w:p w14:paraId="7893B449" w14:textId="77777777" w:rsidR="006A563F" w:rsidRPr="00EF1901" w:rsidRDefault="006A563F" w:rsidP="006A563F">
      <w:pPr>
        <w:jc w:val="both"/>
        <w:rPr>
          <w:rFonts w:hint="eastAsia"/>
        </w:rPr>
      </w:pPr>
    </w:p>
    <w:p w14:paraId="02415B17" w14:textId="381F01E3" w:rsidR="0061664B" w:rsidRPr="00E40024" w:rsidRDefault="0061664B" w:rsidP="6B6B33D6">
      <w:pPr>
        <w:pStyle w:val="Heading1"/>
        <w:jc w:val="both"/>
        <w:rPr>
          <w:b/>
          <w:bCs/>
          <w:color w:val="auto"/>
          <w:sz w:val="32"/>
          <w:szCs w:val="32"/>
        </w:rPr>
      </w:pPr>
      <w:bookmarkStart w:id="7" w:name="_Toc204093434"/>
      <w:r w:rsidRPr="00E40024">
        <w:rPr>
          <w:b/>
          <w:bCs/>
          <w:color w:val="auto"/>
          <w:sz w:val="32"/>
          <w:szCs w:val="32"/>
        </w:rPr>
        <w:lastRenderedPageBreak/>
        <w:t xml:space="preserve">Supplementary Table 2. Scoring thresholds for </w:t>
      </w:r>
      <w:proofErr w:type="spellStart"/>
      <w:r w:rsidRPr="00E40024">
        <w:rPr>
          <w:b/>
          <w:bCs/>
          <w:color w:val="auto"/>
          <w:sz w:val="32"/>
          <w:szCs w:val="32"/>
        </w:rPr>
        <w:t>AHEI</w:t>
      </w:r>
      <w:proofErr w:type="spellEnd"/>
      <w:r w:rsidRPr="00E40024">
        <w:rPr>
          <w:b/>
          <w:bCs/>
          <w:color w:val="auto"/>
          <w:sz w:val="32"/>
          <w:szCs w:val="32"/>
        </w:rPr>
        <w:t xml:space="preserve"> components</w:t>
      </w:r>
      <w:bookmarkEnd w:id="7"/>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2880"/>
        <w:gridCol w:w="2880"/>
      </w:tblGrid>
      <w:tr w:rsidR="00CA7DCF" w:rsidRPr="002A091D" w14:paraId="179C0AF0" w14:textId="77777777" w:rsidTr="00F82E25">
        <w:trPr>
          <w:trHeight w:val="300"/>
        </w:trPr>
        <w:tc>
          <w:tcPr>
            <w:tcW w:w="2880" w:type="dxa"/>
            <w:tcBorders>
              <w:top w:val="single" w:sz="4" w:space="0" w:color="auto"/>
              <w:bottom w:val="single" w:sz="4" w:space="0" w:color="auto"/>
            </w:tcBorders>
            <w:vAlign w:val="center"/>
          </w:tcPr>
          <w:p w14:paraId="20503176" w14:textId="77777777" w:rsidR="0061664B" w:rsidRPr="00E40024" w:rsidRDefault="0061664B" w:rsidP="6B6B33D6">
            <w:pPr>
              <w:jc w:val="both"/>
              <w:rPr>
                <w:rFonts w:hint="eastAsia"/>
              </w:rPr>
            </w:pPr>
            <w:r w:rsidRPr="00E40024">
              <w:t>Component</w:t>
            </w:r>
          </w:p>
        </w:tc>
        <w:tc>
          <w:tcPr>
            <w:tcW w:w="2880" w:type="dxa"/>
            <w:tcBorders>
              <w:top w:val="single" w:sz="4" w:space="0" w:color="auto"/>
              <w:bottom w:val="single" w:sz="4" w:space="0" w:color="auto"/>
            </w:tcBorders>
            <w:vAlign w:val="center"/>
          </w:tcPr>
          <w:p w14:paraId="3F8646E0" w14:textId="77777777" w:rsidR="0061664B" w:rsidRPr="00E40024" w:rsidRDefault="0061664B" w:rsidP="00D9095D">
            <w:pPr>
              <w:jc w:val="center"/>
              <w:rPr>
                <w:rFonts w:hint="eastAsia"/>
              </w:rPr>
            </w:pPr>
            <w:r w:rsidRPr="00E40024">
              <w:t>Score 0</w:t>
            </w:r>
          </w:p>
        </w:tc>
        <w:tc>
          <w:tcPr>
            <w:tcW w:w="2880" w:type="dxa"/>
            <w:tcBorders>
              <w:top w:val="single" w:sz="4" w:space="0" w:color="auto"/>
              <w:bottom w:val="single" w:sz="4" w:space="0" w:color="auto"/>
            </w:tcBorders>
            <w:vAlign w:val="center"/>
          </w:tcPr>
          <w:p w14:paraId="1D59C30A" w14:textId="77777777" w:rsidR="0061664B" w:rsidRPr="00E40024" w:rsidRDefault="0061664B" w:rsidP="00D9095D">
            <w:pPr>
              <w:jc w:val="center"/>
              <w:rPr>
                <w:rFonts w:hint="eastAsia"/>
              </w:rPr>
            </w:pPr>
            <w:r w:rsidRPr="00E40024">
              <w:t>Score 10</w:t>
            </w:r>
          </w:p>
        </w:tc>
      </w:tr>
      <w:tr w:rsidR="00CA7DCF" w:rsidRPr="002A091D" w14:paraId="6933149D" w14:textId="77777777" w:rsidTr="00F82E25">
        <w:trPr>
          <w:trHeight w:val="300"/>
        </w:trPr>
        <w:tc>
          <w:tcPr>
            <w:tcW w:w="2880" w:type="dxa"/>
            <w:tcBorders>
              <w:top w:val="single" w:sz="4" w:space="0" w:color="auto"/>
            </w:tcBorders>
            <w:vAlign w:val="center"/>
          </w:tcPr>
          <w:p w14:paraId="585C446C" w14:textId="77777777" w:rsidR="0061664B" w:rsidRPr="00E40024" w:rsidRDefault="0061664B" w:rsidP="6B6B33D6">
            <w:pPr>
              <w:jc w:val="both"/>
              <w:rPr>
                <w:rFonts w:hint="eastAsia"/>
              </w:rPr>
            </w:pPr>
            <w:r w:rsidRPr="00E40024">
              <w:t>Fruit (servings/day)</w:t>
            </w:r>
          </w:p>
        </w:tc>
        <w:tc>
          <w:tcPr>
            <w:tcW w:w="2880" w:type="dxa"/>
            <w:tcBorders>
              <w:top w:val="single" w:sz="4" w:space="0" w:color="auto"/>
            </w:tcBorders>
            <w:vAlign w:val="center"/>
          </w:tcPr>
          <w:p w14:paraId="66B9B5A7" w14:textId="77777777" w:rsidR="0061664B" w:rsidRPr="00E40024" w:rsidRDefault="0061664B" w:rsidP="00D9095D">
            <w:pPr>
              <w:jc w:val="center"/>
              <w:rPr>
                <w:rFonts w:hint="eastAsia"/>
              </w:rPr>
            </w:pPr>
            <w:r w:rsidRPr="00E40024">
              <w:t>0.0</w:t>
            </w:r>
          </w:p>
        </w:tc>
        <w:tc>
          <w:tcPr>
            <w:tcW w:w="2880" w:type="dxa"/>
            <w:tcBorders>
              <w:top w:val="single" w:sz="4" w:space="0" w:color="auto"/>
            </w:tcBorders>
            <w:vAlign w:val="center"/>
          </w:tcPr>
          <w:p w14:paraId="7D7AC060" w14:textId="77777777" w:rsidR="0061664B" w:rsidRPr="00E40024" w:rsidRDefault="0061664B" w:rsidP="00D9095D">
            <w:pPr>
              <w:jc w:val="center"/>
              <w:rPr>
                <w:rFonts w:hint="eastAsia"/>
              </w:rPr>
            </w:pPr>
            <w:r w:rsidRPr="00E40024">
              <w:t>4.0</w:t>
            </w:r>
          </w:p>
        </w:tc>
      </w:tr>
      <w:tr w:rsidR="00CA7DCF" w:rsidRPr="002A091D" w14:paraId="6A074037" w14:textId="77777777" w:rsidTr="00F82E25">
        <w:trPr>
          <w:trHeight w:val="300"/>
        </w:trPr>
        <w:tc>
          <w:tcPr>
            <w:tcW w:w="2880" w:type="dxa"/>
            <w:vAlign w:val="center"/>
          </w:tcPr>
          <w:p w14:paraId="67AAC10C" w14:textId="77777777" w:rsidR="0061664B" w:rsidRPr="00E40024" w:rsidRDefault="0061664B" w:rsidP="6B6B33D6">
            <w:pPr>
              <w:jc w:val="both"/>
              <w:rPr>
                <w:rFonts w:hint="eastAsia"/>
              </w:rPr>
            </w:pPr>
            <w:r w:rsidRPr="00E40024">
              <w:t>Non-starchy vegetables (servings/day)</w:t>
            </w:r>
          </w:p>
        </w:tc>
        <w:tc>
          <w:tcPr>
            <w:tcW w:w="2880" w:type="dxa"/>
            <w:vAlign w:val="center"/>
          </w:tcPr>
          <w:p w14:paraId="1CBCC66C" w14:textId="77777777" w:rsidR="0061664B" w:rsidRPr="00E40024" w:rsidRDefault="0061664B" w:rsidP="00D9095D">
            <w:pPr>
              <w:jc w:val="center"/>
              <w:rPr>
                <w:rFonts w:hint="eastAsia"/>
              </w:rPr>
            </w:pPr>
            <w:r w:rsidRPr="00E40024">
              <w:t>0.0</w:t>
            </w:r>
          </w:p>
        </w:tc>
        <w:tc>
          <w:tcPr>
            <w:tcW w:w="2880" w:type="dxa"/>
            <w:vAlign w:val="center"/>
          </w:tcPr>
          <w:p w14:paraId="1114E7A4" w14:textId="77777777" w:rsidR="0061664B" w:rsidRPr="00E40024" w:rsidRDefault="0061664B" w:rsidP="00D9095D">
            <w:pPr>
              <w:jc w:val="center"/>
              <w:rPr>
                <w:rFonts w:hint="eastAsia"/>
              </w:rPr>
            </w:pPr>
            <w:r w:rsidRPr="00E40024">
              <w:t>5.0</w:t>
            </w:r>
          </w:p>
        </w:tc>
      </w:tr>
      <w:tr w:rsidR="00CA7DCF" w:rsidRPr="002A091D" w14:paraId="12D6CEF2" w14:textId="77777777" w:rsidTr="00F82E25">
        <w:trPr>
          <w:trHeight w:val="300"/>
        </w:trPr>
        <w:tc>
          <w:tcPr>
            <w:tcW w:w="2880" w:type="dxa"/>
            <w:vAlign w:val="center"/>
          </w:tcPr>
          <w:p w14:paraId="33375C51" w14:textId="77777777" w:rsidR="0061664B" w:rsidRPr="00E40024" w:rsidRDefault="0061664B" w:rsidP="6B6B33D6">
            <w:pPr>
              <w:jc w:val="both"/>
              <w:rPr>
                <w:rFonts w:hint="eastAsia"/>
              </w:rPr>
            </w:pPr>
            <w:r w:rsidRPr="00E40024">
              <w:t>Whole grains (women, g/day)</w:t>
            </w:r>
          </w:p>
        </w:tc>
        <w:tc>
          <w:tcPr>
            <w:tcW w:w="2880" w:type="dxa"/>
            <w:vAlign w:val="center"/>
          </w:tcPr>
          <w:p w14:paraId="6DDD5D33" w14:textId="77777777" w:rsidR="0061664B" w:rsidRPr="00E40024" w:rsidRDefault="0061664B" w:rsidP="00D9095D">
            <w:pPr>
              <w:jc w:val="center"/>
              <w:rPr>
                <w:rFonts w:hint="eastAsia"/>
              </w:rPr>
            </w:pPr>
            <w:r w:rsidRPr="00E40024">
              <w:t>0.0</w:t>
            </w:r>
          </w:p>
        </w:tc>
        <w:tc>
          <w:tcPr>
            <w:tcW w:w="2880" w:type="dxa"/>
            <w:vAlign w:val="center"/>
          </w:tcPr>
          <w:p w14:paraId="604D5C32" w14:textId="77777777" w:rsidR="0061664B" w:rsidRPr="00E40024" w:rsidRDefault="0061664B" w:rsidP="00D9095D">
            <w:pPr>
              <w:jc w:val="center"/>
              <w:rPr>
                <w:rFonts w:hint="eastAsia"/>
              </w:rPr>
            </w:pPr>
            <w:r w:rsidRPr="00E40024">
              <w:t>75.0</w:t>
            </w:r>
          </w:p>
        </w:tc>
      </w:tr>
      <w:tr w:rsidR="00CA7DCF" w:rsidRPr="002A091D" w14:paraId="4AE18E63" w14:textId="77777777" w:rsidTr="00F82E25">
        <w:trPr>
          <w:trHeight w:val="300"/>
        </w:trPr>
        <w:tc>
          <w:tcPr>
            <w:tcW w:w="2880" w:type="dxa"/>
            <w:vAlign w:val="center"/>
          </w:tcPr>
          <w:p w14:paraId="55CDD927" w14:textId="77777777" w:rsidR="0061664B" w:rsidRPr="00E40024" w:rsidRDefault="0061664B" w:rsidP="6B6B33D6">
            <w:pPr>
              <w:jc w:val="both"/>
              <w:rPr>
                <w:rFonts w:hint="eastAsia"/>
              </w:rPr>
            </w:pPr>
            <w:r w:rsidRPr="00E40024">
              <w:t>Whole grains (men, g/day)</w:t>
            </w:r>
          </w:p>
        </w:tc>
        <w:tc>
          <w:tcPr>
            <w:tcW w:w="2880" w:type="dxa"/>
            <w:vAlign w:val="center"/>
          </w:tcPr>
          <w:p w14:paraId="551092B2" w14:textId="77777777" w:rsidR="0061664B" w:rsidRPr="00E40024" w:rsidRDefault="0061664B" w:rsidP="00D9095D">
            <w:pPr>
              <w:jc w:val="center"/>
              <w:rPr>
                <w:rFonts w:hint="eastAsia"/>
              </w:rPr>
            </w:pPr>
            <w:r w:rsidRPr="00E40024">
              <w:t>0.0</w:t>
            </w:r>
          </w:p>
        </w:tc>
        <w:tc>
          <w:tcPr>
            <w:tcW w:w="2880" w:type="dxa"/>
            <w:vAlign w:val="center"/>
          </w:tcPr>
          <w:p w14:paraId="77D89538" w14:textId="77777777" w:rsidR="0061664B" w:rsidRPr="00E40024" w:rsidRDefault="0061664B" w:rsidP="00D9095D">
            <w:pPr>
              <w:jc w:val="center"/>
              <w:rPr>
                <w:rFonts w:hint="eastAsia"/>
              </w:rPr>
            </w:pPr>
            <w:r w:rsidRPr="00E40024">
              <w:t>90.0</w:t>
            </w:r>
          </w:p>
        </w:tc>
      </w:tr>
      <w:tr w:rsidR="00CA7DCF" w:rsidRPr="002A091D" w14:paraId="281D3FBE" w14:textId="77777777" w:rsidTr="00F82E25">
        <w:trPr>
          <w:trHeight w:val="300"/>
        </w:trPr>
        <w:tc>
          <w:tcPr>
            <w:tcW w:w="2880" w:type="dxa"/>
            <w:vAlign w:val="center"/>
          </w:tcPr>
          <w:p w14:paraId="4A204E58" w14:textId="77777777" w:rsidR="0061664B" w:rsidRPr="00E40024" w:rsidRDefault="0061664B" w:rsidP="6B6B33D6">
            <w:pPr>
              <w:jc w:val="both"/>
              <w:rPr>
                <w:rFonts w:hint="eastAsia"/>
              </w:rPr>
            </w:pPr>
            <w:r w:rsidRPr="00E40024">
              <w:t>Sugar-sweetened beverages and fruit juice (servings/day)</w:t>
            </w:r>
          </w:p>
        </w:tc>
        <w:tc>
          <w:tcPr>
            <w:tcW w:w="2880" w:type="dxa"/>
            <w:vAlign w:val="center"/>
          </w:tcPr>
          <w:p w14:paraId="546A72C4" w14:textId="77777777" w:rsidR="0061664B" w:rsidRPr="00E40024" w:rsidRDefault="0061664B" w:rsidP="00D9095D">
            <w:pPr>
              <w:jc w:val="center"/>
              <w:rPr>
                <w:rFonts w:hint="eastAsia"/>
              </w:rPr>
            </w:pPr>
            <w:r w:rsidRPr="00E40024">
              <w:t>1.0</w:t>
            </w:r>
          </w:p>
        </w:tc>
        <w:tc>
          <w:tcPr>
            <w:tcW w:w="2880" w:type="dxa"/>
            <w:vAlign w:val="center"/>
          </w:tcPr>
          <w:p w14:paraId="12C19928" w14:textId="77777777" w:rsidR="0061664B" w:rsidRPr="00E40024" w:rsidRDefault="0061664B" w:rsidP="00D9095D">
            <w:pPr>
              <w:jc w:val="center"/>
              <w:rPr>
                <w:rFonts w:hint="eastAsia"/>
              </w:rPr>
            </w:pPr>
            <w:r w:rsidRPr="00E40024">
              <w:t>0.0</w:t>
            </w:r>
          </w:p>
        </w:tc>
      </w:tr>
      <w:tr w:rsidR="00CA7DCF" w:rsidRPr="00CA7DCF" w14:paraId="361B7A8A" w14:textId="77777777" w:rsidTr="00F82E25">
        <w:trPr>
          <w:trHeight w:val="300"/>
        </w:trPr>
        <w:tc>
          <w:tcPr>
            <w:tcW w:w="2880" w:type="dxa"/>
            <w:vAlign w:val="center"/>
          </w:tcPr>
          <w:p w14:paraId="052315F2" w14:textId="77777777" w:rsidR="0061664B" w:rsidRPr="00E40024" w:rsidRDefault="0061664B" w:rsidP="6B6B33D6">
            <w:pPr>
              <w:jc w:val="both"/>
              <w:rPr>
                <w:rFonts w:hint="eastAsia"/>
              </w:rPr>
            </w:pPr>
            <w:r w:rsidRPr="00E40024">
              <w:t>Legumes and nuts (servings/day)</w:t>
            </w:r>
          </w:p>
        </w:tc>
        <w:tc>
          <w:tcPr>
            <w:tcW w:w="2880" w:type="dxa"/>
            <w:vAlign w:val="center"/>
          </w:tcPr>
          <w:p w14:paraId="2E0DA80D" w14:textId="77777777" w:rsidR="0061664B" w:rsidRPr="00CA7DCF" w:rsidRDefault="0061664B" w:rsidP="00D9095D">
            <w:pPr>
              <w:jc w:val="center"/>
              <w:rPr>
                <w:rFonts w:hint="eastAsia"/>
              </w:rPr>
            </w:pPr>
            <w:r w:rsidRPr="00E40024">
              <w:t>0</w:t>
            </w:r>
            <w:r w:rsidRPr="00CA7DCF">
              <w:t>.0</w:t>
            </w:r>
          </w:p>
        </w:tc>
        <w:tc>
          <w:tcPr>
            <w:tcW w:w="2880" w:type="dxa"/>
            <w:vAlign w:val="center"/>
          </w:tcPr>
          <w:p w14:paraId="5CF4CAF8" w14:textId="77777777" w:rsidR="0061664B" w:rsidRPr="00CA7DCF" w:rsidRDefault="0061664B" w:rsidP="00D9095D">
            <w:pPr>
              <w:jc w:val="center"/>
              <w:rPr>
                <w:rFonts w:hint="eastAsia"/>
              </w:rPr>
            </w:pPr>
            <w:r w:rsidRPr="00CA7DCF">
              <w:t>1.0</w:t>
            </w:r>
          </w:p>
        </w:tc>
      </w:tr>
      <w:tr w:rsidR="00CA7DCF" w:rsidRPr="00CA7DCF" w14:paraId="0EDD0A4C" w14:textId="77777777" w:rsidTr="00F82E25">
        <w:trPr>
          <w:trHeight w:val="300"/>
        </w:trPr>
        <w:tc>
          <w:tcPr>
            <w:tcW w:w="2880" w:type="dxa"/>
            <w:vAlign w:val="center"/>
          </w:tcPr>
          <w:p w14:paraId="5738CFEE" w14:textId="77777777" w:rsidR="0061664B" w:rsidRPr="00CA7DCF" w:rsidRDefault="0061664B" w:rsidP="6B6B33D6">
            <w:pPr>
              <w:jc w:val="both"/>
              <w:rPr>
                <w:rFonts w:hint="eastAsia"/>
              </w:rPr>
            </w:pPr>
            <w:r w:rsidRPr="00CA7DCF">
              <w:t>Unprocessed red meat and processed meat (servings/day)</w:t>
            </w:r>
          </w:p>
        </w:tc>
        <w:tc>
          <w:tcPr>
            <w:tcW w:w="2880" w:type="dxa"/>
            <w:vAlign w:val="center"/>
          </w:tcPr>
          <w:p w14:paraId="398DC876" w14:textId="77777777" w:rsidR="0061664B" w:rsidRPr="00CA7DCF" w:rsidRDefault="0061664B" w:rsidP="00D9095D">
            <w:pPr>
              <w:jc w:val="center"/>
              <w:rPr>
                <w:rFonts w:hint="eastAsia"/>
              </w:rPr>
            </w:pPr>
            <w:r w:rsidRPr="00CA7DCF">
              <w:t>1.5</w:t>
            </w:r>
          </w:p>
        </w:tc>
        <w:tc>
          <w:tcPr>
            <w:tcW w:w="2880" w:type="dxa"/>
            <w:vAlign w:val="center"/>
          </w:tcPr>
          <w:p w14:paraId="0F501908" w14:textId="77777777" w:rsidR="0061664B" w:rsidRPr="00CA7DCF" w:rsidRDefault="0061664B" w:rsidP="00D9095D">
            <w:pPr>
              <w:jc w:val="center"/>
              <w:rPr>
                <w:rFonts w:hint="eastAsia"/>
              </w:rPr>
            </w:pPr>
            <w:r w:rsidRPr="00CA7DCF">
              <w:t>0.0</w:t>
            </w:r>
          </w:p>
        </w:tc>
      </w:tr>
      <w:tr w:rsidR="00CA7DCF" w:rsidRPr="00CA7DCF" w14:paraId="20296223" w14:textId="77777777" w:rsidTr="00F82E25">
        <w:trPr>
          <w:trHeight w:val="300"/>
        </w:trPr>
        <w:tc>
          <w:tcPr>
            <w:tcW w:w="2880" w:type="dxa"/>
            <w:vAlign w:val="center"/>
          </w:tcPr>
          <w:p w14:paraId="50E0B689" w14:textId="77777777" w:rsidR="0061664B" w:rsidRPr="00CA7DCF" w:rsidRDefault="0061664B" w:rsidP="6B6B33D6">
            <w:pPr>
              <w:jc w:val="both"/>
              <w:rPr>
                <w:rFonts w:hint="eastAsia"/>
              </w:rPr>
            </w:pPr>
            <w:r w:rsidRPr="00CA7DCF">
              <w:t>Seafood omega-3 fat (mg/day)</w:t>
            </w:r>
          </w:p>
        </w:tc>
        <w:tc>
          <w:tcPr>
            <w:tcW w:w="2880" w:type="dxa"/>
            <w:vAlign w:val="center"/>
          </w:tcPr>
          <w:p w14:paraId="57C7970F" w14:textId="77777777" w:rsidR="0061664B" w:rsidRPr="00CA7DCF" w:rsidRDefault="0061664B" w:rsidP="00D9095D">
            <w:pPr>
              <w:jc w:val="center"/>
              <w:rPr>
                <w:rFonts w:hint="eastAsia"/>
              </w:rPr>
            </w:pPr>
            <w:r w:rsidRPr="00CA7DCF">
              <w:t>0.0</w:t>
            </w:r>
          </w:p>
        </w:tc>
        <w:tc>
          <w:tcPr>
            <w:tcW w:w="2880" w:type="dxa"/>
            <w:vAlign w:val="center"/>
          </w:tcPr>
          <w:p w14:paraId="1EFB0CDE" w14:textId="77777777" w:rsidR="0061664B" w:rsidRPr="00CA7DCF" w:rsidRDefault="0061664B" w:rsidP="00D9095D">
            <w:pPr>
              <w:jc w:val="center"/>
              <w:rPr>
                <w:rFonts w:hint="eastAsia"/>
              </w:rPr>
            </w:pPr>
            <w:r w:rsidRPr="00CA7DCF">
              <w:t>250.0</w:t>
            </w:r>
          </w:p>
        </w:tc>
      </w:tr>
      <w:tr w:rsidR="00CA7DCF" w:rsidRPr="00CA7DCF" w14:paraId="6E682ED3" w14:textId="77777777" w:rsidTr="00F82E25">
        <w:trPr>
          <w:trHeight w:val="300"/>
        </w:trPr>
        <w:tc>
          <w:tcPr>
            <w:tcW w:w="2880" w:type="dxa"/>
            <w:vAlign w:val="center"/>
          </w:tcPr>
          <w:p w14:paraId="6EA6A91C" w14:textId="77777777" w:rsidR="0061664B" w:rsidRPr="00CA7DCF" w:rsidRDefault="0061664B" w:rsidP="6B6B33D6">
            <w:pPr>
              <w:jc w:val="both"/>
              <w:rPr>
                <w:rFonts w:hint="eastAsia"/>
              </w:rPr>
            </w:pPr>
            <w:r w:rsidRPr="00CA7DCF">
              <w:t>PUFAs (% energy/day)</w:t>
            </w:r>
          </w:p>
        </w:tc>
        <w:tc>
          <w:tcPr>
            <w:tcW w:w="2880" w:type="dxa"/>
            <w:vAlign w:val="center"/>
          </w:tcPr>
          <w:p w14:paraId="0AB2938E" w14:textId="77777777" w:rsidR="0061664B" w:rsidRPr="00CA7DCF" w:rsidRDefault="0061664B" w:rsidP="00D9095D">
            <w:pPr>
              <w:jc w:val="center"/>
              <w:rPr>
                <w:rFonts w:hint="eastAsia"/>
              </w:rPr>
            </w:pPr>
            <w:r w:rsidRPr="00CA7DCF">
              <w:t>2.0</w:t>
            </w:r>
          </w:p>
        </w:tc>
        <w:tc>
          <w:tcPr>
            <w:tcW w:w="2880" w:type="dxa"/>
            <w:vAlign w:val="center"/>
          </w:tcPr>
          <w:p w14:paraId="7FD37624" w14:textId="77777777" w:rsidR="0061664B" w:rsidRPr="00CA7DCF" w:rsidRDefault="0061664B" w:rsidP="00D9095D">
            <w:pPr>
              <w:jc w:val="center"/>
              <w:rPr>
                <w:rFonts w:hint="eastAsia"/>
              </w:rPr>
            </w:pPr>
            <w:r w:rsidRPr="00CA7DCF">
              <w:t>10.0</w:t>
            </w:r>
          </w:p>
        </w:tc>
      </w:tr>
      <w:tr w:rsidR="00CA7DCF" w:rsidRPr="00CA7DCF" w14:paraId="66DE930A" w14:textId="77777777" w:rsidTr="00F82E25">
        <w:trPr>
          <w:trHeight w:val="300"/>
        </w:trPr>
        <w:tc>
          <w:tcPr>
            <w:tcW w:w="2880" w:type="dxa"/>
            <w:vAlign w:val="center"/>
          </w:tcPr>
          <w:p w14:paraId="2DD93649" w14:textId="77777777" w:rsidR="0061664B" w:rsidRPr="00CA7DCF" w:rsidRDefault="0061664B" w:rsidP="6B6B33D6">
            <w:pPr>
              <w:jc w:val="both"/>
              <w:rPr>
                <w:rFonts w:hint="eastAsia"/>
              </w:rPr>
            </w:pPr>
            <w:r w:rsidRPr="00CA7DCF">
              <w:t>Sodium* (mg/day)</w:t>
            </w:r>
          </w:p>
        </w:tc>
        <w:tc>
          <w:tcPr>
            <w:tcW w:w="2880" w:type="dxa"/>
            <w:vAlign w:val="center"/>
          </w:tcPr>
          <w:p w14:paraId="01045C13" w14:textId="77777777" w:rsidR="0061664B" w:rsidRPr="00CA7DCF" w:rsidRDefault="0061664B" w:rsidP="00D9095D">
            <w:pPr>
              <w:jc w:val="center"/>
              <w:rPr>
                <w:rFonts w:hint="eastAsia"/>
              </w:rPr>
            </w:pPr>
            <w:r w:rsidRPr="00CA7DCF">
              <w:t>10292.65</w:t>
            </w:r>
          </w:p>
        </w:tc>
        <w:tc>
          <w:tcPr>
            <w:tcW w:w="2880" w:type="dxa"/>
            <w:vAlign w:val="center"/>
          </w:tcPr>
          <w:p w14:paraId="1F4CF84E" w14:textId="77777777" w:rsidR="0061664B" w:rsidRPr="00CA7DCF" w:rsidRDefault="0061664B" w:rsidP="00D9095D">
            <w:pPr>
              <w:jc w:val="center"/>
              <w:rPr>
                <w:rFonts w:hint="eastAsia"/>
              </w:rPr>
            </w:pPr>
            <w:r w:rsidRPr="00CA7DCF">
              <w:t>1657.16</w:t>
            </w:r>
          </w:p>
        </w:tc>
      </w:tr>
    </w:tbl>
    <w:p w14:paraId="03BBCFA6" w14:textId="77777777" w:rsidR="0061664B" w:rsidRPr="00CA7DCF" w:rsidRDefault="0061664B" w:rsidP="0061664B">
      <w:pPr>
        <w:spacing w:after="0" w:line="240" w:lineRule="auto"/>
        <w:jc w:val="both"/>
        <w:rPr>
          <w:rFonts w:hint="eastAsia"/>
        </w:rPr>
      </w:pPr>
      <w:r w:rsidRPr="00CA7DCF">
        <w:t>*Sodium values are based on dietary intake thresholds.</w:t>
      </w:r>
    </w:p>
    <w:p w14:paraId="68AE5009" w14:textId="77777777" w:rsidR="0061664B" w:rsidRPr="00CA7DCF" w:rsidRDefault="0061664B" w:rsidP="006A563F">
      <w:pPr>
        <w:jc w:val="both"/>
        <w:rPr>
          <w:rFonts w:hint="eastAsia"/>
        </w:rPr>
      </w:pPr>
    </w:p>
    <w:p w14:paraId="609D3C99" w14:textId="77777777" w:rsidR="00E303FF" w:rsidRPr="00CA7DCF" w:rsidRDefault="00E303FF" w:rsidP="6B6B33D6">
      <w:pPr>
        <w:pStyle w:val="Heading1"/>
        <w:jc w:val="both"/>
        <w:rPr>
          <w:b/>
          <w:bCs/>
          <w:color w:val="auto"/>
          <w:sz w:val="32"/>
          <w:szCs w:val="32"/>
        </w:rPr>
      </w:pPr>
      <w:bookmarkStart w:id="8" w:name="_Toc204093435"/>
      <w:r w:rsidRPr="00CA7DCF">
        <w:rPr>
          <w:b/>
          <w:bCs/>
          <w:color w:val="auto"/>
          <w:sz w:val="32"/>
          <w:szCs w:val="32"/>
        </w:rPr>
        <w:t xml:space="preserve">Supplementary Table </w:t>
      </w:r>
      <w:r w:rsidRPr="00CA7DCF">
        <w:rPr>
          <w:rFonts w:hint="eastAsia"/>
          <w:b/>
          <w:bCs/>
          <w:color w:val="auto"/>
          <w:sz w:val="32"/>
          <w:szCs w:val="32"/>
        </w:rPr>
        <w:t>3</w:t>
      </w:r>
      <w:r w:rsidRPr="00CA7DCF">
        <w:rPr>
          <w:b/>
          <w:bCs/>
          <w:color w:val="auto"/>
          <w:sz w:val="32"/>
          <w:szCs w:val="32"/>
        </w:rPr>
        <w:t>. Mapping of food categories between FABIO and GDD classifications</w:t>
      </w:r>
      <w:bookmarkEnd w:id="8"/>
      <w:r w:rsidRPr="00CA7DCF">
        <w:rPr>
          <w:b/>
          <w:bCs/>
          <w:color w:val="auto"/>
          <w:sz w:val="32"/>
          <w:szCs w:val="32"/>
        </w:rPr>
        <w:t xml:space="preserve">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CA7DCF" w:rsidRPr="00CA7DCF" w14:paraId="480718F4" w14:textId="77777777" w:rsidTr="00F82E25">
        <w:tc>
          <w:tcPr>
            <w:tcW w:w="4508" w:type="dxa"/>
            <w:tcBorders>
              <w:top w:val="single" w:sz="4" w:space="0" w:color="auto"/>
              <w:bottom w:val="single" w:sz="4" w:space="0" w:color="auto"/>
            </w:tcBorders>
            <w:vAlign w:val="center"/>
          </w:tcPr>
          <w:p w14:paraId="0B2A95F9" w14:textId="77777777" w:rsidR="00E303FF" w:rsidRPr="00CA7DCF" w:rsidRDefault="00E303FF" w:rsidP="00EE2F90">
            <w:pPr>
              <w:jc w:val="both"/>
              <w:rPr>
                <w:rFonts w:hint="eastAsia"/>
              </w:rPr>
            </w:pPr>
            <w:r w:rsidRPr="00CA7DCF">
              <w:t>GDD food group</w:t>
            </w:r>
          </w:p>
        </w:tc>
        <w:tc>
          <w:tcPr>
            <w:tcW w:w="4508" w:type="dxa"/>
            <w:tcBorders>
              <w:top w:val="single" w:sz="4" w:space="0" w:color="auto"/>
              <w:bottom w:val="single" w:sz="4" w:space="0" w:color="auto"/>
            </w:tcBorders>
            <w:vAlign w:val="center"/>
          </w:tcPr>
          <w:p w14:paraId="7BC82381" w14:textId="77777777" w:rsidR="00E303FF" w:rsidRPr="00CA7DCF" w:rsidRDefault="00E303FF" w:rsidP="00EE2F90">
            <w:pPr>
              <w:jc w:val="both"/>
              <w:rPr>
                <w:rFonts w:hint="eastAsia"/>
              </w:rPr>
            </w:pPr>
            <w:r w:rsidRPr="00CA7DCF">
              <w:t>Corresponding FABIO food commodity</w:t>
            </w:r>
          </w:p>
        </w:tc>
      </w:tr>
      <w:tr w:rsidR="00CA7DCF" w:rsidRPr="00CA7DCF" w14:paraId="234D0CB3" w14:textId="77777777" w:rsidTr="00F82E25">
        <w:tc>
          <w:tcPr>
            <w:tcW w:w="4508" w:type="dxa"/>
            <w:tcBorders>
              <w:top w:val="single" w:sz="4" w:space="0" w:color="auto"/>
            </w:tcBorders>
            <w:vAlign w:val="center"/>
          </w:tcPr>
          <w:p w14:paraId="535523AD" w14:textId="77777777" w:rsidR="00E303FF" w:rsidRPr="00CA7DCF" w:rsidRDefault="00E303FF" w:rsidP="00EE2F90">
            <w:pPr>
              <w:jc w:val="both"/>
              <w:rPr>
                <w:rFonts w:hint="eastAsia"/>
              </w:rPr>
            </w:pPr>
            <w:r w:rsidRPr="00CA7DCF">
              <w:t>Fruits</w:t>
            </w:r>
          </w:p>
        </w:tc>
        <w:tc>
          <w:tcPr>
            <w:tcW w:w="4508" w:type="dxa"/>
            <w:tcBorders>
              <w:top w:val="single" w:sz="4" w:space="0" w:color="auto"/>
            </w:tcBorders>
            <w:vAlign w:val="center"/>
          </w:tcPr>
          <w:p w14:paraId="0446984A" w14:textId="77777777" w:rsidR="00E303FF" w:rsidRPr="00CA7DCF" w:rsidRDefault="00E303FF" w:rsidP="00EE2F90">
            <w:pPr>
              <w:jc w:val="both"/>
              <w:rPr>
                <w:rFonts w:hint="eastAsia"/>
                <w:lang w:val="en-US"/>
              </w:rPr>
            </w:pPr>
            <w:r w:rsidRPr="00CA7DCF">
              <w:t xml:space="preserve">Coconuts - </w:t>
            </w:r>
            <w:proofErr w:type="spellStart"/>
            <w:r w:rsidRPr="00CA7DCF">
              <w:t>Incl</w:t>
            </w:r>
            <w:proofErr w:type="spellEnd"/>
            <w:r w:rsidRPr="00CA7DCF">
              <w:t xml:space="preserve"> Copra; Oranges, </w:t>
            </w:r>
            <w:proofErr w:type="spellStart"/>
            <w:r w:rsidRPr="00CA7DCF">
              <w:t>Mandarines</w:t>
            </w:r>
            <w:proofErr w:type="spellEnd"/>
            <w:r w:rsidRPr="00CA7DCF">
              <w:t>; Lemons, Limes and products; Grapefruit and products; Citrus, Other; Bananas; Apples and products; Pineapples and products; Dates; Grapes and products (</w:t>
            </w:r>
            <w:proofErr w:type="spellStart"/>
            <w:r w:rsidRPr="00CA7DCF">
              <w:t>excl</w:t>
            </w:r>
            <w:proofErr w:type="spellEnd"/>
            <w:r w:rsidRPr="00CA7DCF">
              <w:t xml:space="preserve"> wine); Fruits, Other</w:t>
            </w:r>
          </w:p>
        </w:tc>
      </w:tr>
      <w:tr w:rsidR="00CA7DCF" w:rsidRPr="00CA7DCF" w14:paraId="397D6361" w14:textId="77777777" w:rsidTr="00F82E25">
        <w:tc>
          <w:tcPr>
            <w:tcW w:w="4508" w:type="dxa"/>
            <w:vAlign w:val="center"/>
          </w:tcPr>
          <w:p w14:paraId="5DED033F" w14:textId="77777777" w:rsidR="00E303FF" w:rsidRPr="00CA7DCF" w:rsidRDefault="00E303FF" w:rsidP="00EE2F90">
            <w:pPr>
              <w:jc w:val="both"/>
              <w:rPr>
                <w:rFonts w:hint="eastAsia"/>
              </w:rPr>
            </w:pPr>
            <w:r w:rsidRPr="00CA7DCF">
              <w:t>Non-starchy vegetables</w:t>
            </w:r>
          </w:p>
        </w:tc>
        <w:tc>
          <w:tcPr>
            <w:tcW w:w="4508" w:type="dxa"/>
            <w:vAlign w:val="center"/>
          </w:tcPr>
          <w:p w14:paraId="68A26804" w14:textId="77777777" w:rsidR="00E303FF" w:rsidRPr="00CA7DCF" w:rsidRDefault="00E303FF" w:rsidP="00EE2F90">
            <w:pPr>
              <w:jc w:val="both"/>
              <w:rPr>
                <w:rFonts w:hint="eastAsia"/>
              </w:rPr>
            </w:pPr>
            <w:r w:rsidRPr="00CA7DCF">
              <w:t>Olives (including preserved); Tomatoes and products; Onions; Vegetables, Other; Pepper; Pimento</w:t>
            </w:r>
          </w:p>
        </w:tc>
      </w:tr>
      <w:tr w:rsidR="00CA7DCF" w:rsidRPr="00CA7DCF" w14:paraId="133E988C" w14:textId="77777777" w:rsidTr="00F82E25">
        <w:tc>
          <w:tcPr>
            <w:tcW w:w="4508" w:type="dxa"/>
            <w:vAlign w:val="center"/>
          </w:tcPr>
          <w:p w14:paraId="1A5A58BB" w14:textId="77777777" w:rsidR="00E303FF" w:rsidRPr="00CA7DCF" w:rsidRDefault="00E303FF" w:rsidP="00EE2F90">
            <w:pPr>
              <w:jc w:val="both"/>
              <w:rPr>
                <w:rFonts w:hint="eastAsia"/>
              </w:rPr>
            </w:pPr>
            <w:r w:rsidRPr="00CA7DCF">
              <w:t>Potatoes</w:t>
            </w:r>
          </w:p>
        </w:tc>
        <w:tc>
          <w:tcPr>
            <w:tcW w:w="4508" w:type="dxa"/>
            <w:vAlign w:val="center"/>
          </w:tcPr>
          <w:p w14:paraId="170AC545" w14:textId="77777777" w:rsidR="00E303FF" w:rsidRPr="00CA7DCF" w:rsidRDefault="00E303FF" w:rsidP="00EE2F90">
            <w:pPr>
              <w:jc w:val="both"/>
              <w:rPr>
                <w:rFonts w:hint="eastAsia"/>
              </w:rPr>
            </w:pPr>
            <w:r w:rsidRPr="00CA7DCF">
              <w:t>Potatoes and products; Sweet potatoes</w:t>
            </w:r>
          </w:p>
        </w:tc>
      </w:tr>
      <w:tr w:rsidR="00CA7DCF" w:rsidRPr="00CA7DCF" w14:paraId="538F5534" w14:textId="77777777" w:rsidTr="00F82E25">
        <w:tc>
          <w:tcPr>
            <w:tcW w:w="4508" w:type="dxa"/>
            <w:vAlign w:val="center"/>
          </w:tcPr>
          <w:p w14:paraId="636EFA57" w14:textId="77777777" w:rsidR="00E303FF" w:rsidRPr="00CA7DCF" w:rsidRDefault="00E303FF" w:rsidP="00EE2F90">
            <w:pPr>
              <w:jc w:val="both"/>
              <w:rPr>
                <w:rFonts w:hint="eastAsia"/>
              </w:rPr>
            </w:pPr>
            <w:r w:rsidRPr="00CA7DCF">
              <w:t>Other starchy vegetables</w:t>
            </w:r>
          </w:p>
        </w:tc>
        <w:tc>
          <w:tcPr>
            <w:tcW w:w="4508" w:type="dxa"/>
            <w:vAlign w:val="center"/>
          </w:tcPr>
          <w:p w14:paraId="3386C063" w14:textId="77777777" w:rsidR="00E303FF" w:rsidRPr="00CA7DCF" w:rsidRDefault="00E303FF" w:rsidP="00EE2F90">
            <w:pPr>
              <w:jc w:val="both"/>
              <w:rPr>
                <w:rFonts w:hint="eastAsia"/>
              </w:rPr>
            </w:pPr>
            <w:r w:rsidRPr="00CA7DCF">
              <w:t>Maize and products; Cassava and products; Roots, Other; Yams; Plantains</w:t>
            </w:r>
          </w:p>
        </w:tc>
      </w:tr>
      <w:tr w:rsidR="00CA7DCF" w:rsidRPr="00CA7DCF" w14:paraId="434A22A4" w14:textId="77777777" w:rsidTr="00F82E25">
        <w:tc>
          <w:tcPr>
            <w:tcW w:w="4508" w:type="dxa"/>
            <w:vAlign w:val="center"/>
          </w:tcPr>
          <w:p w14:paraId="3CC4916B" w14:textId="77777777" w:rsidR="00E303FF" w:rsidRPr="00CA7DCF" w:rsidRDefault="00E303FF" w:rsidP="00EE2F90">
            <w:pPr>
              <w:jc w:val="both"/>
              <w:rPr>
                <w:rFonts w:hint="eastAsia"/>
              </w:rPr>
            </w:pPr>
            <w:r w:rsidRPr="00CA7DCF">
              <w:t>Beans and legumes</w:t>
            </w:r>
          </w:p>
        </w:tc>
        <w:tc>
          <w:tcPr>
            <w:tcW w:w="4508" w:type="dxa"/>
            <w:vAlign w:val="center"/>
          </w:tcPr>
          <w:p w14:paraId="5C0B946E" w14:textId="77777777" w:rsidR="00E303FF" w:rsidRPr="00CA7DCF" w:rsidRDefault="00E303FF" w:rsidP="00EE2F90">
            <w:pPr>
              <w:jc w:val="both"/>
              <w:rPr>
                <w:rFonts w:hint="eastAsia"/>
              </w:rPr>
            </w:pPr>
            <w:r w:rsidRPr="00CA7DCF">
              <w:t>Beans; Peas; Pulses, Other and products; Soyabeans</w:t>
            </w:r>
          </w:p>
        </w:tc>
      </w:tr>
      <w:tr w:rsidR="00CA7DCF" w:rsidRPr="00CA7DCF" w14:paraId="6FEBDC87" w14:textId="77777777" w:rsidTr="00F82E25">
        <w:tc>
          <w:tcPr>
            <w:tcW w:w="4508" w:type="dxa"/>
            <w:vAlign w:val="center"/>
          </w:tcPr>
          <w:p w14:paraId="0E1FCFE3" w14:textId="77777777" w:rsidR="00E303FF" w:rsidRPr="00CA7DCF" w:rsidRDefault="00E303FF" w:rsidP="00EE2F90">
            <w:pPr>
              <w:jc w:val="both"/>
              <w:rPr>
                <w:rFonts w:hint="eastAsia"/>
              </w:rPr>
            </w:pPr>
            <w:r w:rsidRPr="00CA7DCF">
              <w:t>Nuts and seeds</w:t>
            </w:r>
          </w:p>
        </w:tc>
        <w:tc>
          <w:tcPr>
            <w:tcW w:w="4508" w:type="dxa"/>
            <w:vAlign w:val="center"/>
          </w:tcPr>
          <w:p w14:paraId="7576F6ED" w14:textId="77777777" w:rsidR="00E303FF" w:rsidRPr="00CA7DCF" w:rsidRDefault="00E303FF" w:rsidP="00EE2F90">
            <w:pPr>
              <w:jc w:val="both"/>
              <w:rPr>
                <w:rFonts w:hint="eastAsia"/>
              </w:rPr>
            </w:pPr>
            <w:r w:rsidRPr="00CA7DCF">
              <w:t>Nuts and products; Groundnuts; Sunflower seed; Rape and Mustardseed; Sesame seed</w:t>
            </w:r>
          </w:p>
        </w:tc>
      </w:tr>
      <w:tr w:rsidR="00CA7DCF" w:rsidRPr="00CA7DCF" w14:paraId="4EA76324" w14:textId="77777777" w:rsidTr="00F82E25">
        <w:tc>
          <w:tcPr>
            <w:tcW w:w="4508" w:type="dxa"/>
            <w:vAlign w:val="center"/>
          </w:tcPr>
          <w:p w14:paraId="46781FC1" w14:textId="77777777" w:rsidR="00E303FF" w:rsidRPr="00CA7DCF" w:rsidRDefault="00E303FF" w:rsidP="00EE2F90">
            <w:pPr>
              <w:jc w:val="both"/>
              <w:rPr>
                <w:rFonts w:hint="eastAsia"/>
              </w:rPr>
            </w:pPr>
            <w:r w:rsidRPr="00CA7DCF">
              <w:lastRenderedPageBreak/>
              <w:t>Refined grains</w:t>
            </w:r>
          </w:p>
        </w:tc>
        <w:tc>
          <w:tcPr>
            <w:tcW w:w="4508" w:type="dxa"/>
            <w:vAlign w:val="center"/>
          </w:tcPr>
          <w:p w14:paraId="0966FA92" w14:textId="77777777" w:rsidR="00E303FF" w:rsidRPr="00CA7DCF" w:rsidRDefault="00E303FF" w:rsidP="00EE2F90">
            <w:pPr>
              <w:jc w:val="both"/>
              <w:rPr>
                <w:rFonts w:hint="eastAsia"/>
              </w:rPr>
            </w:pPr>
            <w:r w:rsidRPr="00CA7DCF">
              <w:t>Rice and products; Wheat and products; Barley and products; Rye and products; Oats; Millet and products; Sorghum and products; Cereals, Other</w:t>
            </w:r>
          </w:p>
        </w:tc>
      </w:tr>
      <w:tr w:rsidR="00CA7DCF" w:rsidRPr="00CA7DCF" w14:paraId="41EB430E" w14:textId="77777777" w:rsidTr="00F82E25">
        <w:tc>
          <w:tcPr>
            <w:tcW w:w="4508" w:type="dxa"/>
            <w:vAlign w:val="center"/>
          </w:tcPr>
          <w:p w14:paraId="06934D73" w14:textId="77777777" w:rsidR="00E303FF" w:rsidRPr="00CA7DCF" w:rsidRDefault="00E303FF" w:rsidP="00EE2F90">
            <w:pPr>
              <w:jc w:val="both"/>
              <w:rPr>
                <w:rFonts w:hint="eastAsia"/>
              </w:rPr>
            </w:pPr>
            <w:r w:rsidRPr="00CA7DCF">
              <w:t>Whole grains</w:t>
            </w:r>
          </w:p>
        </w:tc>
        <w:tc>
          <w:tcPr>
            <w:tcW w:w="4508" w:type="dxa"/>
            <w:vAlign w:val="center"/>
          </w:tcPr>
          <w:p w14:paraId="5C0EE16F" w14:textId="77777777" w:rsidR="00E303FF" w:rsidRPr="00CA7DCF" w:rsidRDefault="00E303FF" w:rsidP="00EE2F90">
            <w:pPr>
              <w:jc w:val="both"/>
              <w:rPr>
                <w:rFonts w:hint="eastAsia"/>
              </w:rPr>
            </w:pPr>
            <w:r w:rsidRPr="00CA7DCF">
              <w:t>Rice and products; Wheat and products; Barley and products; Rye and products; Oats; Millet and products; Sorghum and products; Cereals, Other</w:t>
            </w:r>
          </w:p>
        </w:tc>
      </w:tr>
      <w:tr w:rsidR="00CA7DCF" w:rsidRPr="00CA7DCF" w14:paraId="2D658443" w14:textId="77777777" w:rsidTr="00F82E25">
        <w:tc>
          <w:tcPr>
            <w:tcW w:w="4508" w:type="dxa"/>
            <w:vAlign w:val="center"/>
          </w:tcPr>
          <w:p w14:paraId="797840DB" w14:textId="2BE00AC4" w:rsidR="00E303FF" w:rsidRPr="00CA7DCF" w:rsidRDefault="00ED15A6" w:rsidP="00EE2F90">
            <w:pPr>
              <w:jc w:val="both"/>
              <w:rPr>
                <w:rFonts w:hint="eastAsia"/>
              </w:rPr>
            </w:pPr>
            <w:r>
              <w:rPr>
                <w:rFonts w:hint="eastAsia"/>
              </w:rPr>
              <w:t>P</w:t>
            </w:r>
            <w:r w:rsidR="00E303FF" w:rsidRPr="00CA7DCF">
              <w:t>rocessed meats</w:t>
            </w:r>
          </w:p>
        </w:tc>
        <w:tc>
          <w:tcPr>
            <w:tcW w:w="4508" w:type="dxa"/>
            <w:vAlign w:val="center"/>
          </w:tcPr>
          <w:p w14:paraId="155D0A6C" w14:textId="77777777" w:rsidR="00E303FF" w:rsidRPr="00CA7DCF" w:rsidRDefault="00E303FF" w:rsidP="00EE2F90">
            <w:pPr>
              <w:jc w:val="both"/>
              <w:rPr>
                <w:rFonts w:hint="eastAsia"/>
                <w:lang w:val="en-US"/>
              </w:rPr>
            </w:pPr>
            <w:r w:rsidRPr="00CA7DCF">
              <w:t xml:space="preserve">Bovine Meat; Mutton &amp; Goat Meat; Pigmeat; Poultry Meat; Meat, Other; </w:t>
            </w:r>
            <w:proofErr w:type="spellStart"/>
            <w:r w:rsidRPr="00CA7DCF">
              <w:t>Offals</w:t>
            </w:r>
            <w:proofErr w:type="spellEnd"/>
            <w:r w:rsidRPr="00CA7DCF">
              <w:t>, Edible; Fats, Animals, Raw</w:t>
            </w:r>
          </w:p>
        </w:tc>
      </w:tr>
      <w:tr w:rsidR="00CA7DCF" w:rsidRPr="00CA7DCF" w14:paraId="5F0F21F0" w14:textId="77777777" w:rsidTr="00F82E25">
        <w:tc>
          <w:tcPr>
            <w:tcW w:w="4508" w:type="dxa"/>
            <w:vAlign w:val="center"/>
          </w:tcPr>
          <w:p w14:paraId="2A8FCC91" w14:textId="77777777" w:rsidR="00E303FF" w:rsidRPr="00CA7DCF" w:rsidRDefault="00E303FF" w:rsidP="00EE2F90">
            <w:pPr>
              <w:jc w:val="both"/>
              <w:rPr>
                <w:rFonts w:hint="eastAsia"/>
              </w:rPr>
            </w:pPr>
            <w:r w:rsidRPr="00CA7DCF">
              <w:t>Unprocessed red meats</w:t>
            </w:r>
          </w:p>
        </w:tc>
        <w:tc>
          <w:tcPr>
            <w:tcW w:w="4508" w:type="dxa"/>
            <w:vAlign w:val="center"/>
          </w:tcPr>
          <w:p w14:paraId="69A7A26D" w14:textId="77777777" w:rsidR="00E303FF" w:rsidRPr="00CA7DCF" w:rsidRDefault="00E303FF" w:rsidP="00EE2F90">
            <w:pPr>
              <w:jc w:val="both"/>
              <w:rPr>
                <w:rFonts w:hint="eastAsia"/>
                <w:lang w:val="en-US"/>
              </w:rPr>
            </w:pPr>
            <w:r w:rsidRPr="00CA7DCF">
              <w:t xml:space="preserve">Bovine Meat; Mutton &amp; Goat Meat; Pigmeat; Meat, Other; </w:t>
            </w:r>
            <w:proofErr w:type="spellStart"/>
            <w:r w:rsidRPr="00CA7DCF">
              <w:t>Offals</w:t>
            </w:r>
            <w:proofErr w:type="spellEnd"/>
            <w:r w:rsidRPr="00CA7DCF">
              <w:t>, Edible; Fats, Animals, Raw</w:t>
            </w:r>
          </w:p>
        </w:tc>
      </w:tr>
      <w:tr w:rsidR="00CA7DCF" w:rsidRPr="00CA7DCF" w14:paraId="2EA25D18" w14:textId="77777777" w:rsidTr="00F82E25">
        <w:tc>
          <w:tcPr>
            <w:tcW w:w="4508" w:type="dxa"/>
            <w:vAlign w:val="center"/>
          </w:tcPr>
          <w:p w14:paraId="6295D511" w14:textId="6927F584" w:rsidR="00E303FF" w:rsidRPr="00CA7DCF" w:rsidRDefault="00ED15A6" w:rsidP="00EE2F90">
            <w:pPr>
              <w:jc w:val="both"/>
              <w:rPr>
                <w:rFonts w:hint="eastAsia"/>
              </w:rPr>
            </w:pPr>
            <w:r>
              <w:rPr>
                <w:rFonts w:hint="eastAsia"/>
              </w:rPr>
              <w:t>S</w:t>
            </w:r>
            <w:r w:rsidR="00E303FF" w:rsidRPr="00CA7DCF">
              <w:t>eafood</w:t>
            </w:r>
          </w:p>
        </w:tc>
        <w:tc>
          <w:tcPr>
            <w:tcW w:w="4508" w:type="dxa"/>
            <w:vAlign w:val="center"/>
          </w:tcPr>
          <w:p w14:paraId="291BE80F" w14:textId="77777777" w:rsidR="00E303FF" w:rsidRPr="00CA7DCF" w:rsidRDefault="00E303FF" w:rsidP="00EE2F90">
            <w:pPr>
              <w:jc w:val="both"/>
              <w:rPr>
                <w:rFonts w:hint="eastAsia"/>
              </w:rPr>
            </w:pPr>
            <w:r w:rsidRPr="00CA7DCF">
              <w:t>Fish, Seafood</w:t>
            </w:r>
          </w:p>
        </w:tc>
      </w:tr>
      <w:tr w:rsidR="00CA7DCF" w:rsidRPr="00CA7DCF" w14:paraId="0AA766B2" w14:textId="77777777" w:rsidTr="00F82E25">
        <w:tc>
          <w:tcPr>
            <w:tcW w:w="4508" w:type="dxa"/>
            <w:vAlign w:val="center"/>
          </w:tcPr>
          <w:p w14:paraId="25DA2CCC" w14:textId="77777777" w:rsidR="00E303FF" w:rsidRPr="00CA7DCF" w:rsidRDefault="00E303FF" w:rsidP="00EE2F90">
            <w:pPr>
              <w:jc w:val="both"/>
              <w:rPr>
                <w:rFonts w:hint="eastAsia"/>
              </w:rPr>
            </w:pPr>
            <w:r w:rsidRPr="00CA7DCF">
              <w:t>Eggs</w:t>
            </w:r>
          </w:p>
        </w:tc>
        <w:tc>
          <w:tcPr>
            <w:tcW w:w="4508" w:type="dxa"/>
            <w:vAlign w:val="center"/>
          </w:tcPr>
          <w:p w14:paraId="3DF56819" w14:textId="77777777" w:rsidR="00E303FF" w:rsidRPr="00CA7DCF" w:rsidRDefault="00E303FF" w:rsidP="00EE2F90">
            <w:pPr>
              <w:jc w:val="both"/>
              <w:rPr>
                <w:rFonts w:hint="eastAsia"/>
              </w:rPr>
            </w:pPr>
            <w:r w:rsidRPr="00CA7DCF">
              <w:t>Eggs</w:t>
            </w:r>
          </w:p>
        </w:tc>
      </w:tr>
      <w:tr w:rsidR="00CA7DCF" w:rsidRPr="00CA7DCF" w14:paraId="3FA29FD3" w14:textId="77777777" w:rsidTr="00F82E25">
        <w:tc>
          <w:tcPr>
            <w:tcW w:w="4508" w:type="dxa"/>
            <w:vAlign w:val="center"/>
          </w:tcPr>
          <w:p w14:paraId="531B6573" w14:textId="77777777" w:rsidR="00E303FF" w:rsidRPr="00CA7DCF" w:rsidRDefault="00E303FF" w:rsidP="00EE2F90">
            <w:pPr>
              <w:jc w:val="both"/>
              <w:rPr>
                <w:rFonts w:hint="eastAsia"/>
              </w:rPr>
            </w:pPr>
            <w:r w:rsidRPr="00CA7DCF">
              <w:t>Sugar</w:t>
            </w:r>
          </w:p>
        </w:tc>
        <w:tc>
          <w:tcPr>
            <w:tcW w:w="4508" w:type="dxa"/>
            <w:vAlign w:val="center"/>
          </w:tcPr>
          <w:p w14:paraId="5D0FBBC0" w14:textId="1F6208CE" w:rsidR="00E303FF" w:rsidRPr="00CA7DCF" w:rsidRDefault="00E303FF" w:rsidP="00EE2F90">
            <w:pPr>
              <w:jc w:val="both"/>
              <w:rPr>
                <w:rFonts w:hint="eastAsia"/>
                <w:lang w:val="en-US"/>
              </w:rPr>
            </w:pPr>
            <w:r w:rsidRPr="00CA7DCF">
              <w:t xml:space="preserve">Sugar cane ; Sugar beet; </w:t>
            </w:r>
            <w:r w:rsidRPr="00CA7DCF">
              <w:rPr>
                <w:rFonts w:ascii="Aptos" w:eastAsia="Aptos" w:hAnsi="Aptos" w:cs="Aptos"/>
              </w:rPr>
              <w:t>Sugar non-centrifugal; Sugar (Raw Equivalent); Sweeteners, Other</w:t>
            </w:r>
          </w:p>
        </w:tc>
      </w:tr>
      <w:tr w:rsidR="00CA7DCF" w:rsidRPr="00CA7DCF" w14:paraId="24C50B30" w14:textId="77777777" w:rsidTr="00F82E25">
        <w:tc>
          <w:tcPr>
            <w:tcW w:w="4508" w:type="dxa"/>
            <w:vAlign w:val="center"/>
          </w:tcPr>
          <w:p w14:paraId="5CDA2AC8" w14:textId="77777777" w:rsidR="00E303FF" w:rsidRPr="00CA7DCF" w:rsidRDefault="00E303FF" w:rsidP="00EE2F90">
            <w:pPr>
              <w:jc w:val="both"/>
              <w:rPr>
                <w:rFonts w:hint="eastAsia"/>
              </w:rPr>
            </w:pPr>
            <w:r w:rsidRPr="00CA7DCF">
              <w:t>Coffee</w:t>
            </w:r>
          </w:p>
        </w:tc>
        <w:tc>
          <w:tcPr>
            <w:tcW w:w="4508" w:type="dxa"/>
            <w:vAlign w:val="center"/>
          </w:tcPr>
          <w:p w14:paraId="38A81F49" w14:textId="77777777" w:rsidR="00E303FF" w:rsidRPr="00CA7DCF" w:rsidRDefault="00E303FF" w:rsidP="00EE2F90">
            <w:pPr>
              <w:jc w:val="both"/>
              <w:rPr>
                <w:rFonts w:hint="eastAsia"/>
              </w:rPr>
            </w:pPr>
            <w:r w:rsidRPr="00CA7DCF">
              <w:t>Coffee and products</w:t>
            </w:r>
          </w:p>
        </w:tc>
      </w:tr>
      <w:tr w:rsidR="00CA7DCF" w:rsidRPr="00CA7DCF" w14:paraId="73A54884" w14:textId="77777777" w:rsidTr="00F82E25">
        <w:tc>
          <w:tcPr>
            <w:tcW w:w="4508" w:type="dxa"/>
            <w:vAlign w:val="center"/>
          </w:tcPr>
          <w:p w14:paraId="364AF7D8" w14:textId="77777777" w:rsidR="00E303FF" w:rsidRPr="00CA7DCF" w:rsidRDefault="00E303FF" w:rsidP="00EE2F90">
            <w:pPr>
              <w:jc w:val="both"/>
              <w:rPr>
                <w:rFonts w:hint="eastAsia"/>
              </w:rPr>
            </w:pPr>
            <w:r w:rsidRPr="00CA7DCF">
              <w:t>Tea</w:t>
            </w:r>
          </w:p>
        </w:tc>
        <w:tc>
          <w:tcPr>
            <w:tcW w:w="4508" w:type="dxa"/>
            <w:vAlign w:val="center"/>
          </w:tcPr>
          <w:p w14:paraId="7512F747" w14:textId="77777777" w:rsidR="00E303FF" w:rsidRPr="00CA7DCF" w:rsidRDefault="00E303FF" w:rsidP="00EE2F90">
            <w:pPr>
              <w:jc w:val="both"/>
              <w:rPr>
                <w:rFonts w:hint="eastAsia"/>
              </w:rPr>
            </w:pPr>
            <w:r w:rsidRPr="00CA7DCF">
              <w:t>Tea (including mate)</w:t>
            </w:r>
          </w:p>
        </w:tc>
      </w:tr>
      <w:tr w:rsidR="00CA7DCF" w:rsidRPr="00CA7DCF" w14:paraId="1BA79B84" w14:textId="77777777" w:rsidTr="00F82E25">
        <w:tc>
          <w:tcPr>
            <w:tcW w:w="4508" w:type="dxa"/>
            <w:vAlign w:val="center"/>
          </w:tcPr>
          <w:p w14:paraId="26DBD52F" w14:textId="23019977" w:rsidR="00E303FF" w:rsidRPr="00CA7DCF" w:rsidRDefault="00ED15A6" w:rsidP="00EE2F90">
            <w:pPr>
              <w:jc w:val="both"/>
              <w:rPr>
                <w:rFonts w:hint="eastAsia"/>
              </w:rPr>
            </w:pPr>
            <w:r>
              <w:rPr>
                <w:rFonts w:hint="eastAsia"/>
              </w:rPr>
              <w:t xml:space="preserve">Dairy </w:t>
            </w:r>
            <w:r w:rsidR="00E65B52">
              <w:rPr>
                <w:rFonts w:hint="eastAsia"/>
              </w:rPr>
              <w:t>products</w:t>
            </w:r>
          </w:p>
        </w:tc>
        <w:tc>
          <w:tcPr>
            <w:tcW w:w="4508" w:type="dxa"/>
            <w:vAlign w:val="center"/>
          </w:tcPr>
          <w:p w14:paraId="5A8E2ED6" w14:textId="77777777" w:rsidR="00E303FF" w:rsidRPr="00CA7DCF" w:rsidRDefault="00E303FF" w:rsidP="00EE2F90">
            <w:pPr>
              <w:jc w:val="both"/>
              <w:rPr>
                <w:rFonts w:hint="eastAsia"/>
              </w:rPr>
            </w:pPr>
            <w:r w:rsidRPr="00CA7DCF">
              <w:t>Milk - Excluding Butter</w:t>
            </w:r>
          </w:p>
        </w:tc>
      </w:tr>
    </w:tbl>
    <w:p w14:paraId="778F8769" w14:textId="33123EBA" w:rsidR="008B16A6" w:rsidRPr="00CA7DCF" w:rsidRDefault="008B16A6" w:rsidP="00632845">
      <w:pPr>
        <w:pStyle w:val="Heading1"/>
        <w:rPr>
          <w:b/>
          <w:bCs/>
          <w:color w:val="auto"/>
          <w:sz w:val="32"/>
          <w:szCs w:val="32"/>
        </w:rPr>
      </w:pPr>
      <w:bookmarkStart w:id="9" w:name="_Toc204093436"/>
      <w:r w:rsidRPr="00CA7DCF">
        <w:rPr>
          <w:b/>
          <w:bCs/>
          <w:color w:val="auto"/>
          <w:sz w:val="32"/>
          <w:szCs w:val="32"/>
        </w:rPr>
        <w:t xml:space="preserve">Supplementary Table </w:t>
      </w:r>
      <w:r w:rsidRPr="00CA7DCF">
        <w:rPr>
          <w:rFonts w:hint="eastAsia"/>
          <w:b/>
          <w:bCs/>
          <w:color w:val="auto"/>
          <w:sz w:val="32"/>
          <w:szCs w:val="32"/>
        </w:rPr>
        <w:t>4</w:t>
      </w:r>
      <w:r w:rsidRPr="00CA7DCF">
        <w:rPr>
          <w:b/>
          <w:bCs/>
          <w:color w:val="auto"/>
          <w:sz w:val="32"/>
          <w:szCs w:val="32"/>
        </w:rPr>
        <w:t>. Diet-related environmental impacts</w:t>
      </w:r>
      <w:r w:rsidR="00326DC7" w:rsidRPr="00CA7DCF">
        <w:rPr>
          <w:rFonts w:hint="eastAsia"/>
          <w:b/>
          <w:bCs/>
          <w:color w:val="auto"/>
          <w:sz w:val="32"/>
          <w:szCs w:val="32"/>
        </w:rPr>
        <w:t xml:space="preserve"> (</w:t>
      </w:r>
      <w:r w:rsidR="00326DC7" w:rsidRPr="00CA7DCF">
        <w:rPr>
          <w:b/>
          <w:bCs/>
          <w:color w:val="auto"/>
          <w:sz w:val="32"/>
          <w:szCs w:val="32"/>
        </w:rPr>
        <w:t>logarithmic</w:t>
      </w:r>
      <w:r w:rsidR="00326DC7" w:rsidRPr="00CA7DCF">
        <w:rPr>
          <w:rFonts w:hint="eastAsia"/>
          <w:b/>
          <w:bCs/>
          <w:color w:val="auto"/>
          <w:sz w:val="32"/>
          <w:szCs w:val="32"/>
        </w:rPr>
        <w:t xml:space="preserve"> </w:t>
      </w:r>
      <w:r w:rsidR="007868B3" w:rsidRPr="00CA7DCF">
        <w:rPr>
          <w:b/>
          <w:bCs/>
          <w:color w:val="auto"/>
          <w:sz w:val="32"/>
          <w:szCs w:val="32"/>
        </w:rPr>
        <w:t>transformation</w:t>
      </w:r>
      <w:r w:rsidR="00326DC7" w:rsidRPr="00CA7DCF">
        <w:rPr>
          <w:rFonts w:hint="eastAsia"/>
          <w:b/>
          <w:bCs/>
          <w:color w:val="auto"/>
          <w:sz w:val="32"/>
          <w:szCs w:val="32"/>
        </w:rPr>
        <w:t>)</w:t>
      </w:r>
      <w:r w:rsidRPr="00CA7DCF">
        <w:rPr>
          <w:b/>
          <w:bCs/>
          <w:color w:val="auto"/>
          <w:sz w:val="32"/>
          <w:szCs w:val="32"/>
        </w:rPr>
        <w:t xml:space="preserve"> as related to the AHEI-score</w:t>
      </w:r>
      <w:r w:rsidRPr="00CA7DCF">
        <w:rPr>
          <w:rFonts w:hint="eastAsia"/>
          <w:b/>
          <w:bCs/>
          <w:color w:val="auto"/>
          <w:sz w:val="32"/>
          <w:szCs w:val="32"/>
        </w:rPr>
        <w:t xml:space="preserve"> in Multilevel regression model</w:t>
      </w:r>
      <w:r w:rsidR="001D6113">
        <w:rPr>
          <w:rFonts w:hint="eastAsia"/>
          <w:b/>
          <w:bCs/>
          <w:color w:val="auto"/>
          <w:sz w:val="32"/>
          <w:szCs w:val="32"/>
        </w:rPr>
        <w:t>s</w:t>
      </w:r>
      <w:r w:rsidRPr="00CA7DCF">
        <w:rPr>
          <w:b/>
          <w:bCs/>
          <w:color w:val="auto"/>
          <w:sz w:val="32"/>
          <w:szCs w:val="32"/>
          <w:vertAlign w:val="superscript"/>
        </w:rPr>
        <w:t>†</w:t>
      </w:r>
      <w:bookmarkEnd w:id="9"/>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6"/>
        <w:gridCol w:w="2256"/>
        <w:gridCol w:w="2257"/>
        <w:gridCol w:w="2257"/>
      </w:tblGrid>
      <w:tr w:rsidR="00CA7DCF" w:rsidRPr="00CA7DCF" w14:paraId="128CDEBD" w14:textId="77777777" w:rsidTr="00F82E25">
        <w:tc>
          <w:tcPr>
            <w:tcW w:w="1250" w:type="pct"/>
            <w:tcBorders>
              <w:top w:val="single" w:sz="4" w:space="0" w:color="auto"/>
              <w:bottom w:val="single" w:sz="4" w:space="0" w:color="auto"/>
            </w:tcBorders>
          </w:tcPr>
          <w:p w14:paraId="584ACF23" w14:textId="77777777" w:rsidR="008B16A6" w:rsidRPr="00CA7DCF" w:rsidRDefault="008B16A6" w:rsidP="00632845">
            <w:pPr>
              <w:rPr>
                <w:rFonts w:hint="eastAsia"/>
              </w:rPr>
            </w:pPr>
          </w:p>
        </w:tc>
        <w:tc>
          <w:tcPr>
            <w:tcW w:w="1250" w:type="pct"/>
            <w:tcBorders>
              <w:top w:val="single" w:sz="4" w:space="0" w:color="auto"/>
              <w:bottom w:val="single" w:sz="4" w:space="0" w:color="auto"/>
            </w:tcBorders>
          </w:tcPr>
          <w:p w14:paraId="48F965A1" w14:textId="77777777" w:rsidR="008B16A6" w:rsidRPr="00CA7DCF" w:rsidRDefault="008B16A6" w:rsidP="00632845">
            <w:pPr>
              <w:rPr>
                <w:rFonts w:hint="eastAsia"/>
                <w:b/>
                <w:bCs/>
              </w:rPr>
            </w:pPr>
            <w:r w:rsidRPr="00CA7DCF">
              <w:rPr>
                <w:b/>
                <w:bCs/>
              </w:rPr>
              <w:t>GHG emissions</w:t>
            </w:r>
          </w:p>
          <w:p w14:paraId="22BCAB41" w14:textId="796085BE" w:rsidR="008B16A6" w:rsidRPr="00CA7DCF" w:rsidRDefault="008B16A6" w:rsidP="00632845">
            <w:pPr>
              <w:rPr>
                <w:rFonts w:hint="eastAsia"/>
                <w:b/>
                <w:bCs/>
              </w:rPr>
            </w:pPr>
            <w:r w:rsidRPr="00CA7DCF">
              <w:rPr>
                <w:b/>
                <w:bCs/>
              </w:rPr>
              <w:t>(Kg CO</w:t>
            </w:r>
            <w:r w:rsidRPr="00CA7DCF">
              <w:rPr>
                <w:b/>
                <w:bCs/>
                <w:vertAlign w:val="subscript"/>
              </w:rPr>
              <w:t>2</w:t>
            </w:r>
            <w:r w:rsidRPr="00CA7DCF">
              <w:rPr>
                <w:b/>
                <w:bCs/>
              </w:rPr>
              <w:t>-eq/2000 kcal</w:t>
            </w:r>
            <w:r w:rsidR="00422660" w:rsidRPr="00CA7DCF">
              <w:rPr>
                <w:rFonts w:hint="eastAsia"/>
                <w:b/>
                <w:bCs/>
              </w:rPr>
              <w:t xml:space="preserve"> </w:t>
            </w:r>
            <w:r w:rsidRPr="00CA7DCF">
              <w:rPr>
                <w:b/>
                <w:bCs/>
              </w:rPr>
              <w:t>)</w:t>
            </w:r>
          </w:p>
        </w:tc>
        <w:tc>
          <w:tcPr>
            <w:tcW w:w="1250" w:type="pct"/>
            <w:tcBorders>
              <w:top w:val="single" w:sz="4" w:space="0" w:color="auto"/>
              <w:bottom w:val="single" w:sz="4" w:space="0" w:color="auto"/>
            </w:tcBorders>
          </w:tcPr>
          <w:p w14:paraId="3B02A751" w14:textId="77777777" w:rsidR="008B16A6" w:rsidRPr="00CA7DCF" w:rsidRDefault="008B16A6" w:rsidP="00632845">
            <w:pPr>
              <w:rPr>
                <w:rFonts w:hint="eastAsia"/>
                <w:b/>
                <w:bCs/>
              </w:rPr>
            </w:pPr>
            <w:r w:rsidRPr="00CA7DCF">
              <w:rPr>
                <w:b/>
                <w:bCs/>
              </w:rPr>
              <w:t>TWU</w:t>
            </w:r>
          </w:p>
          <w:p w14:paraId="6FD9ABEF" w14:textId="77777777" w:rsidR="008B16A6" w:rsidRPr="00CA7DCF" w:rsidRDefault="008B16A6" w:rsidP="00632845">
            <w:pPr>
              <w:rPr>
                <w:rFonts w:hint="eastAsia"/>
                <w:b/>
                <w:bCs/>
              </w:rPr>
            </w:pPr>
            <w:r w:rsidRPr="00CA7DCF">
              <w:rPr>
                <w:b/>
                <w:bCs/>
              </w:rPr>
              <w:t>(M</w:t>
            </w:r>
            <w:r w:rsidRPr="00CA7DCF">
              <w:rPr>
                <w:b/>
                <w:bCs/>
                <w:vertAlign w:val="superscript"/>
              </w:rPr>
              <w:t>3</w:t>
            </w:r>
            <w:r w:rsidRPr="00CA7DCF">
              <w:rPr>
                <w:b/>
                <w:bCs/>
              </w:rPr>
              <w:t>/2000 kcal)</w:t>
            </w:r>
          </w:p>
        </w:tc>
        <w:tc>
          <w:tcPr>
            <w:tcW w:w="1250" w:type="pct"/>
            <w:tcBorders>
              <w:top w:val="single" w:sz="4" w:space="0" w:color="auto"/>
              <w:bottom w:val="single" w:sz="4" w:space="0" w:color="auto"/>
            </w:tcBorders>
          </w:tcPr>
          <w:p w14:paraId="0CA5E40B" w14:textId="77777777" w:rsidR="008B16A6" w:rsidRPr="00CA7DCF" w:rsidRDefault="008B16A6" w:rsidP="00632845">
            <w:pPr>
              <w:rPr>
                <w:rFonts w:hint="eastAsia"/>
                <w:b/>
                <w:bCs/>
              </w:rPr>
            </w:pPr>
            <w:r w:rsidRPr="00CA7DCF">
              <w:rPr>
                <w:b/>
                <w:bCs/>
              </w:rPr>
              <w:t>LU</w:t>
            </w:r>
          </w:p>
          <w:p w14:paraId="532A22FB" w14:textId="77777777" w:rsidR="008B16A6" w:rsidRPr="00CA7DCF" w:rsidRDefault="008B16A6" w:rsidP="00632845">
            <w:pPr>
              <w:rPr>
                <w:rFonts w:hint="eastAsia"/>
                <w:b/>
                <w:bCs/>
              </w:rPr>
            </w:pPr>
            <w:r w:rsidRPr="00CA7DCF">
              <w:rPr>
                <w:b/>
                <w:bCs/>
              </w:rPr>
              <w:t>(M</w:t>
            </w:r>
            <w:r w:rsidRPr="00CA7DCF">
              <w:rPr>
                <w:b/>
                <w:bCs/>
                <w:vertAlign w:val="superscript"/>
              </w:rPr>
              <w:t>2</w:t>
            </w:r>
            <w:r w:rsidRPr="00CA7DCF">
              <w:rPr>
                <w:b/>
                <w:bCs/>
              </w:rPr>
              <w:t>/2000 kcal)</w:t>
            </w:r>
          </w:p>
        </w:tc>
      </w:tr>
      <w:tr w:rsidR="00CA7DCF" w:rsidRPr="00CA7DCF" w14:paraId="4C67B370" w14:textId="77777777" w:rsidTr="00F82E25">
        <w:tc>
          <w:tcPr>
            <w:tcW w:w="1250" w:type="pct"/>
            <w:tcBorders>
              <w:top w:val="single" w:sz="4" w:space="0" w:color="auto"/>
              <w:bottom w:val="nil"/>
            </w:tcBorders>
          </w:tcPr>
          <w:p w14:paraId="4149AD2F" w14:textId="77777777" w:rsidR="008B16A6" w:rsidRPr="00CA7DCF" w:rsidRDefault="008B16A6" w:rsidP="00632845">
            <w:pPr>
              <w:rPr>
                <w:rFonts w:hint="eastAsia"/>
              </w:rPr>
            </w:pPr>
          </w:p>
        </w:tc>
        <w:tc>
          <w:tcPr>
            <w:tcW w:w="1250" w:type="pct"/>
            <w:tcBorders>
              <w:top w:val="single" w:sz="4" w:space="0" w:color="auto"/>
              <w:bottom w:val="nil"/>
            </w:tcBorders>
          </w:tcPr>
          <w:p w14:paraId="4285CA94" w14:textId="77777777" w:rsidR="008B16A6" w:rsidRPr="00CA7DCF" w:rsidRDefault="008B16A6" w:rsidP="00632845">
            <w:pPr>
              <w:rPr>
                <w:rFonts w:hint="eastAsia"/>
                <w:b/>
                <w:bCs/>
              </w:rPr>
            </w:pPr>
          </w:p>
        </w:tc>
        <w:tc>
          <w:tcPr>
            <w:tcW w:w="1250" w:type="pct"/>
            <w:tcBorders>
              <w:top w:val="single" w:sz="4" w:space="0" w:color="auto"/>
              <w:bottom w:val="nil"/>
            </w:tcBorders>
          </w:tcPr>
          <w:p w14:paraId="21B955D3" w14:textId="77777777" w:rsidR="008B16A6" w:rsidRPr="00CA7DCF" w:rsidRDefault="008B16A6" w:rsidP="00632845">
            <w:pPr>
              <w:rPr>
                <w:rFonts w:hint="eastAsia"/>
                <w:b/>
                <w:bCs/>
              </w:rPr>
            </w:pPr>
          </w:p>
        </w:tc>
        <w:tc>
          <w:tcPr>
            <w:tcW w:w="1250" w:type="pct"/>
            <w:tcBorders>
              <w:top w:val="single" w:sz="4" w:space="0" w:color="auto"/>
              <w:bottom w:val="nil"/>
            </w:tcBorders>
          </w:tcPr>
          <w:p w14:paraId="5E1E531F" w14:textId="77777777" w:rsidR="008B16A6" w:rsidRPr="00CA7DCF" w:rsidRDefault="008B16A6" w:rsidP="00632845">
            <w:pPr>
              <w:rPr>
                <w:rFonts w:hint="eastAsia"/>
                <w:b/>
                <w:bCs/>
              </w:rPr>
            </w:pPr>
          </w:p>
        </w:tc>
      </w:tr>
      <w:tr w:rsidR="00CA7DCF" w:rsidRPr="00CA7DCF" w14:paraId="0E18182B" w14:textId="77777777" w:rsidTr="00F82E25">
        <w:tc>
          <w:tcPr>
            <w:tcW w:w="1250" w:type="pct"/>
            <w:tcBorders>
              <w:top w:val="nil"/>
            </w:tcBorders>
          </w:tcPr>
          <w:p w14:paraId="415BAE19" w14:textId="77777777" w:rsidR="008B16A6" w:rsidRPr="00CA7DCF" w:rsidRDefault="008B16A6" w:rsidP="00632845">
            <w:pPr>
              <w:rPr>
                <w:rFonts w:hint="eastAsia"/>
                <w:b/>
                <w:bCs/>
                <w:i/>
                <w:iCs/>
              </w:rPr>
            </w:pPr>
            <w:r w:rsidRPr="00CA7DCF">
              <w:rPr>
                <w:b/>
                <w:bCs/>
                <w:i/>
                <w:iCs/>
              </w:rPr>
              <w:t>Education level</w:t>
            </w:r>
          </w:p>
        </w:tc>
        <w:tc>
          <w:tcPr>
            <w:tcW w:w="1250" w:type="pct"/>
            <w:tcBorders>
              <w:top w:val="nil"/>
            </w:tcBorders>
          </w:tcPr>
          <w:p w14:paraId="7532C9D3" w14:textId="77777777" w:rsidR="008B16A6" w:rsidRPr="00CA7DCF" w:rsidRDefault="008B16A6" w:rsidP="00632845">
            <w:pPr>
              <w:rPr>
                <w:rFonts w:hint="eastAsia"/>
              </w:rPr>
            </w:pPr>
          </w:p>
        </w:tc>
        <w:tc>
          <w:tcPr>
            <w:tcW w:w="1250" w:type="pct"/>
            <w:tcBorders>
              <w:top w:val="nil"/>
            </w:tcBorders>
          </w:tcPr>
          <w:p w14:paraId="38758E34" w14:textId="77777777" w:rsidR="008B16A6" w:rsidRPr="00CA7DCF" w:rsidRDefault="008B16A6" w:rsidP="00632845">
            <w:pPr>
              <w:rPr>
                <w:rFonts w:hint="eastAsia"/>
              </w:rPr>
            </w:pPr>
          </w:p>
        </w:tc>
        <w:tc>
          <w:tcPr>
            <w:tcW w:w="1250" w:type="pct"/>
            <w:tcBorders>
              <w:top w:val="nil"/>
            </w:tcBorders>
          </w:tcPr>
          <w:p w14:paraId="10DD1FC2" w14:textId="77777777" w:rsidR="008B16A6" w:rsidRPr="00CA7DCF" w:rsidRDefault="008B16A6" w:rsidP="00632845">
            <w:pPr>
              <w:rPr>
                <w:rFonts w:hint="eastAsia"/>
              </w:rPr>
            </w:pPr>
          </w:p>
        </w:tc>
      </w:tr>
      <w:tr w:rsidR="00CA7DCF" w:rsidRPr="00CA7DCF" w14:paraId="031E7CE8" w14:textId="77777777" w:rsidTr="00F82E25">
        <w:tc>
          <w:tcPr>
            <w:tcW w:w="1250" w:type="pct"/>
          </w:tcPr>
          <w:p w14:paraId="4D63D00F" w14:textId="77777777" w:rsidR="008B16A6" w:rsidRPr="00CA7DCF" w:rsidRDefault="008B16A6" w:rsidP="00632845">
            <w:pPr>
              <w:rPr>
                <w:rFonts w:hint="eastAsia"/>
              </w:rPr>
            </w:pPr>
            <w:r w:rsidRPr="00CA7DCF">
              <w:t>Fix effects</w:t>
            </w:r>
          </w:p>
        </w:tc>
        <w:tc>
          <w:tcPr>
            <w:tcW w:w="1250" w:type="pct"/>
          </w:tcPr>
          <w:p w14:paraId="0931B043" w14:textId="77777777" w:rsidR="008B16A6" w:rsidRPr="00CA7DCF" w:rsidRDefault="008B16A6" w:rsidP="00632845">
            <w:pPr>
              <w:rPr>
                <w:rFonts w:hint="eastAsia"/>
              </w:rPr>
            </w:pPr>
          </w:p>
        </w:tc>
        <w:tc>
          <w:tcPr>
            <w:tcW w:w="1250" w:type="pct"/>
          </w:tcPr>
          <w:p w14:paraId="5243A187" w14:textId="77777777" w:rsidR="008B16A6" w:rsidRPr="00CA7DCF" w:rsidRDefault="008B16A6" w:rsidP="00632845">
            <w:pPr>
              <w:rPr>
                <w:rFonts w:hint="eastAsia"/>
              </w:rPr>
            </w:pPr>
          </w:p>
        </w:tc>
        <w:tc>
          <w:tcPr>
            <w:tcW w:w="1250" w:type="pct"/>
          </w:tcPr>
          <w:p w14:paraId="079891D0" w14:textId="77777777" w:rsidR="008B16A6" w:rsidRPr="00CA7DCF" w:rsidRDefault="008B16A6" w:rsidP="00632845">
            <w:pPr>
              <w:rPr>
                <w:rFonts w:hint="eastAsia"/>
              </w:rPr>
            </w:pPr>
          </w:p>
        </w:tc>
      </w:tr>
      <w:tr w:rsidR="00CA7DCF" w:rsidRPr="00CA7DCF" w14:paraId="060731FA" w14:textId="77777777" w:rsidTr="00F82E25">
        <w:tc>
          <w:tcPr>
            <w:tcW w:w="1250" w:type="pct"/>
          </w:tcPr>
          <w:p w14:paraId="43AA876E" w14:textId="11AB262F" w:rsidR="008B16A6" w:rsidRPr="00050418" w:rsidRDefault="008B16A6" w:rsidP="00632845">
            <w:pPr>
              <w:rPr>
                <w:rFonts w:hint="eastAsia"/>
                <w:lang w:val="it-IT"/>
              </w:rPr>
            </w:pPr>
            <w:r w:rsidRPr="00050418">
              <w:rPr>
                <w:lang w:val="it-IT"/>
              </w:rPr>
              <w:t>1</w:t>
            </w:r>
            <w:r w:rsidR="00302042">
              <w:rPr>
                <w:rFonts w:hint="eastAsia"/>
                <w:lang w:val="it-IT"/>
              </w:rPr>
              <w:t>-point</w:t>
            </w:r>
            <w:r w:rsidRPr="00050418">
              <w:rPr>
                <w:lang w:val="it-IT"/>
              </w:rPr>
              <w:t xml:space="preserve"> </w:t>
            </w:r>
            <w:proofErr w:type="spellStart"/>
            <w:r w:rsidRPr="00050418">
              <w:rPr>
                <w:lang w:val="it-IT"/>
              </w:rPr>
              <w:t>increment</w:t>
            </w:r>
            <w:proofErr w:type="spellEnd"/>
            <w:r w:rsidRPr="00050418">
              <w:rPr>
                <w:lang w:val="it-IT"/>
              </w:rPr>
              <w:t xml:space="preserve"> in </w:t>
            </w:r>
            <w:proofErr w:type="spellStart"/>
            <w:r w:rsidRPr="00050418">
              <w:rPr>
                <w:lang w:val="it-IT"/>
              </w:rPr>
              <w:t>AHEI</w:t>
            </w:r>
            <w:proofErr w:type="spellEnd"/>
            <w:r w:rsidRPr="00050418">
              <w:rPr>
                <w:lang w:val="it-IT"/>
              </w:rPr>
              <w:t xml:space="preserve"> score</w:t>
            </w:r>
            <w:r w:rsidR="00CF367B" w:rsidRPr="00050418">
              <w:rPr>
                <w:lang w:val="it-IT"/>
              </w:rPr>
              <w:t xml:space="preserve"> (</w:t>
            </w:r>
            <w:r w:rsidR="00D1766E" w:rsidRPr="00050418">
              <w:rPr>
                <w:lang w:val="it-IT"/>
              </w:rPr>
              <w:t xml:space="preserve">95% </w:t>
            </w:r>
            <w:r w:rsidR="007A38CB" w:rsidRPr="00050418">
              <w:rPr>
                <w:lang w:val="it-IT"/>
              </w:rPr>
              <w:t>CI</w:t>
            </w:r>
            <w:r w:rsidR="00CF367B" w:rsidRPr="00050418">
              <w:rPr>
                <w:lang w:val="it-IT"/>
              </w:rPr>
              <w:t>)</w:t>
            </w:r>
          </w:p>
        </w:tc>
        <w:tc>
          <w:tcPr>
            <w:tcW w:w="1250" w:type="pct"/>
          </w:tcPr>
          <w:p w14:paraId="77132086" w14:textId="77777777" w:rsidR="0055532E" w:rsidRDefault="008B16A6" w:rsidP="00632845">
            <w:pPr>
              <w:jc w:val="center"/>
              <w:rPr>
                <w:rFonts w:hint="eastAsia"/>
              </w:rPr>
            </w:pPr>
            <w:r w:rsidRPr="00CA7DCF">
              <w:t>-0.0</w:t>
            </w:r>
            <w:r w:rsidR="00B76E37">
              <w:rPr>
                <w:rFonts w:hint="eastAsia"/>
              </w:rPr>
              <w:t>67</w:t>
            </w:r>
            <w:r w:rsidRPr="00CA7DCF">
              <w:t xml:space="preserve">* </w:t>
            </w:r>
          </w:p>
          <w:p w14:paraId="001A54D1" w14:textId="5F1300D0" w:rsidR="008B16A6" w:rsidRPr="00CA7DCF" w:rsidRDefault="008B16A6" w:rsidP="00632845">
            <w:pPr>
              <w:jc w:val="center"/>
              <w:rPr>
                <w:rFonts w:hint="eastAsia"/>
              </w:rPr>
            </w:pPr>
            <w:r w:rsidRPr="00CA7DCF">
              <w:t>(-0.</w:t>
            </w:r>
            <w:r w:rsidR="00B76E37">
              <w:rPr>
                <w:rFonts w:hint="eastAsia"/>
              </w:rPr>
              <w:t>088</w:t>
            </w:r>
            <w:r w:rsidRPr="00CA7DCF">
              <w:t>, -0.0</w:t>
            </w:r>
            <w:r w:rsidR="0055532E">
              <w:rPr>
                <w:rFonts w:hint="eastAsia"/>
              </w:rPr>
              <w:t>54</w:t>
            </w:r>
            <w:r w:rsidR="00F01F61" w:rsidRPr="00CA7DCF">
              <w:rPr>
                <w:rFonts w:hint="eastAsia"/>
              </w:rPr>
              <w:t>)</w:t>
            </w:r>
          </w:p>
        </w:tc>
        <w:tc>
          <w:tcPr>
            <w:tcW w:w="1250" w:type="pct"/>
          </w:tcPr>
          <w:p w14:paraId="73589480" w14:textId="77777777" w:rsidR="00F81856" w:rsidRDefault="008B16A6" w:rsidP="00632845">
            <w:pPr>
              <w:jc w:val="center"/>
              <w:rPr>
                <w:rFonts w:hint="eastAsia"/>
              </w:rPr>
            </w:pPr>
            <w:r w:rsidRPr="00CA7DCF">
              <w:t>-0.0</w:t>
            </w:r>
            <w:r w:rsidR="000029B0">
              <w:rPr>
                <w:rFonts w:hint="eastAsia"/>
              </w:rPr>
              <w:t>23</w:t>
            </w:r>
            <w:r w:rsidRPr="00CA7DCF">
              <w:t xml:space="preserve">* </w:t>
            </w:r>
          </w:p>
          <w:p w14:paraId="0D3495D8" w14:textId="2B68ECFE" w:rsidR="008B16A6" w:rsidRPr="00CA7DCF" w:rsidRDefault="008B16A6" w:rsidP="00632845">
            <w:pPr>
              <w:jc w:val="center"/>
              <w:rPr>
                <w:rFonts w:hint="eastAsia"/>
              </w:rPr>
            </w:pPr>
            <w:r w:rsidRPr="00CA7DCF">
              <w:t>(-0.0</w:t>
            </w:r>
            <w:r w:rsidR="00F81856">
              <w:rPr>
                <w:rFonts w:hint="eastAsia"/>
              </w:rPr>
              <w:t>32</w:t>
            </w:r>
            <w:r w:rsidRPr="00CA7DCF">
              <w:t>, -0.0</w:t>
            </w:r>
            <w:r w:rsidR="00F81856">
              <w:rPr>
                <w:rFonts w:hint="eastAsia"/>
              </w:rPr>
              <w:t>15</w:t>
            </w:r>
            <w:r w:rsidRPr="00CA7DCF">
              <w:t>)</w:t>
            </w:r>
          </w:p>
        </w:tc>
        <w:tc>
          <w:tcPr>
            <w:tcW w:w="1250" w:type="pct"/>
          </w:tcPr>
          <w:p w14:paraId="356530A0" w14:textId="59577B84" w:rsidR="008B16A6" w:rsidRPr="00CA7DCF" w:rsidRDefault="008B16A6" w:rsidP="00632845">
            <w:pPr>
              <w:jc w:val="center"/>
              <w:rPr>
                <w:rFonts w:hint="eastAsia"/>
              </w:rPr>
            </w:pPr>
            <w:r w:rsidRPr="00CA7DCF">
              <w:t>-0.</w:t>
            </w:r>
            <w:r w:rsidR="00187665">
              <w:rPr>
                <w:rFonts w:hint="eastAsia"/>
              </w:rPr>
              <w:t>105</w:t>
            </w:r>
            <w:r w:rsidRPr="00CA7DCF">
              <w:t>** (-0.1</w:t>
            </w:r>
            <w:r w:rsidR="00187665">
              <w:rPr>
                <w:rFonts w:hint="eastAsia"/>
              </w:rPr>
              <w:t>28</w:t>
            </w:r>
            <w:r w:rsidRPr="00CA7DCF">
              <w:t>, -0.</w:t>
            </w:r>
            <w:r w:rsidR="00187665">
              <w:rPr>
                <w:rFonts w:hint="eastAsia"/>
              </w:rPr>
              <w:t>082</w:t>
            </w:r>
            <w:r w:rsidRPr="00CA7DCF">
              <w:t>)</w:t>
            </w:r>
          </w:p>
        </w:tc>
      </w:tr>
      <w:tr w:rsidR="00CA7DCF" w:rsidRPr="00CA7DCF" w14:paraId="05797201" w14:textId="77777777" w:rsidTr="00F82E25">
        <w:tc>
          <w:tcPr>
            <w:tcW w:w="1250" w:type="pct"/>
          </w:tcPr>
          <w:p w14:paraId="5D14EF6D" w14:textId="77777777" w:rsidR="008B16A6" w:rsidRPr="00CA7DCF" w:rsidRDefault="008B16A6" w:rsidP="00632845">
            <w:pPr>
              <w:rPr>
                <w:rFonts w:hint="eastAsia"/>
              </w:rPr>
            </w:pPr>
            <w:r w:rsidRPr="00CA7DCF">
              <w:t>Random effects*</w:t>
            </w:r>
          </w:p>
        </w:tc>
        <w:tc>
          <w:tcPr>
            <w:tcW w:w="1250" w:type="pct"/>
          </w:tcPr>
          <w:p w14:paraId="07321DDD" w14:textId="77777777" w:rsidR="008B16A6" w:rsidRPr="00CA7DCF" w:rsidRDefault="008B16A6" w:rsidP="00632845">
            <w:pPr>
              <w:jc w:val="center"/>
              <w:rPr>
                <w:rFonts w:hint="eastAsia"/>
              </w:rPr>
            </w:pPr>
          </w:p>
        </w:tc>
        <w:tc>
          <w:tcPr>
            <w:tcW w:w="1250" w:type="pct"/>
          </w:tcPr>
          <w:p w14:paraId="28B06507" w14:textId="77777777" w:rsidR="008B16A6" w:rsidRPr="00CA7DCF" w:rsidRDefault="008B16A6" w:rsidP="00632845">
            <w:pPr>
              <w:jc w:val="center"/>
              <w:rPr>
                <w:rFonts w:hint="eastAsia"/>
              </w:rPr>
            </w:pPr>
          </w:p>
        </w:tc>
        <w:tc>
          <w:tcPr>
            <w:tcW w:w="1250" w:type="pct"/>
          </w:tcPr>
          <w:p w14:paraId="12208ACC" w14:textId="77777777" w:rsidR="008B16A6" w:rsidRPr="00CA7DCF" w:rsidRDefault="008B16A6" w:rsidP="00632845">
            <w:pPr>
              <w:jc w:val="center"/>
              <w:rPr>
                <w:rFonts w:hint="eastAsia"/>
              </w:rPr>
            </w:pPr>
          </w:p>
        </w:tc>
      </w:tr>
      <w:tr w:rsidR="00CA7DCF" w:rsidRPr="00CA7DCF" w14:paraId="644D5704" w14:textId="77777777" w:rsidTr="00F82E25">
        <w:tc>
          <w:tcPr>
            <w:tcW w:w="1250" w:type="pct"/>
          </w:tcPr>
          <w:p w14:paraId="1F174531" w14:textId="77777777" w:rsidR="008B16A6" w:rsidRPr="00CA7DCF" w:rsidRDefault="008B16A6" w:rsidP="00632845">
            <w:pPr>
              <w:rPr>
                <w:rFonts w:hint="eastAsia"/>
              </w:rPr>
            </w:pPr>
            <w:r w:rsidRPr="00CA7DCF">
              <w:t>SD of intercept</w:t>
            </w:r>
          </w:p>
        </w:tc>
        <w:tc>
          <w:tcPr>
            <w:tcW w:w="1250" w:type="pct"/>
          </w:tcPr>
          <w:p w14:paraId="5AC61E73" w14:textId="3CBF342E" w:rsidR="008B16A6" w:rsidRPr="00CA7DCF" w:rsidRDefault="008B16A6" w:rsidP="00632845">
            <w:pPr>
              <w:jc w:val="center"/>
              <w:rPr>
                <w:rFonts w:hint="eastAsia"/>
              </w:rPr>
            </w:pPr>
            <w:r w:rsidRPr="00CA7DCF">
              <w:t>0.0</w:t>
            </w:r>
            <w:r w:rsidR="00876F79">
              <w:rPr>
                <w:rFonts w:hint="eastAsia"/>
              </w:rPr>
              <w:t>55</w:t>
            </w:r>
          </w:p>
        </w:tc>
        <w:tc>
          <w:tcPr>
            <w:tcW w:w="1250" w:type="pct"/>
          </w:tcPr>
          <w:p w14:paraId="7D8AFDB6" w14:textId="67D1A880" w:rsidR="008B16A6" w:rsidRPr="00CA7DCF" w:rsidRDefault="008B16A6" w:rsidP="00632845">
            <w:pPr>
              <w:jc w:val="center"/>
              <w:rPr>
                <w:rFonts w:hint="eastAsia"/>
              </w:rPr>
            </w:pPr>
            <w:r w:rsidRPr="00CA7DCF">
              <w:rPr>
                <w:rFonts w:hint="eastAsia"/>
              </w:rPr>
              <w:t>0.0</w:t>
            </w:r>
            <w:r w:rsidR="00657D3C">
              <w:rPr>
                <w:rFonts w:hint="eastAsia"/>
              </w:rPr>
              <w:t>3</w:t>
            </w:r>
            <w:r w:rsidRPr="00CA7DCF">
              <w:rPr>
                <w:rFonts w:hint="eastAsia"/>
              </w:rPr>
              <w:t>6</w:t>
            </w:r>
          </w:p>
        </w:tc>
        <w:tc>
          <w:tcPr>
            <w:tcW w:w="1250" w:type="pct"/>
          </w:tcPr>
          <w:p w14:paraId="58342A73" w14:textId="237019F9" w:rsidR="008B16A6" w:rsidRPr="00CA7DCF" w:rsidRDefault="008B16A6" w:rsidP="00632845">
            <w:pPr>
              <w:jc w:val="center"/>
              <w:rPr>
                <w:rFonts w:hint="eastAsia"/>
              </w:rPr>
            </w:pPr>
            <w:r w:rsidRPr="00CA7DCF">
              <w:rPr>
                <w:rFonts w:hint="eastAsia"/>
              </w:rPr>
              <w:t>0.0</w:t>
            </w:r>
            <w:r w:rsidR="00D210E9">
              <w:rPr>
                <w:rFonts w:hint="eastAsia"/>
              </w:rPr>
              <w:t>01</w:t>
            </w:r>
          </w:p>
        </w:tc>
      </w:tr>
      <w:tr w:rsidR="00CA7DCF" w:rsidRPr="00CA7DCF" w14:paraId="6D800306" w14:textId="77777777" w:rsidTr="00F82E25">
        <w:tc>
          <w:tcPr>
            <w:tcW w:w="1250" w:type="pct"/>
          </w:tcPr>
          <w:p w14:paraId="06101B1C" w14:textId="77777777" w:rsidR="008B16A6" w:rsidRPr="00CA7DCF" w:rsidRDefault="008B16A6" w:rsidP="00632845">
            <w:pPr>
              <w:rPr>
                <w:rFonts w:hint="eastAsia"/>
              </w:rPr>
            </w:pPr>
            <w:r w:rsidRPr="00CA7DCF">
              <w:t>SD of slope</w:t>
            </w:r>
          </w:p>
        </w:tc>
        <w:tc>
          <w:tcPr>
            <w:tcW w:w="1250" w:type="pct"/>
          </w:tcPr>
          <w:p w14:paraId="32ECAECE" w14:textId="77777777" w:rsidR="008B16A6" w:rsidRPr="00CA7DCF" w:rsidRDefault="008B16A6" w:rsidP="00632845">
            <w:pPr>
              <w:jc w:val="center"/>
              <w:rPr>
                <w:rFonts w:hint="eastAsia"/>
              </w:rPr>
            </w:pPr>
            <w:r w:rsidRPr="00CA7DCF">
              <w:t>0.004</w:t>
            </w:r>
          </w:p>
        </w:tc>
        <w:tc>
          <w:tcPr>
            <w:tcW w:w="1250" w:type="pct"/>
          </w:tcPr>
          <w:p w14:paraId="3CFAE011" w14:textId="5CA7D76C" w:rsidR="008B16A6" w:rsidRPr="00CA7DCF" w:rsidRDefault="008B16A6" w:rsidP="00632845">
            <w:pPr>
              <w:jc w:val="center"/>
              <w:rPr>
                <w:rFonts w:hint="eastAsia"/>
              </w:rPr>
            </w:pPr>
            <w:r w:rsidRPr="00CA7DCF">
              <w:rPr>
                <w:rFonts w:hint="eastAsia"/>
              </w:rPr>
              <w:t>0.00</w:t>
            </w:r>
            <w:r w:rsidR="0039129B">
              <w:rPr>
                <w:rFonts w:hint="eastAsia"/>
              </w:rPr>
              <w:t>2</w:t>
            </w:r>
          </w:p>
        </w:tc>
        <w:tc>
          <w:tcPr>
            <w:tcW w:w="1250" w:type="pct"/>
          </w:tcPr>
          <w:p w14:paraId="7F72ADBC" w14:textId="53FEE907" w:rsidR="008B16A6" w:rsidRPr="00CA7DCF" w:rsidRDefault="008B16A6" w:rsidP="00632845">
            <w:pPr>
              <w:jc w:val="center"/>
              <w:rPr>
                <w:rFonts w:hint="eastAsia"/>
              </w:rPr>
            </w:pPr>
            <w:r w:rsidRPr="00CA7DCF">
              <w:rPr>
                <w:rFonts w:hint="eastAsia"/>
              </w:rPr>
              <w:t>0.00</w:t>
            </w:r>
            <w:r w:rsidR="00786AE0">
              <w:rPr>
                <w:rFonts w:hint="eastAsia"/>
              </w:rPr>
              <w:t>3</w:t>
            </w:r>
          </w:p>
        </w:tc>
      </w:tr>
      <w:tr w:rsidR="00CA7DCF" w:rsidRPr="00CA7DCF" w14:paraId="394A6B9C" w14:textId="77777777" w:rsidTr="00F82E25">
        <w:tc>
          <w:tcPr>
            <w:tcW w:w="1250" w:type="pct"/>
          </w:tcPr>
          <w:p w14:paraId="6300F596" w14:textId="77777777" w:rsidR="008B16A6" w:rsidRPr="00CA7DCF" w:rsidRDefault="008B16A6" w:rsidP="00632845">
            <w:pPr>
              <w:rPr>
                <w:rFonts w:hint="eastAsia"/>
              </w:rPr>
            </w:pPr>
          </w:p>
        </w:tc>
        <w:tc>
          <w:tcPr>
            <w:tcW w:w="1250" w:type="pct"/>
          </w:tcPr>
          <w:p w14:paraId="36DA77CD" w14:textId="77777777" w:rsidR="008B16A6" w:rsidRPr="00CA7DCF" w:rsidRDefault="008B16A6" w:rsidP="00632845">
            <w:pPr>
              <w:jc w:val="center"/>
              <w:rPr>
                <w:rFonts w:hint="eastAsia"/>
              </w:rPr>
            </w:pPr>
          </w:p>
        </w:tc>
        <w:tc>
          <w:tcPr>
            <w:tcW w:w="1250" w:type="pct"/>
          </w:tcPr>
          <w:p w14:paraId="7632B40F" w14:textId="77777777" w:rsidR="008B16A6" w:rsidRPr="00CA7DCF" w:rsidRDefault="008B16A6" w:rsidP="00632845">
            <w:pPr>
              <w:jc w:val="center"/>
              <w:rPr>
                <w:rFonts w:hint="eastAsia"/>
              </w:rPr>
            </w:pPr>
          </w:p>
        </w:tc>
        <w:tc>
          <w:tcPr>
            <w:tcW w:w="1250" w:type="pct"/>
          </w:tcPr>
          <w:p w14:paraId="12329352" w14:textId="77777777" w:rsidR="008B16A6" w:rsidRPr="00CA7DCF" w:rsidRDefault="008B16A6" w:rsidP="00632845">
            <w:pPr>
              <w:jc w:val="center"/>
              <w:rPr>
                <w:rFonts w:hint="eastAsia"/>
              </w:rPr>
            </w:pPr>
          </w:p>
        </w:tc>
      </w:tr>
      <w:tr w:rsidR="00CA7DCF" w:rsidRPr="00CA7DCF" w14:paraId="1880BEAF" w14:textId="77777777" w:rsidTr="00F82E25">
        <w:tc>
          <w:tcPr>
            <w:tcW w:w="1250" w:type="pct"/>
          </w:tcPr>
          <w:p w14:paraId="770F09B3" w14:textId="77777777" w:rsidR="008B16A6" w:rsidRPr="00CA7DCF" w:rsidRDefault="008B16A6" w:rsidP="00632845">
            <w:pPr>
              <w:rPr>
                <w:rFonts w:hint="eastAsia"/>
              </w:rPr>
            </w:pPr>
            <w:r w:rsidRPr="00CA7DCF">
              <w:rPr>
                <w:rFonts w:hint="eastAsia"/>
                <w:b/>
                <w:bCs/>
                <w:i/>
                <w:iCs/>
              </w:rPr>
              <w:t>Gender</w:t>
            </w:r>
          </w:p>
        </w:tc>
        <w:tc>
          <w:tcPr>
            <w:tcW w:w="1250" w:type="pct"/>
          </w:tcPr>
          <w:p w14:paraId="16F4038D" w14:textId="77777777" w:rsidR="008B16A6" w:rsidRPr="00CA7DCF" w:rsidRDefault="008B16A6" w:rsidP="00632845">
            <w:pPr>
              <w:jc w:val="center"/>
              <w:rPr>
                <w:rFonts w:hint="eastAsia"/>
              </w:rPr>
            </w:pPr>
          </w:p>
        </w:tc>
        <w:tc>
          <w:tcPr>
            <w:tcW w:w="1250" w:type="pct"/>
          </w:tcPr>
          <w:p w14:paraId="2A3904E0" w14:textId="77777777" w:rsidR="008B16A6" w:rsidRPr="00CA7DCF" w:rsidRDefault="008B16A6" w:rsidP="00632845">
            <w:pPr>
              <w:jc w:val="center"/>
              <w:rPr>
                <w:rFonts w:hint="eastAsia"/>
              </w:rPr>
            </w:pPr>
          </w:p>
        </w:tc>
        <w:tc>
          <w:tcPr>
            <w:tcW w:w="1250" w:type="pct"/>
          </w:tcPr>
          <w:p w14:paraId="687CD83E" w14:textId="77777777" w:rsidR="008B16A6" w:rsidRPr="00CA7DCF" w:rsidRDefault="008B16A6" w:rsidP="00632845">
            <w:pPr>
              <w:jc w:val="center"/>
              <w:rPr>
                <w:rFonts w:hint="eastAsia"/>
              </w:rPr>
            </w:pPr>
          </w:p>
        </w:tc>
      </w:tr>
      <w:tr w:rsidR="00CA7DCF" w:rsidRPr="00CA7DCF" w14:paraId="6A6AB653" w14:textId="77777777" w:rsidTr="00F82E25">
        <w:tc>
          <w:tcPr>
            <w:tcW w:w="1250" w:type="pct"/>
          </w:tcPr>
          <w:p w14:paraId="1E1FF23A" w14:textId="77777777" w:rsidR="008B16A6" w:rsidRPr="00CA7DCF" w:rsidRDefault="008B16A6" w:rsidP="00632845">
            <w:pPr>
              <w:rPr>
                <w:rFonts w:hint="eastAsia"/>
              </w:rPr>
            </w:pPr>
            <w:r w:rsidRPr="00CA7DCF">
              <w:t>Fix effects</w:t>
            </w:r>
          </w:p>
        </w:tc>
        <w:tc>
          <w:tcPr>
            <w:tcW w:w="1250" w:type="pct"/>
          </w:tcPr>
          <w:p w14:paraId="4A9C6CD1" w14:textId="77777777" w:rsidR="008B16A6" w:rsidRPr="00CA7DCF" w:rsidRDefault="008B16A6" w:rsidP="00632845">
            <w:pPr>
              <w:jc w:val="center"/>
              <w:rPr>
                <w:rFonts w:hint="eastAsia"/>
              </w:rPr>
            </w:pPr>
          </w:p>
        </w:tc>
        <w:tc>
          <w:tcPr>
            <w:tcW w:w="1250" w:type="pct"/>
          </w:tcPr>
          <w:p w14:paraId="6E076E48" w14:textId="77777777" w:rsidR="008B16A6" w:rsidRPr="00CA7DCF" w:rsidRDefault="008B16A6" w:rsidP="00632845">
            <w:pPr>
              <w:jc w:val="center"/>
              <w:rPr>
                <w:rFonts w:hint="eastAsia"/>
              </w:rPr>
            </w:pPr>
          </w:p>
        </w:tc>
        <w:tc>
          <w:tcPr>
            <w:tcW w:w="1250" w:type="pct"/>
          </w:tcPr>
          <w:p w14:paraId="2E1EB0A0" w14:textId="77777777" w:rsidR="008B16A6" w:rsidRPr="00CA7DCF" w:rsidRDefault="008B16A6" w:rsidP="00632845">
            <w:pPr>
              <w:jc w:val="center"/>
              <w:rPr>
                <w:rFonts w:hint="eastAsia"/>
              </w:rPr>
            </w:pPr>
          </w:p>
        </w:tc>
      </w:tr>
      <w:tr w:rsidR="00CA7DCF" w:rsidRPr="00CA7DCF" w14:paraId="3A4B33B3" w14:textId="77777777" w:rsidTr="00F82E25">
        <w:tc>
          <w:tcPr>
            <w:tcW w:w="1250" w:type="pct"/>
          </w:tcPr>
          <w:p w14:paraId="1AE183F1" w14:textId="727B1FB4" w:rsidR="008B16A6" w:rsidRPr="00CA7DCF" w:rsidRDefault="00302042" w:rsidP="00632845">
            <w:pPr>
              <w:rPr>
                <w:rFonts w:hint="eastAsia"/>
              </w:rPr>
            </w:pPr>
            <w:r w:rsidRPr="005C1922">
              <w:rPr>
                <w:lang w:val="it-IT"/>
              </w:rPr>
              <w:t>1</w:t>
            </w:r>
            <w:r>
              <w:rPr>
                <w:rFonts w:hint="eastAsia"/>
                <w:lang w:val="it-IT"/>
              </w:rPr>
              <w:t>-point</w:t>
            </w:r>
            <w:r w:rsidRPr="005C1922">
              <w:rPr>
                <w:lang w:val="it-IT"/>
              </w:rPr>
              <w:t xml:space="preserve"> </w:t>
            </w:r>
            <w:proofErr w:type="spellStart"/>
            <w:r w:rsidRPr="005C1922">
              <w:rPr>
                <w:lang w:val="it-IT"/>
              </w:rPr>
              <w:t>increment</w:t>
            </w:r>
            <w:proofErr w:type="spellEnd"/>
            <w:r w:rsidRPr="005C1922">
              <w:rPr>
                <w:lang w:val="it-IT"/>
              </w:rPr>
              <w:t xml:space="preserve"> in </w:t>
            </w:r>
            <w:proofErr w:type="spellStart"/>
            <w:r w:rsidRPr="005C1922">
              <w:rPr>
                <w:lang w:val="it-IT"/>
              </w:rPr>
              <w:t>AHEI</w:t>
            </w:r>
            <w:proofErr w:type="spellEnd"/>
            <w:r w:rsidRPr="005C1922">
              <w:rPr>
                <w:lang w:val="it-IT"/>
              </w:rPr>
              <w:t xml:space="preserve"> score</w:t>
            </w:r>
            <w:r w:rsidRPr="005C1922">
              <w:rPr>
                <w:rFonts w:hint="eastAsia"/>
                <w:lang w:val="it-IT"/>
              </w:rPr>
              <w:t xml:space="preserve"> (95% CI)</w:t>
            </w:r>
          </w:p>
        </w:tc>
        <w:tc>
          <w:tcPr>
            <w:tcW w:w="1250" w:type="pct"/>
          </w:tcPr>
          <w:p w14:paraId="1249824B" w14:textId="20F4D851" w:rsidR="000D3A39" w:rsidRDefault="008B16A6" w:rsidP="00632845">
            <w:pPr>
              <w:jc w:val="center"/>
              <w:rPr>
                <w:rFonts w:hint="eastAsia"/>
              </w:rPr>
            </w:pPr>
            <w:r w:rsidRPr="00CA7DCF">
              <w:rPr>
                <w:rFonts w:hint="eastAsia"/>
              </w:rPr>
              <w:t>-0.0</w:t>
            </w:r>
            <w:r w:rsidR="000D3A39">
              <w:rPr>
                <w:rFonts w:hint="eastAsia"/>
              </w:rPr>
              <w:t>66</w:t>
            </w:r>
            <w:r w:rsidRPr="00CA7DCF">
              <w:rPr>
                <w:rFonts w:hint="eastAsia"/>
              </w:rPr>
              <w:t>*</w:t>
            </w:r>
            <w:r w:rsidR="000D3A39">
              <w:rPr>
                <w:rFonts w:hint="eastAsia"/>
              </w:rPr>
              <w:t>**</w:t>
            </w:r>
            <w:r w:rsidRPr="00CA7DCF">
              <w:rPr>
                <w:rFonts w:hint="eastAsia"/>
              </w:rPr>
              <w:t xml:space="preserve"> (-0.</w:t>
            </w:r>
            <w:r w:rsidR="000D3A39">
              <w:rPr>
                <w:rFonts w:hint="eastAsia"/>
              </w:rPr>
              <w:t>072</w:t>
            </w:r>
            <w:r w:rsidRPr="00CA7DCF">
              <w:rPr>
                <w:rFonts w:hint="eastAsia"/>
              </w:rPr>
              <w:t xml:space="preserve">, </w:t>
            </w:r>
          </w:p>
          <w:p w14:paraId="588F7CB5" w14:textId="2073B73E" w:rsidR="008B16A6" w:rsidRPr="00CA7DCF" w:rsidRDefault="008B16A6" w:rsidP="00632845">
            <w:pPr>
              <w:jc w:val="center"/>
              <w:rPr>
                <w:rFonts w:hint="eastAsia"/>
              </w:rPr>
            </w:pPr>
            <w:r w:rsidRPr="00CA7DCF">
              <w:rPr>
                <w:rFonts w:hint="eastAsia"/>
              </w:rPr>
              <w:t>-0.0</w:t>
            </w:r>
            <w:r w:rsidR="000D3A39">
              <w:rPr>
                <w:rFonts w:hint="eastAsia"/>
              </w:rPr>
              <w:t>61</w:t>
            </w:r>
            <w:r w:rsidRPr="00CA7DCF">
              <w:rPr>
                <w:rFonts w:hint="eastAsia"/>
              </w:rPr>
              <w:t>)</w:t>
            </w:r>
          </w:p>
        </w:tc>
        <w:tc>
          <w:tcPr>
            <w:tcW w:w="1250" w:type="pct"/>
          </w:tcPr>
          <w:p w14:paraId="13B00286" w14:textId="40CFA6E9" w:rsidR="008B16A6" w:rsidRPr="00CA7DCF" w:rsidRDefault="008B16A6" w:rsidP="00632845">
            <w:pPr>
              <w:jc w:val="center"/>
              <w:rPr>
                <w:rFonts w:hint="eastAsia"/>
              </w:rPr>
            </w:pPr>
            <w:r w:rsidRPr="00CA7DCF">
              <w:rPr>
                <w:rFonts w:hint="eastAsia"/>
              </w:rPr>
              <w:t>-0.0</w:t>
            </w:r>
            <w:r w:rsidR="00E0068B">
              <w:rPr>
                <w:rFonts w:hint="eastAsia"/>
              </w:rPr>
              <w:t>24</w:t>
            </w:r>
            <w:r w:rsidRPr="00CA7DCF">
              <w:rPr>
                <w:rFonts w:hint="eastAsia"/>
              </w:rPr>
              <w:t>*** (-0.0</w:t>
            </w:r>
            <w:r w:rsidR="00E0068B">
              <w:rPr>
                <w:rFonts w:hint="eastAsia"/>
              </w:rPr>
              <w:t>31</w:t>
            </w:r>
            <w:r w:rsidRPr="00CA7DCF">
              <w:rPr>
                <w:rFonts w:hint="eastAsia"/>
              </w:rPr>
              <w:t>, -0.0</w:t>
            </w:r>
            <w:r w:rsidR="00E0068B">
              <w:rPr>
                <w:rFonts w:hint="eastAsia"/>
              </w:rPr>
              <w:t>15</w:t>
            </w:r>
            <w:r w:rsidRPr="00CA7DCF">
              <w:rPr>
                <w:rFonts w:hint="eastAsia"/>
              </w:rPr>
              <w:t>)</w:t>
            </w:r>
          </w:p>
        </w:tc>
        <w:tc>
          <w:tcPr>
            <w:tcW w:w="1250" w:type="pct"/>
          </w:tcPr>
          <w:p w14:paraId="625D8F31" w14:textId="28410D2B" w:rsidR="008B16A6" w:rsidRPr="00CA7DCF" w:rsidRDefault="008B16A6" w:rsidP="00632845">
            <w:pPr>
              <w:jc w:val="center"/>
              <w:rPr>
                <w:rFonts w:hint="eastAsia"/>
              </w:rPr>
            </w:pPr>
            <w:r w:rsidRPr="00CA7DCF">
              <w:t>-0.1</w:t>
            </w:r>
            <w:r w:rsidR="00FA52A3">
              <w:rPr>
                <w:rFonts w:hint="eastAsia"/>
              </w:rPr>
              <w:t>04</w:t>
            </w:r>
            <w:r w:rsidRPr="00CA7DCF">
              <w:t>*</w:t>
            </w:r>
            <w:r w:rsidR="00FA52A3">
              <w:rPr>
                <w:rFonts w:hint="eastAsia"/>
              </w:rPr>
              <w:t>**</w:t>
            </w:r>
            <w:r w:rsidRPr="00CA7DCF">
              <w:t xml:space="preserve"> (-0.1</w:t>
            </w:r>
            <w:r w:rsidR="00FA52A3">
              <w:rPr>
                <w:rFonts w:hint="eastAsia"/>
              </w:rPr>
              <w:t>27</w:t>
            </w:r>
            <w:r w:rsidRPr="00CA7DCF">
              <w:t>, -0.</w:t>
            </w:r>
            <w:r w:rsidR="00FA52A3">
              <w:rPr>
                <w:rFonts w:hint="eastAsia"/>
              </w:rPr>
              <w:t>081</w:t>
            </w:r>
            <w:r w:rsidRPr="00CA7DCF">
              <w:t>)</w:t>
            </w:r>
          </w:p>
        </w:tc>
      </w:tr>
      <w:tr w:rsidR="00CA7DCF" w:rsidRPr="00CA7DCF" w14:paraId="4424ACCF" w14:textId="77777777" w:rsidTr="00F82E25">
        <w:tc>
          <w:tcPr>
            <w:tcW w:w="1250" w:type="pct"/>
          </w:tcPr>
          <w:p w14:paraId="720B3F41" w14:textId="77777777" w:rsidR="008B16A6" w:rsidRPr="00CA7DCF" w:rsidRDefault="008B16A6" w:rsidP="00632845">
            <w:pPr>
              <w:rPr>
                <w:rFonts w:hint="eastAsia"/>
              </w:rPr>
            </w:pPr>
            <w:r w:rsidRPr="00CA7DCF">
              <w:t>Random effects*</w:t>
            </w:r>
          </w:p>
        </w:tc>
        <w:tc>
          <w:tcPr>
            <w:tcW w:w="1250" w:type="pct"/>
          </w:tcPr>
          <w:p w14:paraId="348689AA" w14:textId="77777777" w:rsidR="008B16A6" w:rsidRPr="00CA7DCF" w:rsidRDefault="008B16A6" w:rsidP="00632845">
            <w:pPr>
              <w:jc w:val="center"/>
              <w:rPr>
                <w:rFonts w:hint="eastAsia"/>
              </w:rPr>
            </w:pPr>
          </w:p>
        </w:tc>
        <w:tc>
          <w:tcPr>
            <w:tcW w:w="1250" w:type="pct"/>
          </w:tcPr>
          <w:p w14:paraId="285C0BB6" w14:textId="77777777" w:rsidR="008B16A6" w:rsidRPr="00CA7DCF" w:rsidRDefault="008B16A6" w:rsidP="00632845">
            <w:pPr>
              <w:jc w:val="center"/>
              <w:rPr>
                <w:rFonts w:hint="eastAsia"/>
              </w:rPr>
            </w:pPr>
          </w:p>
        </w:tc>
        <w:tc>
          <w:tcPr>
            <w:tcW w:w="1250" w:type="pct"/>
          </w:tcPr>
          <w:p w14:paraId="6E3A0D7F" w14:textId="77777777" w:rsidR="008B16A6" w:rsidRPr="00CA7DCF" w:rsidRDefault="008B16A6" w:rsidP="00632845">
            <w:pPr>
              <w:jc w:val="center"/>
              <w:rPr>
                <w:rFonts w:hint="eastAsia"/>
              </w:rPr>
            </w:pPr>
          </w:p>
        </w:tc>
      </w:tr>
      <w:tr w:rsidR="00CA7DCF" w:rsidRPr="00CA7DCF" w14:paraId="7AAE118C" w14:textId="77777777" w:rsidTr="00F82E25">
        <w:tc>
          <w:tcPr>
            <w:tcW w:w="1250" w:type="pct"/>
          </w:tcPr>
          <w:p w14:paraId="4E065BC9" w14:textId="77777777" w:rsidR="008B16A6" w:rsidRPr="00CA7DCF" w:rsidRDefault="008B16A6" w:rsidP="00632845">
            <w:pPr>
              <w:rPr>
                <w:rFonts w:hint="eastAsia"/>
              </w:rPr>
            </w:pPr>
            <w:r w:rsidRPr="00CA7DCF">
              <w:lastRenderedPageBreak/>
              <w:t>SD of intercept</w:t>
            </w:r>
          </w:p>
        </w:tc>
        <w:tc>
          <w:tcPr>
            <w:tcW w:w="1250" w:type="pct"/>
          </w:tcPr>
          <w:p w14:paraId="64FC1F02" w14:textId="3E876466" w:rsidR="008B16A6" w:rsidRPr="00CA7DCF" w:rsidRDefault="008B16A6" w:rsidP="00632845">
            <w:pPr>
              <w:jc w:val="center"/>
              <w:rPr>
                <w:rFonts w:hint="eastAsia"/>
              </w:rPr>
            </w:pPr>
            <w:r w:rsidRPr="00CA7DCF">
              <w:t>0.</w:t>
            </w:r>
            <w:r w:rsidR="00432640">
              <w:rPr>
                <w:rFonts w:hint="eastAsia"/>
              </w:rPr>
              <w:t>009</w:t>
            </w:r>
          </w:p>
        </w:tc>
        <w:tc>
          <w:tcPr>
            <w:tcW w:w="1250" w:type="pct"/>
          </w:tcPr>
          <w:p w14:paraId="373E8CA2" w14:textId="0DA7706D" w:rsidR="008B16A6" w:rsidRPr="00CA7DCF" w:rsidRDefault="008B16A6" w:rsidP="00632845">
            <w:pPr>
              <w:jc w:val="center"/>
              <w:rPr>
                <w:rFonts w:hint="eastAsia"/>
              </w:rPr>
            </w:pPr>
            <w:r w:rsidRPr="00CA7DCF">
              <w:rPr>
                <w:rFonts w:hint="eastAsia"/>
              </w:rPr>
              <w:t>0.0</w:t>
            </w:r>
            <w:r w:rsidR="00862ED3">
              <w:rPr>
                <w:rFonts w:hint="eastAsia"/>
              </w:rPr>
              <w:t>01</w:t>
            </w:r>
          </w:p>
        </w:tc>
        <w:tc>
          <w:tcPr>
            <w:tcW w:w="1250" w:type="pct"/>
          </w:tcPr>
          <w:p w14:paraId="75A5F4D2" w14:textId="0D26F21F" w:rsidR="008B16A6" w:rsidRPr="00CA7DCF" w:rsidRDefault="008B16A6" w:rsidP="00632845">
            <w:pPr>
              <w:jc w:val="center"/>
              <w:rPr>
                <w:rFonts w:hint="eastAsia"/>
              </w:rPr>
            </w:pPr>
            <w:r w:rsidRPr="00CA7DCF">
              <w:rPr>
                <w:rFonts w:hint="eastAsia"/>
              </w:rPr>
              <w:t>0.</w:t>
            </w:r>
            <w:r w:rsidR="00BF0A65">
              <w:rPr>
                <w:rFonts w:hint="eastAsia"/>
              </w:rPr>
              <w:t>009</w:t>
            </w:r>
          </w:p>
        </w:tc>
      </w:tr>
      <w:tr w:rsidR="00CA7DCF" w:rsidRPr="00CA7DCF" w14:paraId="6C29F934" w14:textId="77777777" w:rsidTr="00F82E25">
        <w:tc>
          <w:tcPr>
            <w:tcW w:w="1250" w:type="pct"/>
          </w:tcPr>
          <w:p w14:paraId="02E43268" w14:textId="77777777" w:rsidR="008B16A6" w:rsidRPr="00CA7DCF" w:rsidRDefault="008B16A6" w:rsidP="00632845">
            <w:pPr>
              <w:rPr>
                <w:rFonts w:hint="eastAsia"/>
              </w:rPr>
            </w:pPr>
            <w:r w:rsidRPr="00CA7DCF">
              <w:t>SD of slope</w:t>
            </w:r>
          </w:p>
        </w:tc>
        <w:tc>
          <w:tcPr>
            <w:tcW w:w="1250" w:type="pct"/>
          </w:tcPr>
          <w:p w14:paraId="076E6DB7" w14:textId="77777777" w:rsidR="008B16A6" w:rsidRPr="00CA7DCF" w:rsidRDefault="008B16A6" w:rsidP="00632845">
            <w:pPr>
              <w:jc w:val="center"/>
              <w:rPr>
                <w:rFonts w:hint="eastAsia"/>
              </w:rPr>
            </w:pPr>
            <w:r w:rsidRPr="00CA7DCF">
              <w:t>0.</w:t>
            </w:r>
            <w:r w:rsidRPr="00CA7DCF">
              <w:rPr>
                <w:rFonts w:hint="eastAsia"/>
              </w:rPr>
              <w:t>001</w:t>
            </w:r>
          </w:p>
        </w:tc>
        <w:tc>
          <w:tcPr>
            <w:tcW w:w="1250" w:type="pct"/>
          </w:tcPr>
          <w:p w14:paraId="3273C639" w14:textId="77777777" w:rsidR="008B16A6" w:rsidRPr="00CA7DCF" w:rsidRDefault="008B16A6" w:rsidP="00632845">
            <w:pPr>
              <w:jc w:val="center"/>
              <w:rPr>
                <w:rFonts w:hint="eastAsia"/>
              </w:rPr>
            </w:pPr>
            <w:r w:rsidRPr="00CA7DCF">
              <w:rPr>
                <w:rFonts w:hint="eastAsia"/>
              </w:rPr>
              <w:t>0.001</w:t>
            </w:r>
          </w:p>
        </w:tc>
        <w:tc>
          <w:tcPr>
            <w:tcW w:w="1250" w:type="pct"/>
          </w:tcPr>
          <w:p w14:paraId="1E8840C8" w14:textId="77777777" w:rsidR="008B16A6" w:rsidRPr="00CA7DCF" w:rsidRDefault="008B16A6" w:rsidP="00632845">
            <w:pPr>
              <w:jc w:val="center"/>
              <w:rPr>
                <w:rFonts w:hint="eastAsia"/>
              </w:rPr>
            </w:pPr>
            <w:r w:rsidRPr="00CA7DCF">
              <w:rPr>
                <w:rFonts w:hint="eastAsia"/>
              </w:rPr>
              <w:t>0.001</w:t>
            </w:r>
          </w:p>
        </w:tc>
      </w:tr>
      <w:tr w:rsidR="00CA7DCF" w:rsidRPr="00CA7DCF" w14:paraId="09579C0A" w14:textId="77777777" w:rsidTr="00F82E25">
        <w:tc>
          <w:tcPr>
            <w:tcW w:w="1250" w:type="pct"/>
          </w:tcPr>
          <w:p w14:paraId="214A3F75" w14:textId="77777777" w:rsidR="008B16A6" w:rsidRPr="00CA7DCF" w:rsidRDefault="008B16A6" w:rsidP="00632845">
            <w:pPr>
              <w:rPr>
                <w:rFonts w:hint="eastAsia"/>
              </w:rPr>
            </w:pPr>
          </w:p>
        </w:tc>
        <w:tc>
          <w:tcPr>
            <w:tcW w:w="1250" w:type="pct"/>
          </w:tcPr>
          <w:p w14:paraId="38713B9A" w14:textId="77777777" w:rsidR="008B16A6" w:rsidRPr="00CA7DCF" w:rsidRDefault="008B16A6" w:rsidP="00632845">
            <w:pPr>
              <w:jc w:val="center"/>
              <w:rPr>
                <w:rFonts w:hint="eastAsia"/>
              </w:rPr>
            </w:pPr>
          </w:p>
        </w:tc>
        <w:tc>
          <w:tcPr>
            <w:tcW w:w="1250" w:type="pct"/>
          </w:tcPr>
          <w:p w14:paraId="6B086373" w14:textId="77777777" w:rsidR="008B16A6" w:rsidRPr="00CA7DCF" w:rsidRDefault="008B16A6" w:rsidP="00632845">
            <w:pPr>
              <w:jc w:val="center"/>
              <w:rPr>
                <w:rFonts w:hint="eastAsia"/>
              </w:rPr>
            </w:pPr>
          </w:p>
        </w:tc>
        <w:tc>
          <w:tcPr>
            <w:tcW w:w="1250" w:type="pct"/>
          </w:tcPr>
          <w:p w14:paraId="3BDC312F" w14:textId="77777777" w:rsidR="008B16A6" w:rsidRPr="00CA7DCF" w:rsidRDefault="008B16A6" w:rsidP="00632845">
            <w:pPr>
              <w:jc w:val="center"/>
              <w:rPr>
                <w:rFonts w:hint="eastAsia"/>
              </w:rPr>
            </w:pPr>
          </w:p>
        </w:tc>
      </w:tr>
      <w:tr w:rsidR="00CA7DCF" w:rsidRPr="00CA7DCF" w14:paraId="2E55DE0B" w14:textId="77777777" w:rsidTr="00F82E25">
        <w:tc>
          <w:tcPr>
            <w:tcW w:w="1250" w:type="pct"/>
          </w:tcPr>
          <w:p w14:paraId="0109D572" w14:textId="77777777" w:rsidR="008B16A6" w:rsidRPr="00CA7DCF" w:rsidRDefault="008B16A6" w:rsidP="00632845">
            <w:pPr>
              <w:rPr>
                <w:rFonts w:hint="eastAsia"/>
                <w:b/>
                <w:bCs/>
                <w:i/>
                <w:iCs/>
              </w:rPr>
            </w:pPr>
            <w:r w:rsidRPr="00CA7DCF">
              <w:rPr>
                <w:b/>
                <w:bCs/>
                <w:i/>
                <w:iCs/>
              </w:rPr>
              <w:t xml:space="preserve">Age </w:t>
            </w:r>
          </w:p>
        </w:tc>
        <w:tc>
          <w:tcPr>
            <w:tcW w:w="1250" w:type="pct"/>
          </w:tcPr>
          <w:p w14:paraId="714E3786" w14:textId="77777777" w:rsidR="008B16A6" w:rsidRPr="00CA7DCF" w:rsidRDefault="008B16A6" w:rsidP="00632845">
            <w:pPr>
              <w:jc w:val="center"/>
              <w:rPr>
                <w:rFonts w:hint="eastAsia"/>
              </w:rPr>
            </w:pPr>
          </w:p>
        </w:tc>
        <w:tc>
          <w:tcPr>
            <w:tcW w:w="1250" w:type="pct"/>
          </w:tcPr>
          <w:p w14:paraId="60B509F6" w14:textId="77777777" w:rsidR="008B16A6" w:rsidRPr="00CA7DCF" w:rsidRDefault="008B16A6" w:rsidP="00632845">
            <w:pPr>
              <w:jc w:val="center"/>
              <w:rPr>
                <w:rFonts w:hint="eastAsia"/>
              </w:rPr>
            </w:pPr>
          </w:p>
        </w:tc>
        <w:tc>
          <w:tcPr>
            <w:tcW w:w="1250" w:type="pct"/>
          </w:tcPr>
          <w:p w14:paraId="1C4C1888" w14:textId="77777777" w:rsidR="008B16A6" w:rsidRPr="00CA7DCF" w:rsidRDefault="008B16A6" w:rsidP="00632845">
            <w:pPr>
              <w:jc w:val="center"/>
              <w:rPr>
                <w:rFonts w:hint="eastAsia"/>
              </w:rPr>
            </w:pPr>
          </w:p>
        </w:tc>
      </w:tr>
      <w:tr w:rsidR="00CA7DCF" w:rsidRPr="00CA7DCF" w14:paraId="2C5953AE" w14:textId="77777777" w:rsidTr="00F82E25">
        <w:tc>
          <w:tcPr>
            <w:tcW w:w="1250" w:type="pct"/>
          </w:tcPr>
          <w:p w14:paraId="2F340E29" w14:textId="77777777" w:rsidR="008B16A6" w:rsidRPr="00CA7DCF" w:rsidRDefault="008B16A6" w:rsidP="00632845">
            <w:pPr>
              <w:rPr>
                <w:rFonts w:hint="eastAsia"/>
              </w:rPr>
            </w:pPr>
            <w:r w:rsidRPr="00CA7DCF">
              <w:t>Fix effects</w:t>
            </w:r>
          </w:p>
        </w:tc>
        <w:tc>
          <w:tcPr>
            <w:tcW w:w="1250" w:type="pct"/>
          </w:tcPr>
          <w:p w14:paraId="7B0FFD47" w14:textId="77777777" w:rsidR="008B16A6" w:rsidRPr="00CA7DCF" w:rsidRDefault="008B16A6" w:rsidP="00632845">
            <w:pPr>
              <w:jc w:val="center"/>
              <w:rPr>
                <w:rFonts w:hint="eastAsia"/>
              </w:rPr>
            </w:pPr>
          </w:p>
        </w:tc>
        <w:tc>
          <w:tcPr>
            <w:tcW w:w="1250" w:type="pct"/>
          </w:tcPr>
          <w:p w14:paraId="2F748A73" w14:textId="77777777" w:rsidR="008B16A6" w:rsidRPr="00CA7DCF" w:rsidRDefault="008B16A6" w:rsidP="00632845">
            <w:pPr>
              <w:jc w:val="center"/>
              <w:rPr>
                <w:rFonts w:hint="eastAsia"/>
              </w:rPr>
            </w:pPr>
          </w:p>
        </w:tc>
        <w:tc>
          <w:tcPr>
            <w:tcW w:w="1250" w:type="pct"/>
          </w:tcPr>
          <w:p w14:paraId="24F028C8" w14:textId="77777777" w:rsidR="008B16A6" w:rsidRPr="00CA7DCF" w:rsidRDefault="008B16A6" w:rsidP="00632845">
            <w:pPr>
              <w:jc w:val="center"/>
              <w:rPr>
                <w:rFonts w:hint="eastAsia"/>
              </w:rPr>
            </w:pPr>
          </w:p>
        </w:tc>
      </w:tr>
      <w:tr w:rsidR="00CA7DCF" w:rsidRPr="00CA7DCF" w14:paraId="6C11EBBE" w14:textId="77777777" w:rsidTr="00F82E25">
        <w:tc>
          <w:tcPr>
            <w:tcW w:w="1250" w:type="pct"/>
          </w:tcPr>
          <w:p w14:paraId="79EBF793" w14:textId="50E86812" w:rsidR="008B16A6" w:rsidRPr="00CA7DCF" w:rsidRDefault="00096DCF" w:rsidP="00632845">
            <w:pPr>
              <w:rPr>
                <w:rFonts w:hint="eastAsia"/>
              </w:rPr>
            </w:pPr>
            <w:r w:rsidRPr="005C1922">
              <w:rPr>
                <w:lang w:val="it-IT"/>
              </w:rPr>
              <w:t>1</w:t>
            </w:r>
            <w:r>
              <w:rPr>
                <w:rFonts w:hint="eastAsia"/>
                <w:lang w:val="it-IT"/>
              </w:rPr>
              <w:t>-point</w:t>
            </w:r>
            <w:r w:rsidRPr="005C1922">
              <w:rPr>
                <w:lang w:val="it-IT"/>
              </w:rPr>
              <w:t xml:space="preserve"> </w:t>
            </w:r>
            <w:proofErr w:type="spellStart"/>
            <w:r w:rsidRPr="005C1922">
              <w:rPr>
                <w:lang w:val="it-IT"/>
              </w:rPr>
              <w:t>increment</w:t>
            </w:r>
            <w:proofErr w:type="spellEnd"/>
            <w:r w:rsidRPr="005C1922">
              <w:rPr>
                <w:lang w:val="it-IT"/>
              </w:rPr>
              <w:t xml:space="preserve"> in </w:t>
            </w:r>
            <w:proofErr w:type="spellStart"/>
            <w:r w:rsidRPr="005C1922">
              <w:rPr>
                <w:lang w:val="it-IT"/>
              </w:rPr>
              <w:t>AHEI</w:t>
            </w:r>
            <w:proofErr w:type="spellEnd"/>
            <w:r w:rsidRPr="005C1922">
              <w:rPr>
                <w:lang w:val="it-IT"/>
              </w:rPr>
              <w:t xml:space="preserve"> score</w:t>
            </w:r>
            <w:r w:rsidRPr="005C1922">
              <w:rPr>
                <w:rFonts w:hint="eastAsia"/>
                <w:lang w:val="it-IT"/>
              </w:rPr>
              <w:t xml:space="preserve"> (95% CI)</w:t>
            </w:r>
          </w:p>
        </w:tc>
        <w:tc>
          <w:tcPr>
            <w:tcW w:w="1250" w:type="pct"/>
          </w:tcPr>
          <w:p w14:paraId="6C85B989" w14:textId="58027BAC" w:rsidR="008B16A6" w:rsidRPr="00CA7DCF" w:rsidRDefault="008B16A6" w:rsidP="00632845">
            <w:pPr>
              <w:jc w:val="center"/>
              <w:rPr>
                <w:rFonts w:hint="eastAsia"/>
              </w:rPr>
            </w:pPr>
            <w:r w:rsidRPr="00CA7DCF">
              <w:rPr>
                <w:rFonts w:hint="eastAsia"/>
              </w:rPr>
              <w:t>-0.0</w:t>
            </w:r>
            <w:r w:rsidR="00DE1C14">
              <w:rPr>
                <w:rFonts w:hint="eastAsia"/>
              </w:rPr>
              <w:t>66</w:t>
            </w:r>
            <w:r w:rsidRPr="00CA7DCF">
              <w:rPr>
                <w:rFonts w:hint="eastAsia"/>
              </w:rPr>
              <w:t>* (-0.</w:t>
            </w:r>
            <w:r w:rsidR="00DE1C14">
              <w:rPr>
                <w:rFonts w:hint="eastAsia"/>
              </w:rPr>
              <w:t>082</w:t>
            </w:r>
            <w:r w:rsidRPr="00CA7DCF">
              <w:rPr>
                <w:rFonts w:hint="eastAsia"/>
              </w:rPr>
              <w:t>, -0.0</w:t>
            </w:r>
            <w:r w:rsidR="00CD7477">
              <w:rPr>
                <w:rFonts w:hint="eastAsia"/>
              </w:rPr>
              <w:t>51</w:t>
            </w:r>
            <w:r w:rsidRPr="00CA7DCF">
              <w:rPr>
                <w:rFonts w:hint="eastAsia"/>
              </w:rPr>
              <w:t>)</w:t>
            </w:r>
          </w:p>
        </w:tc>
        <w:tc>
          <w:tcPr>
            <w:tcW w:w="1250" w:type="pct"/>
          </w:tcPr>
          <w:p w14:paraId="612BB5C7" w14:textId="78FEA6F0" w:rsidR="008B16A6" w:rsidRPr="00CA7DCF" w:rsidRDefault="008B16A6" w:rsidP="00632845">
            <w:pPr>
              <w:jc w:val="center"/>
              <w:rPr>
                <w:rFonts w:hint="eastAsia"/>
              </w:rPr>
            </w:pPr>
            <w:r w:rsidRPr="00CA7DCF">
              <w:t>-0.0</w:t>
            </w:r>
            <w:r w:rsidR="0078618C">
              <w:rPr>
                <w:rFonts w:hint="eastAsia"/>
              </w:rPr>
              <w:t>2</w:t>
            </w:r>
            <w:r w:rsidRPr="00CA7DCF">
              <w:t>3* (-0.0</w:t>
            </w:r>
            <w:r w:rsidR="003B4ABF">
              <w:rPr>
                <w:rFonts w:hint="eastAsia"/>
              </w:rPr>
              <w:t>34</w:t>
            </w:r>
            <w:r w:rsidRPr="00CA7DCF">
              <w:t>, -0.0</w:t>
            </w:r>
            <w:r w:rsidR="003B4ABF">
              <w:rPr>
                <w:rFonts w:hint="eastAsia"/>
              </w:rPr>
              <w:t>11</w:t>
            </w:r>
            <w:r w:rsidRPr="00CA7DCF">
              <w:t>)</w:t>
            </w:r>
          </w:p>
        </w:tc>
        <w:tc>
          <w:tcPr>
            <w:tcW w:w="1250" w:type="pct"/>
          </w:tcPr>
          <w:p w14:paraId="64E97A9E" w14:textId="641F7C1B" w:rsidR="008B16A6" w:rsidRPr="00CA7DCF" w:rsidRDefault="008B16A6" w:rsidP="00632845">
            <w:pPr>
              <w:jc w:val="center"/>
              <w:rPr>
                <w:rFonts w:hint="eastAsia"/>
              </w:rPr>
            </w:pPr>
            <w:r w:rsidRPr="00CA7DCF">
              <w:rPr>
                <w:rFonts w:hint="eastAsia"/>
              </w:rPr>
              <w:t>-0.1</w:t>
            </w:r>
            <w:r w:rsidR="004F4B60">
              <w:rPr>
                <w:rFonts w:hint="eastAsia"/>
              </w:rPr>
              <w:t>04</w:t>
            </w:r>
            <w:r w:rsidRPr="00CA7DCF">
              <w:rPr>
                <w:rFonts w:hint="eastAsia"/>
              </w:rPr>
              <w:t>*** (-0.1</w:t>
            </w:r>
            <w:r w:rsidR="004F4B60">
              <w:rPr>
                <w:rFonts w:hint="eastAsia"/>
              </w:rPr>
              <w:t>37</w:t>
            </w:r>
            <w:r w:rsidRPr="00CA7DCF">
              <w:rPr>
                <w:rFonts w:hint="eastAsia"/>
              </w:rPr>
              <w:t>, -0.</w:t>
            </w:r>
            <w:r w:rsidR="004F4B60">
              <w:rPr>
                <w:rFonts w:hint="eastAsia"/>
              </w:rPr>
              <w:t>071</w:t>
            </w:r>
            <w:r w:rsidRPr="00CA7DCF">
              <w:rPr>
                <w:rFonts w:hint="eastAsia"/>
              </w:rPr>
              <w:t>)</w:t>
            </w:r>
          </w:p>
        </w:tc>
      </w:tr>
      <w:tr w:rsidR="00CA7DCF" w:rsidRPr="00CA7DCF" w14:paraId="07D7BCA6" w14:textId="77777777" w:rsidTr="00F82E25">
        <w:tc>
          <w:tcPr>
            <w:tcW w:w="1250" w:type="pct"/>
          </w:tcPr>
          <w:p w14:paraId="068DCAE4" w14:textId="77777777" w:rsidR="008B16A6" w:rsidRPr="00CA7DCF" w:rsidRDefault="008B16A6" w:rsidP="00632845">
            <w:pPr>
              <w:rPr>
                <w:rFonts w:hint="eastAsia"/>
              </w:rPr>
            </w:pPr>
            <w:r w:rsidRPr="00CA7DCF">
              <w:t>Random effects*</w:t>
            </w:r>
          </w:p>
        </w:tc>
        <w:tc>
          <w:tcPr>
            <w:tcW w:w="1250" w:type="pct"/>
          </w:tcPr>
          <w:p w14:paraId="08AD51D7" w14:textId="77777777" w:rsidR="008B16A6" w:rsidRPr="00CA7DCF" w:rsidRDefault="008B16A6" w:rsidP="00632845">
            <w:pPr>
              <w:jc w:val="center"/>
              <w:rPr>
                <w:rFonts w:hint="eastAsia"/>
              </w:rPr>
            </w:pPr>
          </w:p>
        </w:tc>
        <w:tc>
          <w:tcPr>
            <w:tcW w:w="1250" w:type="pct"/>
          </w:tcPr>
          <w:p w14:paraId="7C2963BE" w14:textId="77777777" w:rsidR="008B16A6" w:rsidRPr="00CA7DCF" w:rsidRDefault="008B16A6" w:rsidP="00632845">
            <w:pPr>
              <w:jc w:val="center"/>
              <w:rPr>
                <w:rFonts w:hint="eastAsia"/>
              </w:rPr>
            </w:pPr>
          </w:p>
        </w:tc>
        <w:tc>
          <w:tcPr>
            <w:tcW w:w="1250" w:type="pct"/>
          </w:tcPr>
          <w:p w14:paraId="5AE46A88" w14:textId="77777777" w:rsidR="008B16A6" w:rsidRPr="00CA7DCF" w:rsidRDefault="008B16A6" w:rsidP="00632845">
            <w:pPr>
              <w:jc w:val="center"/>
              <w:rPr>
                <w:rFonts w:hint="eastAsia"/>
              </w:rPr>
            </w:pPr>
          </w:p>
        </w:tc>
      </w:tr>
      <w:tr w:rsidR="00CA7DCF" w:rsidRPr="00CA7DCF" w14:paraId="59F6BEF7" w14:textId="77777777" w:rsidTr="00F82E25">
        <w:tc>
          <w:tcPr>
            <w:tcW w:w="1250" w:type="pct"/>
          </w:tcPr>
          <w:p w14:paraId="7A6CEC97" w14:textId="77777777" w:rsidR="008B16A6" w:rsidRPr="00CA7DCF" w:rsidRDefault="008B16A6" w:rsidP="00632845">
            <w:pPr>
              <w:rPr>
                <w:rFonts w:hint="eastAsia"/>
              </w:rPr>
            </w:pPr>
            <w:r w:rsidRPr="00CA7DCF">
              <w:t>SD of intercept</w:t>
            </w:r>
          </w:p>
        </w:tc>
        <w:tc>
          <w:tcPr>
            <w:tcW w:w="1250" w:type="pct"/>
          </w:tcPr>
          <w:p w14:paraId="3FBD5737" w14:textId="5F3786E0" w:rsidR="008B16A6" w:rsidRPr="00CA7DCF" w:rsidRDefault="008B16A6" w:rsidP="00632845">
            <w:pPr>
              <w:jc w:val="center"/>
              <w:rPr>
                <w:rFonts w:hint="eastAsia"/>
              </w:rPr>
            </w:pPr>
            <w:r w:rsidRPr="00CA7DCF">
              <w:rPr>
                <w:rFonts w:hint="eastAsia"/>
              </w:rPr>
              <w:t>0.</w:t>
            </w:r>
            <w:r w:rsidR="005C6DA4">
              <w:rPr>
                <w:rFonts w:hint="eastAsia"/>
              </w:rPr>
              <w:t>679</w:t>
            </w:r>
          </w:p>
        </w:tc>
        <w:tc>
          <w:tcPr>
            <w:tcW w:w="1250" w:type="pct"/>
          </w:tcPr>
          <w:p w14:paraId="5DC7A448" w14:textId="38F6B846" w:rsidR="008B16A6" w:rsidRPr="00CA7DCF" w:rsidRDefault="008B16A6" w:rsidP="00632845">
            <w:pPr>
              <w:jc w:val="center"/>
              <w:rPr>
                <w:rFonts w:hint="eastAsia"/>
              </w:rPr>
            </w:pPr>
            <w:r w:rsidRPr="00CA7DCF">
              <w:rPr>
                <w:rFonts w:hint="eastAsia"/>
              </w:rPr>
              <w:t>0.</w:t>
            </w:r>
            <w:r w:rsidR="0078618C">
              <w:rPr>
                <w:rFonts w:hint="eastAsia"/>
              </w:rPr>
              <w:t>263</w:t>
            </w:r>
          </w:p>
        </w:tc>
        <w:tc>
          <w:tcPr>
            <w:tcW w:w="1250" w:type="pct"/>
          </w:tcPr>
          <w:p w14:paraId="4EF64D0D" w14:textId="0D3ECBCB" w:rsidR="008B16A6" w:rsidRPr="00CA7DCF" w:rsidRDefault="008B16A6" w:rsidP="00632845">
            <w:pPr>
              <w:jc w:val="center"/>
              <w:rPr>
                <w:rFonts w:hint="eastAsia"/>
              </w:rPr>
            </w:pPr>
            <w:r w:rsidRPr="00CA7DCF">
              <w:rPr>
                <w:rFonts w:hint="eastAsia"/>
              </w:rPr>
              <w:t>0.</w:t>
            </w:r>
            <w:r w:rsidR="00097FC0">
              <w:rPr>
                <w:rFonts w:hint="eastAsia"/>
              </w:rPr>
              <w:t>525</w:t>
            </w:r>
          </w:p>
        </w:tc>
      </w:tr>
      <w:tr w:rsidR="00CA7DCF" w:rsidRPr="00CA7DCF" w14:paraId="549F9B8D" w14:textId="77777777" w:rsidTr="00F82E25">
        <w:tc>
          <w:tcPr>
            <w:tcW w:w="1250" w:type="pct"/>
          </w:tcPr>
          <w:p w14:paraId="6A09025D" w14:textId="77777777" w:rsidR="008B16A6" w:rsidRPr="00CA7DCF" w:rsidRDefault="008B16A6" w:rsidP="00632845">
            <w:pPr>
              <w:rPr>
                <w:rFonts w:hint="eastAsia"/>
              </w:rPr>
            </w:pPr>
            <w:r w:rsidRPr="00CA7DCF">
              <w:t>SD of slope</w:t>
            </w:r>
          </w:p>
        </w:tc>
        <w:tc>
          <w:tcPr>
            <w:tcW w:w="1250" w:type="pct"/>
          </w:tcPr>
          <w:p w14:paraId="76AC948E" w14:textId="751FA63F" w:rsidR="008B16A6" w:rsidRPr="00CA7DCF" w:rsidRDefault="008B16A6" w:rsidP="00632845">
            <w:pPr>
              <w:jc w:val="center"/>
              <w:rPr>
                <w:rFonts w:hint="eastAsia"/>
              </w:rPr>
            </w:pPr>
            <w:r w:rsidRPr="00CA7DCF">
              <w:rPr>
                <w:rFonts w:hint="eastAsia"/>
              </w:rPr>
              <w:t>0.0</w:t>
            </w:r>
            <w:r w:rsidR="00D21AF8">
              <w:rPr>
                <w:rFonts w:hint="eastAsia"/>
              </w:rPr>
              <w:t>09</w:t>
            </w:r>
          </w:p>
        </w:tc>
        <w:tc>
          <w:tcPr>
            <w:tcW w:w="1250" w:type="pct"/>
          </w:tcPr>
          <w:p w14:paraId="55CC0591" w14:textId="11EA71A7" w:rsidR="008B16A6" w:rsidRPr="00CA7DCF" w:rsidRDefault="008B16A6" w:rsidP="00632845">
            <w:pPr>
              <w:jc w:val="center"/>
              <w:rPr>
                <w:rFonts w:hint="eastAsia"/>
              </w:rPr>
            </w:pPr>
            <w:r w:rsidRPr="00CA7DCF">
              <w:rPr>
                <w:rFonts w:hint="eastAsia"/>
              </w:rPr>
              <w:t>0.00</w:t>
            </w:r>
            <w:r w:rsidR="0078618C">
              <w:rPr>
                <w:rFonts w:hint="eastAsia"/>
              </w:rPr>
              <w:t>4</w:t>
            </w:r>
          </w:p>
        </w:tc>
        <w:tc>
          <w:tcPr>
            <w:tcW w:w="1250" w:type="pct"/>
          </w:tcPr>
          <w:p w14:paraId="0EFE80CB" w14:textId="1ADE9BD8" w:rsidR="008B16A6" w:rsidRPr="00CA7DCF" w:rsidRDefault="008B16A6" w:rsidP="00632845">
            <w:pPr>
              <w:jc w:val="center"/>
              <w:rPr>
                <w:rFonts w:hint="eastAsia"/>
              </w:rPr>
            </w:pPr>
            <w:r w:rsidRPr="00CA7DCF">
              <w:rPr>
                <w:rFonts w:hint="eastAsia"/>
              </w:rPr>
              <w:t>0.00</w:t>
            </w:r>
            <w:r w:rsidR="00097FC0">
              <w:rPr>
                <w:rFonts w:hint="eastAsia"/>
              </w:rPr>
              <w:t>7</w:t>
            </w:r>
          </w:p>
        </w:tc>
      </w:tr>
      <w:tr w:rsidR="00CA7DCF" w:rsidRPr="00CA7DCF" w14:paraId="443E4A4E" w14:textId="77777777" w:rsidTr="00F82E25">
        <w:tc>
          <w:tcPr>
            <w:tcW w:w="1250" w:type="pct"/>
          </w:tcPr>
          <w:p w14:paraId="0A1F45B8" w14:textId="77777777" w:rsidR="008B16A6" w:rsidRPr="00CA7DCF" w:rsidRDefault="008B16A6" w:rsidP="00632845">
            <w:pPr>
              <w:rPr>
                <w:rFonts w:hint="eastAsia"/>
              </w:rPr>
            </w:pPr>
          </w:p>
        </w:tc>
        <w:tc>
          <w:tcPr>
            <w:tcW w:w="1250" w:type="pct"/>
          </w:tcPr>
          <w:p w14:paraId="6CC260FC" w14:textId="77777777" w:rsidR="008B16A6" w:rsidRPr="00CA7DCF" w:rsidRDefault="008B16A6" w:rsidP="00632845">
            <w:pPr>
              <w:jc w:val="center"/>
              <w:rPr>
                <w:rFonts w:hint="eastAsia"/>
              </w:rPr>
            </w:pPr>
          </w:p>
        </w:tc>
        <w:tc>
          <w:tcPr>
            <w:tcW w:w="1250" w:type="pct"/>
          </w:tcPr>
          <w:p w14:paraId="780F85C6" w14:textId="77777777" w:rsidR="008B16A6" w:rsidRPr="00CA7DCF" w:rsidRDefault="008B16A6" w:rsidP="00632845">
            <w:pPr>
              <w:jc w:val="center"/>
              <w:rPr>
                <w:rFonts w:hint="eastAsia"/>
              </w:rPr>
            </w:pPr>
          </w:p>
        </w:tc>
        <w:tc>
          <w:tcPr>
            <w:tcW w:w="1250" w:type="pct"/>
          </w:tcPr>
          <w:p w14:paraId="068C023B" w14:textId="77777777" w:rsidR="008B16A6" w:rsidRPr="00CA7DCF" w:rsidRDefault="008B16A6" w:rsidP="00632845">
            <w:pPr>
              <w:jc w:val="center"/>
              <w:rPr>
                <w:rFonts w:hint="eastAsia"/>
              </w:rPr>
            </w:pPr>
          </w:p>
        </w:tc>
      </w:tr>
      <w:tr w:rsidR="00CA7DCF" w:rsidRPr="00CA7DCF" w14:paraId="21BDAE0D" w14:textId="77777777" w:rsidTr="00F82E25">
        <w:tc>
          <w:tcPr>
            <w:tcW w:w="1250" w:type="pct"/>
          </w:tcPr>
          <w:p w14:paraId="24B56702" w14:textId="77777777" w:rsidR="008B16A6" w:rsidRPr="00CA7DCF" w:rsidRDefault="008B16A6" w:rsidP="00632845">
            <w:pPr>
              <w:rPr>
                <w:rFonts w:hint="eastAsia"/>
                <w:b/>
                <w:bCs/>
                <w:i/>
                <w:iCs/>
              </w:rPr>
            </w:pPr>
            <w:r w:rsidRPr="00CA7DCF">
              <w:rPr>
                <w:b/>
                <w:bCs/>
                <w:i/>
                <w:iCs/>
              </w:rPr>
              <w:t xml:space="preserve">Area </w:t>
            </w:r>
          </w:p>
        </w:tc>
        <w:tc>
          <w:tcPr>
            <w:tcW w:w="1250" w:type="pct"/>
          </w:tcPr>
          <w:p w14:paraId="5E3D74F1" w14:textId="77777777" w:rsidR="008B16A6" w:rsidRPr="00CA7DCF" w:rsidRDefault="008B16A6" w:rsidP="00632845">
            <w:pPr>
              <w:jc w:val="center"/>
              <w:rPr>
                <w:rFonts w:hint="eastAsia"/>
              </w:rPr>
            </w:pPr>
          </w:p>
        </w:tc>
        <w:tc>
          <w:tcPr>
            <w:tcW w:w="1250" w:type="pct"/>
          </w:tcPr>
          <w:p w14:paraId="76BC2ABF" w14:textId="77777777" w:rsidR="008B16A6" w:rsidRPr="00CA7DCF" w:rsidRDefault="008B16A6" w:rsidP="00632845">
            <w:pPr>
              <w:jc w:val="center"/>
              <w:rPr>
                <w:rFonts w:hint="eastAsia"/>
              </w:rPr>
            </w:pPr>
          </w:p>
        </w:tc>
        <w:tc>
          <w:tcPr>
            <w:tcW w:w="1250" w:type="pct"/>
          </w:tcPr>
          <w:p w14:paraId="2BC0E27D" w14:textId="77777777" w:rsidR="008B16A6" w:rsidRPr="00CA7DCF" w:rsidRDefault="008B16A6" w:rsidP="00632845">
            <w:pPr>
              <w:jc w:val="center"/>
              <w:rPr>
                <w:rFonts w:hint="eastAsia"/>
              </w:rPr>
            </w:pPr>
          </w:p>
        </w:tc>
      </w:tr>
      <w:tr w:rsidR="00CA7DCF" w:rsidRPr="00CA7DCF" w14:paraId="3DC604D4" w14:textId="77777777" w:rsidTr="00F82E25">
        <w:tc>
          <w:tcPr>
            <w:tcW w:w="1250" w:type="pct"/>
          </w:tcPr>
          <w:p w14:paraId="04CAFDFF" w14:textId="77777777" w:rsidR="008B16A6" w:rsidRPr="00CA7DCF" w:rsidRDefault="008B16A6" w:rsidP="00632845">
            <w:pPr>
              <w:rPr>
                <w:rFonts w:hint="eastAsia"/>
              </w:rPr>
            </w:pPr>
            <w:r w:rsidRPr="00CA7DCF">
              <w:t>Fix effects</w:t>
            </w:r>
          </w:p>
        </w:tc>
        <w:tc>
          <w:tcPr>
            <w:tcW w:w="1250" w:type="pct"/>
          </w:tcPr>
          <w:p w14:paraId="7A7EC7DF" w14:textId="77777777" w:rsidR="008B16A6" w:rsidRPr="00CA7DCF" w:rsidRDefault="008B16A6" w:rsidP="00632845">
            <w:pPr>
              <w:jc w:val="center"/>
              <w:rPr>
                <w:rFonts w:hint="eastAsia"/>
              </w:rPr>
            </w:pPr>
          </w:p>
        </w:tc>
        <w:tc>
          <w:tcPr>
            <w:tcW w:w="1250" w:type="pct"/>
          </w:tcPr>
          <w:p w14:paraId="6CC6A49A" w14:textId="77777777" w:rsidR="008B16A6" w:rsidRPr="00CA7DCF" w:rsidRDefault="008B16A6" w:rsidP="00632845">
            <w:pPr>
              <w:jc w:val="center"/>
              <w:rPr>
                <w:rFonts w:hint="eastAsia"/>
              </w:rPr>
            </w:pPr>
          </w:p>
        </w:tc>
        <w:tc>
          <w:tcPr>
            <w:tcW w:w="1250" w:type="pct"/>
          </w:tcPr>
          <w:p w14:paraId="1BA5AC0C" w14:textId="77777777" w:rsidR="008B16A6" w:rsidRPr="00CA7DCF" w:rsidRDefault="008B16A6" w:rsidP="00632845">
            <w:pPr>
              <w:jc w:val="center"/>
              <w:rPr>
                <w:rFonts w:hint="eastAsia"/>
              </w:rPr>
            </w:pPr>
          </w:p>
        </w:tc>
      </w:tr>
      <w:tr w:rsidR="00CA7DCF" w:rsidRPr="00CA7DCF" w14:paraId="524108C9" w14:textId="77777777" w:rsidTr="00F82E25">
        <w:tc>
          <w:tcPr>
            <w:tcW w:w="1250" w:type="pct"/>
          </w:tcPr>
          <w:p w14:paraId="70B402E4" w14:textId="705AEF76" w:rsidR="008B16A6" w:rsidRPr="00CA7DCF" w:rsidRDefault="00096DCF" w:rsidP="00632845">
            <w:pPr>
              <w:rPr>
                <w:rFonts w:hint="eastAsia"/>
              </w:rPr>
            </w:pPr>
            <w:r w:rsidRPr="005C1922">
              <w:rPr>
                <w:lang w:val="it-IT"/>
              </w:rPr>
              <w:t>1</w:t>
            </w:r>
            <w:r>
              <w:rPr>
                <w:rFonts w:hint="eastAsia"/>
                <w:lang w:val="it-IT"/>
              </w:rPr>
              <w:t>-point</w:t>
            </w:r>
            <w:r w:rsidRPr="005C1922">
              <w:rPr>
                <w:lang w:val="it-IT"/>
              </w:rPr>
              <w:t xml:space="preserve"> </w:t>
            </w:r>
            <w:proofErr w:type="spellStart"/>
            <w:r w:rsidRPr="005C1922">
              <w:rPr>
                <w:lang w:val="it-IT"/>
              </w:rPr>
              <w:t>increment</w:t>
            </w:r>
            <w:proofErr w:type="spellEnd"/>
            <w:r w:rsidRPr="005C1922">
              <w:rPr>
                <w:lang w:val="it-IT"/>
              </w:rPr>
              <w:t xml:space="preserve"> in </w:t>
            </w:r>
            <w:proofErr w:type="spellStart"/>
            <w:r w:rsidRPr="005C1922">
              <w:rPr>
                <w:lang w:val="it-IT"/>
              </w:rPr>
              <w:t>AHEI</w:t>
            </w:r>
            <w:proofErr w:type="spellEnd"/>
            <w:r w:rsidRPr="005C1922">
              <w:rPr>
                <w:lang w:val="it-IT"/>
              </w:rPr>
              <w:t xml:space="preserve"> score</w:t>
            </w:r>
            <w:r w:rsidRPr="005C1922">
              <w:rPr>
                <w:rFonts w:hint="eastAsia"/>
                <w:lang w:val="it-IT"/>
              </w:rPr>
              <w:t xml:space="preserve"> (95% CI)</w:t>
            </w:r>
          </w:p>
        </w:tc>
        <w:tc>
          <w:tcPr>
            <w:tcW w:w="1250" w:type="pct"/>
          </w:tcPr>
          <w:p w14:paraId="44DFE8C7" w14:textId="6F887CC7" w:rsidR="008B16A6" w:rsidRPr="00CA7DCF" w:rsidRDefault="008B16A6" w:rsidP="00632845">
            <w:pPr>
              <w:jc w:val="center"/>
              <w:rPr>
                <w:rFonts w:hint="eastAsia"/>
              </w:rPr>
            </w:pPr>
            <w:r w:rsidRPr="00CA7DCF">
              <w:rPr>
                <w:rFonts w:hint="eastAsia"/>
              </w:rPr>
              <w:t>-0.0</w:t>
            </w:r>
            <w:r w:rsidR="00E32159">
              <w:rPr>
                <w:rFonts w:hint="eastAsia"/>
              </w:rPr>
              <w:t>66</w:t>
            </w:r>
            <w:r w:rsidRPr="00CA7DCF">
              <w:rPr>
                <w:rFonts w:hint="eastAsia"/>
              </w:rPr>
              <w:t>**</w:t>
            </w:r>
            <w:r w:rsidR="00E32159">
              <w:rPr>
                <w:rFonts w:hint="eastAsia"/>
              </w:rPr>
              <w:t>*</w:t>
            </w:r>
            <w:r w:rsidRPr="00CA7DCF">
              <w:rPr>
                <w:rFonts w:hint="eastAsia"/>
              </w:rPr>
              <w:t xml:space="preserve"> (-0.</w:t>
            </w:r>
            <w:r w:rsidR="004C1643">
              <w:rPr>
                <w:rFonts w:hint="eastAsia"/>
              </w:rPr>
              <w:t>081</w:t>
            </w:r>
            <w:r w:rsidRPr="00CA7DCF">
              <w:rPr>
                <w:rFonts w:hint="eastAsia"/>
              </w:rPr>
              <w:t>, -0.0</w:t>
            </w:r>
            <w:r w:rsidR="004C1643">
              <w:rPr>
                <w:rFonts w:hint="eastAsia"/>
              </w:rPr>
              <w:t>51</w:t>
            </w:r>
            <w:r w:rsidRPr="00CA7DCF">
              <w:rPr>
                <w:rFonts w:hint="eastAsia"/>
              </w:rPr>
              <w:t>)</w:t>
            </w:r>
          </w:p>
        </w:tc>
        <w:tc>
          <w:tcPr>
            <w:tcW w:w="1250" w:type="pct"/>
          </w:tcPr>
          <w:p w14:paraId="5CF1EF2F" w14:textId="7F0C2343" w:rsidR="008B16A6" w:rsidRPr="00CA7DCF" w:rsidRDefault="008B16A6" w:rsidP="00632845">
            <w:pPr>
              <w:jc w:val="center"/>
              <w:rPr>
                <w:rFonts w:hint="eastAsia"/>
              </w:rPr>
            </w:pPr>
            <w:r w:rsidRPr="00CA7DCF">
              <w:rPr>
                <w:rFonts w:hint="eastAsia"/>
              </w:rPr>
              <w:t>-0.0</w:t>
            </w:r>
            <w:r w:rsidR="004C47FF">
              <w:rPr>
                <w:rFonts w:hint="eastAsia"/>
              </w:rPr>
              <w:t>2</w:t>
            </w:r>
            <w:r w:rsidRPr="00CA7DCF">
              <w:rPr>
                <w:rFonts w:hint="eastAsia"/>
              </w:rPr>
              <w:t>3*** (-0.0</w:t>
            </w:r>
            <w:r w:rsidR="00710497">
              <w:rPr>
                <w:rFonts w:hint="eastAsia"/>
              </w:rPr>
              <w:t>28</w:t>
            </w:r>
            <w:r w:rsidRPr="00CA7DCF">
              <w:rPr>
                <w:rFonts w:hint="eastAsia"/>
              </w:rPr>
              <w:t>, -0.0</w:t>
            </w:r>
            <w:r w:rsidR="00710497">
              <w:rPr>
                <w:rFonts w:hint="eastAsia"/>
              </w:rPr>
              <w:t>18</w:t>
            </w:r>
            <w:r w:rsidRPr="00CA7DCF">
              <w:rPr>
                <w:rFonts w:hint="eastAsia"/>
              </w:rPr>
              <w:t>)</w:t>
            </w:r>
          </w:p>
        </w:tc>
        <w:tc>
          <w:tcPr>
            <w:tcW w:w="1250" w:type="pct"/>
          </w:tcPr>
          <w:p w14:paraId="4871D68F" w14:textId="0269AC47" w:rsidR="008B16A6" w:rsidRPr="00CA7DCF" w:rsidRDefault="008B16A6" w:rsidP="00632845">
            <w:pPr>
              <w:jc w:val="center"/>
              <w:rPr>
                <w:rFonts w:hint="eastAsia"/>
              </w:rPr>
            </w:pPr>
            <w:r w:rsidRPr="00CA7DCF">
              <w:t>-0.125* (-0.1</w:t>
            </w:r>
            <w:r w:rsidR="009339F2">
              <w:rPr>
                <w:rFonts w:hint="eastAsia"/>
              </w:rPr>
              <w:t>27</w:t>
            </w:r>
            <w:r w:rsidRPr="00CA7DCF">
              <w:t>, -0.</w:t>
            </w:r>
            <w:r w:rsidR="009339F2">
              <w:rPr>
                <w:rFonts w:hint="eastAsia"/>
              </w:rPr>
              <w:t>081</w:t>
            </w:r>
            <w:r w:rsidRPr="00CA7DCF">
              <w:t>)</w:t>
            </w:r>
          </w:p>
        </w:tc>
      </w:tr>
      <w:tr w:rsidR="00CA7DCF" w:rsidRPr="00CA7DCF" w14:paraId="4D151D58" w14:textId="77777777" w:rsidTr="00F82E25">
        <w:tc>
          <w:tcPr>
            <w:tcW w:w="1250" w:type="pct"/>
          </w:tcPr>
          <w:p w14:paraId="23FAE2E2" w14:textId="77777777" w:rsidR="008B16A6" w:rsidRPr="00CA7DCF" w:rsidRDefault="008B16A6" w:rsidP="00632845">
            <w:pPr>
              <w:rPr>
                <w:rFonts w:hint="eastAsia"/>
              </w:rPr>
            </w:pPr>
            <w:r w:rsidRPr="00CA7DCF">
              <w:t>Random effects*</w:t>
            </w:r>
          </w:p>
        </w:tc>
        <w:tc>
          <w:tcPr>
            <w:tcW w:w="1250" w:type="pct"/>
          </w:tcPr>
          <w:p w14:paraId="6ADEC61A" w14:textId="77777777" w:rsidR="008B16A6" w:rsidRPr="00CA7DCF" w:rsidRDefault="008B16A6" w:rsidP="00632845">
            <w:pPr>
              <w:jc w:val="center"/>
              <w:rPr>
                <w:rFonts w:hint="eastAsia"/>
              </w:rPr>
            </w:pPr>
          </w:p>
        </w:tc>
        <w:tc>
          <w:tcPr>
            <w:tcW w:w="1250" w:type="pct"/>
          </w:tcPr>
          <w:p w14:paraId="7F62B0A7" w14:textId="77777777" w:rsidR="008B16A6" w:rsidRPr="00CA7DCF" w:rsidRDefault="008B16A6" w:rsidP="00632845">
            <w:pPr>
              <w:jc w:val="center"/>
              <w:rPr>
                <w:rFonts w:hint="eastAsia"/>
              </w:rPr>
            </w:pPr>
          </w:p>
        </w:tc>
        <w:tc>
          <w:tcPr>
            <w:tcW w:w="1250" w:type="pct"/>
          </w:tcPr>
          <w:p w14:paraId="081FF560" w14:textId="77777777" w:rsidR="008B16A6" w:rsidRPr="00CA7DCF" w:rsidRDefault="008B16A6" w:rsidP="00632845">
            <w:pPr>
              <w:jc w:val="center"/>
              <w:rPr>
                <w:rFonts w:hint="eastAsia"/>
              </w:rPr>
            </w:pPr>
          </w:p>
        </w:tc>
      </w:tr>
      <w:tr w:rsidR="00CA7DCF" w:rsidRPr="00CA7DCF" w14:paraId="102993D8" w14:textId="77777777" w:rsidTr="00F82E25">
        <w:tc>
          <w:tcPr>
            <w:tcW w:w="1250" w:type="pct"/>
          </w:tcPr>
          <w:p w14:paraId="3E139F06" w14:textId="77777777" w:rsidR="008B16A6" w:rsidRPr="00CA7DCF" w:rsidRDefault="008B16A6" w:rsidP="00632845">
            <w:pPr>
              <w:rPr>
                <w:rFonts w:hint="eastAsia"/>
              </w:rPr>
            </w:pPr>
            <w:r w:rsidRPr="00CA7DCF">
              <w:t>SD of intercept</w:t>
            </w:r>
          </w:p>
        </w:tc>
        <w:tc>
          <w:tcPr>
            <w:tcW w:w="1250" w:type="pct"/>
          </w:tcPr>
          <w:p w14:paraId="11C86BCB" w14:textId="55FB10B3" w:rsidR="008B16A6" w:rsidRPr="00CA7DCF" w:rsidRDefault="008B16A6" w:rsidP="00632845">
            <w:pPr>
              <w:jc w:val="center"/>
              <w:rPr>
                <w:rFonts w:hint="eastAsia"/>
              </w:rPr>
            </w:pPr>
            <w:r w:rsidRPr="00CA7DCF">
              <w:rPr>
                <w:rFonts w:hint="eastAsia"/>
              </w:rPr>
              <w:t>0.1</w:t>
            </w:r>
            <w:r w:rsidR="004C1643">
              <w:rPr>
                <w:rFonts w:hint="eastAsia"/>
              </w:rPr>
              <w:t>44</w:t>
            </w:r>
          </w:p>
        </w:tc>
        <w:tc>
          <w:tcPr>
            <w:tcW w:w="1250" w:type="pct"/>
          </w:tcPr>
          <w:p w14:paraId="50DC1094" w14:textId="56B47978" w:rsidR="008B16A6" w:rsidRPr="00CA7DCF" w:rsidRDefault="008B16A6" w:rsidP="00632845">
            <w:pPr>
              <w:jc w:val="center"/>
              <w:rPr>
                <w:rFonts w:hint="eastAsia"/>
              </w:rPr>
            </w:pPr>
            <w:r w:rsidRPr="00CA7DCF">
              <w:rPr>
                <w:rFonts w:hint="eastAsia"/>
              </w:rPr>
              <w:t>0.1</w:t>
            </w:r>
            <w:r w:rsidR="004C47FF">
              <w:rPr>
                <w:rFonts w:hint="eastAsia"/>
              </w:rPr>
              <w:t>19</w:t>
            </w:r>
          </w:p>
        </w:tc>
        <w:tc>
          <w:tcPr>
            <w:tcW w:w="1250" w:type="pct"/>
          </w:tcPr>
          <w:p w14:paraId="2574E2B2" w14:textId="268B9F1C" w:rsidR="008B16A6" w:rsidRPr="00CA7DCF" w:rsidRDefault="008B16A6" w:rsidP="00632845">
            <w:pPr>
              <w:jc w:val="center"/>
              <w:rPr>
                <w:rFonts w:hint="eastAsia"/>
              </w:rPr>
            </w:pPr>
            <w:r w:rsidRPr="00CA7DCF">
              <w:rPr>
                <w:rFonts w:hint="eastAsia"/>
              </w:rPr>
              <w:t>0.1</w:t>
            </w:r>
            <w:r w:rsidR="000757C3">
              <w:rPr>
                <w:rFonts w:hint="eastAsia"/>
              </w:rPr>
              <w:t>48</w:t>
            </w:r>
          </w:p>
        </w:tc>
      </w:tr>
      <w:tr w:rsidR="00CA7DCF" w:rsidRPr="00CA7DCF" w14:paraId="72F01D3D" w14:textId="77777777" w:rsidTr="00F82E25">
        <w:tc>
          <w:tcPr>
            <w:tcW w:w="1250" w:type="pct"/>
          </w:tcPr>
          <w:p w14:paraId="26197C65" w14:textId="77777777" w:rsidR="008B16A6" w:rsidRPr="00CA7DCF" w:rsidRDefault="008B16A6" w:rsidP="00632845">
            <w:pPr>
              <w:rPr>
                <w:rFonts w:hint="eastAsia"/>
              </w:rPr>
            </w:pPr>
            <w:r w:rsidRPr="00CA7DCF">
              <w:t>SD of slope</w:t>
            </w:r>
          </w:p>
        </w:tc>
        <w:tc>
          <w:tcPr>
            <w:tcW w:w="1250" w:type="pct"/>
          </w:tcPr>
          <w:p w14:paraId="3AC5E7A3" w14:textId="1D795A50" w:rsidR="008B16A6" w:rsidRPr="00CA7DCF" w:rsidRDefault="008B16A6" w:rsidP="00632845">
            <w:pPr>
              <w:jc w:val="center"/>
              <w:rPr>
                <w:rFonts w:hint="eastAsia"/>
              </w:rPr>
            </w:pPr>
            <w:r w:rsidRPr="00CA7DCF">
              <w:rPr>
                <w:rFonts w:hint="eastAsia"/>
              </w:rPr>
              <w:t>0.00</w:t>
            </w:r>
            <w:r w:rsidR="00D434FE">
              <w:rPr>
                <w:rFonts w:hint="eastAsia"/>
              </w:rPr>
              <w:t>1</w:t>
            </w:r>
          </w:p>
        </w:tc>
        <w:tc>
          <w:tcPr>
            <w:tcW w:w="1250" w:type="pct"/>
          </w:tcPr>
          <w:p w14:paraId="555433DA" w14:textId="237AB907" w:rsidR="008B16A6" w:rsidRPr="00CA7DCF" w:rsidRDefault="008B16A6" w:rsidP="00632845">
            <w:pPr>
              <w:jc w:val="center"/>
              <w:rPr>
                <w:rFonts w:hint="eastAsia"/>
              </w:rPr>
            </w:pPr>
            <w:r w:rsidRPr="00CA7DCF">
              <w:rPr>
                <w:rFonts w:hint="eastAsia"/>
              </w:rPr>
              <w:t>0.00</w:t>
            </w:r>
            <w:r w:rsidR="004C47FF">
              <w:rPr>
                <w:rFonts w:hint="eastAsia"/>
              </w:rPr>
              <w:t>1</w:t>
            </w:r>
          </w:p>
        </w:tc>
        <w:tc>
          <w:tcPr>
            <w:tcW w:w="1250" w:type="pct"/>
          </w:tcPr>
          <w:p w14:paraId="1A5611A8" w14:textId="702C21B8" w:rsidR="008B16A6" w:rsidRPr="00CA7DCF" w:rsidRDefault="008B16A6" w:rsidP="00632845">
            <w:pPr>
              <w:jc w:val="center"/>
              <w:rPr>
                <w:rFonts w:hint="eastAsia"/>
              </w:rPr>
            </w:pPr>
            <w:r w:rsidRPr="00CA7DCF">
              <w:rPr>
                <w:rFonts w:hint="eastAsia"/>
              </w:rPr>
              <w:t>0.00</w:t>
            </w:r>
            <w:r w:rsidR="000757C3">
              <w:rPr>
                <w:rFonts w:hint="eastAsia"/>
              </w:rPr>
              <w:t>1</w:t>
            </w:r>
          </w:p>
        </w:tc>
      </w:tr>
    </w:tbl>
    <w:p w14:paraId="009EAABF" w14:textId="3FBF1AE0" w:rsidR="008B16A6" w:rsidRPr="00CA7DCF" w:rsidRDefault="008B16A6" w:rsidP="00632845">
      <w:pPr>
        <w:rPr>
          <w:rFonts w:hint="eastAsia"/>
        </w:rPr>
      </w:pPr>
      <w:r w:rsidRPr="00CA7DCF">
        <w:t>†Regression coefficients are all back-transformed from analysis on the log scale. Models were repeated in different demographic subgroups by gender, age, educational level, and area.</w:t>
      </w:r>
    </w:p>
    <w:p w14:paraId="0F5F9329" w14:textId="60160B1B" w:rsidR="00E303FF" w:rsidRPr="00CA7DCF" w:rsidRDefault="008B16A6" w:rsidP="00632845">
      <w:pPr>
        <w:rPr>
          <w:rFonts w:hint="eastAsia"/>
        </w:rPr>
      </w:pPr>
      <w:r w:rsidRPr="00CA7DCF">
        <w:t>*Random effect of the model included intercept and slope, and other covariates were fitted as fixed effects. SD: Standard deviation. p</w:t>
      </w:r>
      <w:r w:rsidRPr="00CA7DCF">
        <w:rPr>
          <w:rFonts w:ascii="Arial" w:hAnsi="Arial" w:cs="Arial"/>
        </w:rPr>
        <w:t> </w:t>
      </w:r>
      <w:r w:rsidRPr="00CA7DCF">
        <w:t>&lt;</w:t>
      </w:r>
      <w:r w:rsidRPr="00CA7DCF">
        <w:rPr>
          <w:rFonts w:ascii="Arial" w:hAnsi="Arial" w:cs="Arial"/>
        </w:rPr>
        <w:t> </w:t>
      </w:r>
      <w:r w:rsidRPr="00CA7DCF">
        <w:t>0.05, **p</w:t>
      </w:r>
      <w:r w:rsidRPr="00CA7DCF">
        <w:rPr>
          <w:rFonts w:ascii="Arial" w:hAnsi="Arial" w:cs="Arial"/>
        </w:rPr>
        <w:t> </w:t>
      </w:r>
      <w:r w:rsidRPr="00CA7DCF">
        <w:t>&lt;</w:t>
      </w:r>
      <w:r w:rsidRPr="00CA7DCF">
        <w:rPr>
          <w:rFonts w:ascii="Arial" w:hAnsi="Arial" w:cs="Arial"/>
        </w:rPr>
        <w:t> </w:t>
      </w:r>
      <w:r w:rsidRPr="00CA7DCF">
        <w:t>0.01, ***p</w:t>
      </w:r>
      <w:r w:rsidRPr="00CA7DCF">
        <w:rPr>
          <w:rFonts w:ascii="Arial" w:hAnsi="Arial" w:cs="Arial"/>
        </w:rPr>
        <w:t> </w:t>
      </w:r>
      <w:r w:rsidRPr="00CA7DCF">
        <w:t>&lt;</w:t>
      </w:r>
      <w:r w:rsidRPr="00CA7DCF">
        <w:rPr>
          <w:rFonts w:ascii="Arial" w:hAnsi="Arial" w:cs="Arial"/>
        </w:rPr>
        <w:t> </w:t>
      </w:r>
      <w:r w:rsidRPr="00CA7DCF">
        <w:t>0.001.</w:t>
      </w:r>
    </w:p>
    <w:p w14:paraId="0740721A" w14:textId="3B54E57E" w:rsidR="51E0068C" w:rsidRDefault="51E0068C" w:rsidP="51E0068C">
      <w:pPr>
        <w:jc w:val="both"/>
        <w:rPr>
          <w:rFonts w:hint="eastAsia"/>
        </w:rPr>
      </w:pPr>
    </w:p>
    <w:p w14:paraId="7E85F274" w14:textId="11104848" w:rsidR="003D0F75" w:rsidRPr="00CA7DCF" w:rsidRDefault="003D0F75" w:rsidP="6B6B33D6">
      <w:pPr>
        <w:pStyle w:val="Heading1"/>
        <w:jc w:val="both"/>
        <w:rPr>
          <w:b/>
          <w:bCs/>
          <w:color w:val="auto"/>
          <w:sz w:val="32"/>
          <w:szCs w:val="32"/>
        </w:rPr>
      </w:pPr>
      <w:bookmarkStart w:id="10" w:name="_Toc204093437"/>
      <w:r w:rsidRPr="00CA7DCF">
        <w:rPr>
          <w:b/>
          <w:bCs/>
          <w:color w:val="auto"/>
          <w:sz w:val="32"/>
          <w:szCs w:val="32"/>
        </w:rPr>
        <w:t xml:space="preserve">Supplementary Table </w:t>
      </w:r>
      <w:r w:rsidRPr="00CA7DCF">
        <w:rPr>
          <w:rFonts w:hint="eastAsia"/>
          <w:b/>
          <w:bCs/>
          <w:color w:val="auto"/>
          <w:sz w:val="32"/>
          <w:szCs w:val="32"/>
        </w:rPr>
        <w:t xml:space="preserve">5. </w:t>
      </w:r>
      <w:r w:rsidRPr="00CA7DCF">
        <w:rPr>
          <w:b/>
          <w:bCs/>
          <w:color w:val="auto"/>
          <w:sz w:val="32"/>
          <w:szCs w:val="32"/>
        </w:rPr>
        <w:t>Diet-related environmental impacts</w:t>
      </w:r>
      <w:r w:rsidRPr="00CA7DCF">
        <w:rPr>
          <w:rFonts w:hint="eastAsia"/>
          <w:b/>
          <w:bCs/>
          <w:color w:val="auto"/>
          <w:sz w:val="32"/>
          <w:szCs w:val="32"/>
        </w:rPr>
        <w:t xml:space="preserve"> (</w:t>
      </w:r>
      <w:r w:rsidRPr="00CA7DCF">
        <w:rPr>
          <w:b/>
          <w:bCs/>
          <w:color w:val="auto"/>
          <w:sz w:val="32"/>
          <w:szCs w:val="32"/>
        </w:rPr>
        <w:t>logarithmic</w:t>
      </w:r>
      <w:r w:rsidRPr="00CA7DCF">
        <w:rPr>
          <w:rFonts w:hint="eastAsia"/>
          <w:b/>
          <w:bCs/>
          <w:color w:val="auto"/>
          <w:sz w:val="32"/>
          <w:szCs w:val="32"/>
        </w:rPr>
        <w:t xml:space="preserve"> </w:t>
      </w:r>
      <w:r w:rsidRPr="00CA7DCF">
        <w:rPr>
          <w:b/>
          <w:bCs/>
          <w:color w:val="auto"/>
          <w:sz w:val="32"/>
          <w:szCs w:val="32"/>
        </w:rPr>
        <w:t>transformed</w:t>
      </w:r>
      <w:r w:rsidRPr="00CA7DCF">
        <w:rPr>
          <w:rFonts w:hint="eastAsia"/>
          <w:b/>
          <w:bCs/>
          <w:color w:val="auto"/>
          <w:sz w:val="32"/>
          <w:szCs w:val="32"/>
        </w:rPr>
        <w:t>)</w:t>
      </w:r>
      <w:r w:rsidRPr="00CA7DCF">
        <w:rPr>
          <w:b/>
          <w:bCs/>
          <w:color w:val="auto"/>
          <w:sz w:val="32"/>
          <w:szCs w:val="32"/>
        </w:rPr>
        <w:t xml:space="preserve"> as related to the AHEI-score</w:t>
      </w:r>
      <w:r w:rsidRPr="00CA7DCF">
        <w:rPr>
          <w:rFonts w:hint="eastAsia"/>
          <w:b/>
          <w:bCs/>
          <w:color w:val="auto"/>
          <w:sz w:val="32"/>
          <w:szCs w:val="32"/>
        </w:rPr>
        <w:t xml:space="preserve"> in general linear regression model</w:t>
      </w:r>
      <w:r w:rsidR="009D0A49" w:rsidRPr="00CA7DCF">
        <w:rPr>
          <w:b/>
          <w:bCs/>
          <w:color w:val="auto"/>
          <w:sz w:val="32"/>
          <w:szCs w:val="32"/>
          <w:vertAlign w:val="superscript"/>
        </w:rPr>
        <w:t>†</w:t>
      </w:r>
      <w:bookmarkEnd w:id="10"/>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6"/>
        <w:gridCol w:w="2256"/>
        <w:gridCol w:w="2257"/>
        <w:gridCol w:w="2257"/>
      </w:tblGrid>
      <w:tr w:rsidR="00CA7DCF" w:rsidRPr="00CA7DCF" w14:paraId="3E4DD2C0" w14:textId="77777777" w:rsidTr="00F82E25">
        <w:tc>
          <w:tcPr>
            <w:tcW w:w="1250" w:type="pct"/>
            <w:tcBorders>
              <w:top w:val="single" w:sz="4" w:space="0" w:color="auto"/>
              <w:bottom w:val="single" w:sz="4" w:space="0" w:color="auto"/>
            </w:tcBorders>
            <w:vAlign w:val="center"/>
          </w:tcPr>
          <w:p w14:paraId="192573C5" w14:textId="77777777" w:rsidR="009D0A49" w:rsidRPr="00CA7DCF" w:rsidRDefault="009D0A49" w:rsidP="00C47222">
            <w:pPr>
              <w:jc w:val="center"/>
              <w:rPr>
                <w:rFonts w:hint="eastAsia"/>
              </w:rPr>
            </w:pPr>
          </w:p>
        </w:tc>
        <w:tc>
          <w:tcPr>
            <w:tcW w:w="1250" w:type="pct"/>
            <w:tcBorders>
              <w:top w:val="single" w:sz="4" w:space="0" w:color="auto"/>
              <w:bottom w:val="single" w:sz="4" w:space="0" w:color="auto"/>
            </w:tcBorders>
            <w:vAlign w:val="center"/>
          </w:tcPr>
          <w:p w14:paraId="4CD7074F" w14:textId="77777777" w:rsidR="009D0A49" w:rsidRPr="00CA7DCF" w:rsidRDefault="009D0A49" w:rsidP="00C47222">
            <w:pPr>
              <w:jc w:val="center"/>
              <w:rPr>
                <w:rFonts w:hint="eastAsia"/>
              </w:rPr>
            </w:pPr>
            <w:r w:rsidRPr="00CA7DCF">
              <w:t>GHG emissions</w:t>
            </w:r>
          </w:p>
          <w:p w14:paraId="70404B1F" w14:textId="77777777" w:rsidR="009D0A49" w:rsidRPr="00CA7DCF" w:rsidRDefault="009D0A49" w:rsidP="00C47222">
            <w:pPr>
              <w:jc w:val="center"/>
              <w:rPr>
                <w:rFonts w:hint="eastAsia"/>
              </w:rPr>
            </w:pPr>
            <w:r w:rsidRPr="00CA7DCF">
              <w:t>(Kg CO</w:t>
            </w:r>
            <w:r w:rsidRPr="00CA7DCF">
              <w:rPr>
                <w:vertAlign w:val="subscript"/>
              </w:rPr>
              <w:t>2</w:t>
            </w:r>
            <w:r w:rsidRPr="00CA7DCF">
              <w:t>-eq/2000 kcal</w:t>
            </w:r>
            <w:r w:rsidRPr="00CA7DCF">
              <w:rPr>
                <w:rFonts w:hint="eastAsia"/>
              </w:rPr>
              <w:t xml:space="preserve"> </w:t>
            </w:r>
            <w:r w:rsidRPr="00CA7DCF">
              <w:t>)</w:t>
            </w:r>
          </w:p>
        </w:tc>
        <w:tc>
          <w:tcPr>
            <w:tcW w:w="1250" w:type="pct"/>
            <w:tcBorders>
              <w:top w:val="single" w:sz="4" w:space="0" w:color="auto"/>
              <w:bottom w:val="single" w:sz="4" w:space="0" w:color="auto"/>
            </w:tcBorders>
            <w:vAlign w:val="center"/>
          </w:tcPr>
          <w:p w14:paraId="6D8ED3E7" w14:textId="77777777" w:rsidR="009D0A49" w:rsidRPr="00CA7DCF" w:rsidRDefault="009D0A49" w:rsidP="00C47222">
            <w:pPr>
              <w:jc w:val="center"/>
              <w:rPr>
                <w:rFonts w:hint="eastAsia"/>
              </w:rPr>
            </w:pPr>
            <w:r w:rsidRPr="00CA7DCF">
              <w:t>TWU</w:t>
            </w:r>
          </w:p>
          <w:p w14:paraId="1B6437A3" w14:textId="77777777" w:rsidR="009D0A49" w:rsidRPr="00CA7DCF" w:rsidRDefault="009D0A49" w:rsidP="00C47222">
            <w:pPr>
              <w:jc w:val="center"/>
              <w:rPr>
                <w:rFonts w:hint="eastAsia"/>
              </w:rPr>
            </w:pPr>
            <w:r w:rsidRPr="00CA7DCF">
              <w:t>(M</w:t>
            </w:r>
            <w:r w:rsidRPr="00CA7DCF">
              <w:rPr>
                <w:vertAlign w:val="superscript"/>
              </w:rPr>
              <w:t>3</w:t>
            </w:r>
            <w:r w:rsidRPr="00CA7DCF">
              <w:t>/2000 kcal)</w:t>
            </w:r>
          </w:p>
        </w:tc>
        <w:tc>
          <w:tcPr>
            <w:tcW w:w="1250" w:type="pct"/>
            <w:tcBorders>
              <w:top w:val="single" w:sz="4" w:space="0" w:color="auto"/>
              <w:bottom w:val="single" w:sz="4" w:space="0" w:color="auto"/>
            </w:tcBorders>
            <w:vAlign w:val="center"/>
          </w:tcPr>
          <w:p w14:paraId="6EB71F49" w14:textId="77777777" w:rsidR="009D0A49" w:rsidRPr="00CA7DCF" w:rsidRDefault="009D0A49" w:rsidP="00C47222">
            <w:pPr>
              <w:jc w:val="center"/>
              <w:rPr>
                <w:rFonts w:hint="eastAsia"/>
              </w:rPr>
            </w:pPr>
            <w:r w:rsidRPr="00CA7DCF">
              <w:t>LU</w:t>
            </w:r>
          </w:p>
          <w:p w14:paraId="023820C5" w14:textId="77777777" w:rsidR="009D0A49" w:rsidRPr="00CA7DCF" w:rsidRDefault="009D0A49" w:rsidP="00C47222">
            <w:pPr>
              <w:jc w:val="center"/>
              <w:rPr>
                <w:rFonts w:hint="eastAsia"/>
              </w:rPr>
            </w:pPr>
            <w:r w:rsidRPr="00CA7DCF">
              <w:t>(M</w:t>
            </w:r>
            <w:r w:rsidRPr="00CA7DCF">
              <w:rPr>
                <w:vertAlign w:val="superscript"/>
              </w:rPr>
              <w:t>2</w:t>
            </w:r>
            <w:r w:rsidRPr="00CA7DCF">
              <w:t>/2000 kcal)</w:t>
            </w:r>
          </w:p>
        </w:tc>
      </w:tr>
      <w:tr w:rsidR="00CA7DCF" w:rsidRPr="00CA7DCF" w14:paraId="214C6A19" w14:textId="77777777" w:rsidTr="00F82E25">
        <w:tc>
          <w:tcPr>
            <w:tcW w:w="1250" w:type="pct"/>
            <w:tcBorders>
              <w:top w:val="single" w:sz="4" w:space="0" w:color="auto"/>
            </w:tcBorders>
            <w:vAlign w:val="center"/>
          </w:tcPr>
          <w:p w14:paraId="332DC14B" w14:textId="05CDADAF" w:rsidR="009D0A49" w:rsidRPr="00CA7DCF" w:rsidRDefault="00B50FA6" w:rsidP="00C47222">
            <w:pPr>
              <w:rPr>
                <w:rFonts w:hint="eastAsia"/>
              </w:rPr>
            </w:pPr>
            <w:r w:rsidRPr="00B50FA6">
              <w:t xml:space="preserve">AHEI </w:t>
            </w:r>
            <w:r w:rsidR="007A38CB" w:rsidRPr="00CA7DCF">
              <w:rPr>
                <w:rFonts w:hint="eastAsia"/>
              </w:rPr>
              <w:t>(95% CI)</w:t>
            </w:r>
          </w:p>
        </w:tc>
        <w:tc>
          <w:tcPr>
            <w:tcW w:w="1250" w:type="pct"/>
            <w:tcBorders>
              <w:top w:val="single" w:sz="4" w:space="0" w:color="auto"/>
            </w:tcBorders>
            <w:vAlign w:val="center"/>
          </w:tcPr>
          <w:p w14:paraId="71BCD15F" w14:textId="2B9A1D96" w:rsidR="00B50FA6" w:rsidRPr="00CA7DCF" w:rsidRDefault="24DC663B" w:rsidP="00C47222">
            <w:pPr>
              <w:jc w:val="center"/>
              <w:rPr>
                <w:rFonts w:hint="eastAsia"/>
              </w:rPr>
            </w:pPr>
            <w:r>
              <w:t>-0.</w:t>
            </w:r>
            <w:r w:rsidR="31DAFEAA">
              <w:t>0</w:t>
            </w:r>
            <w:r w:rsidR="7939A118">
              <w:t>6</w:t>
            </w:r>
            <w:r w:rsidR="4E36A3A8">
              <w:t>6</w:t>
            </w:r>
            <w:r>
              <w:t>***</w:t>
            </w:r>
          </w:p>
          <w:p w14:paraId="7D5D1A4E" w14:textId="54F74947" w:rsidR="009D0A49" w:rsidRPr="00CA7DCF" w:rsidRDefault="22FB50FB" w:rsidP="00714A6A">
            <w:pPr>
              <w:jc w:val="center"/>
              <w:rPr>
                <w:rFonts w:hint="eastAsia"/>
              </w:rPr>
            </w:pPr>
            <w:r>
              <w:t>(</w:t>
            </w:r>
            <w:r w:rsidR="0E6897C3">
              <w:t>-0.</w:t>
            </w:r>
            <w:r w:rsidR="31DAFEAA">
              <w:t>0</w:t>
            </w:r>
            <w:r w:rsidR="2426F0E0">
              <w:t>72</w:t>
            </w:r>
            <w:r w:rsidR="0E6897C3">
              <w:t>, -0.0</w:t>
            </w:r>
            <w:r w:rsidR="5C5F7F5C">
              <w:t>61</w:t>
            </w:r>
            <w:r>
              <w:t>)</w:t>
            </w:r>
          </w:p>
        </w:tc>
        <w:tc>
          <w:tcPr>
            <w:tcW w:w="1250" w:type="pct"/>
            <w:tcBorders>
              <w:top w:val="single" w:sz="4" w:space="0" w:color="auto"/>
            </w:tcBorders>
            <w:vAlign w:val="center"/>
          </w:tcPr>
          <w:p w14:paraId="1717012F" w14:textId="61274BD1" w:rsidR="008337C7" w:rsidRDefault="00BD3878" w:rsidP="00C47222">
            <w:pPr>
              <w:jc w:val="center"/>
              <w:rPr>
                <w:rFonts w:hint="eastAsia"/>
              </w:rPr>
            </w:pPr>
            <w:r w:rsidRPr="00CA7DCF">
              <w:rPr>
                <w:rFonts w:hint="eastAsia"/>
              </w:rPr>
              <w:t>-0.0</w:t>
            </w:r>
            <w:r w:rsidR="0075740F">
              <w:rPr>
                <w:rFonts w:hint="eastAsia"/>
              </w:rPr>
              <w:t>23</w:t>
            </w:r>
            <w:r w:rsidR="00B50FDA" w:rsidRPr="00CA7DCF">
              <w:rPr>
                <w:rFonts w:hint="eastAsia"/>
              </w:rPr>
              <w:t>***</w:t>
            </w:r>
          </w:p>
          <w:p w14:paraId="77C72E26" w14:textId="24927E79" w:rsidR="009D0A49" w:rsidRPr="00CA7DCF" w:rsidRDefault="00BD3878" w:rsidP="00C47222">
            <w:pPr>
              <w:jc w:val="center"/>
              <w:rPr>
                <w:rFonts w:hint="eastAsia"/>
              </w:rPr>
            </w:pPr>
            <w:r w:rsidRPr="00CA7DCF">
              <w:rPr>
                <w:rFonts w:hint="eastAsia"/>
              </w:rPr>
              <w:t>(</w:t>
            </w:r>
            <w:r w:rsidR="00387627" w:rsidRPr="00CA7DCF">
              <w:rPr>
                <w:rFonts w:hint="eastAsia"/>
              </w:rPr>
              <w:t>-0.0</w:t>
            </w:r>
            <w:r w:rsidR="0050629F">
              <w:rPr>
                <w:rFonts w:hint="eastAsia"/>
              </w:rPr>
              <w:t>26</w:t>
            </w:r>
            <w:r w:rsidR="00387627" w:rsidRPr="00CA7DCF">
              <w:rPr>
                <w:rFonts w:hint="eastAsia"/>
              </w:rPr>
              <w:t>, -0.0</w:t>
            </w:r>
            <w:r w:rsidR="0050629F">
              <w:rPr>
                <w:rFonts w:hint="eastAsia"/>
              </w:rPr>
              <w:t>21</w:t>
            </w:r>
            <w:r w:rsidRPr="00CA7DCF">
              <w:rPr>
                <w:rFonts w:hint="eastAsia"/>
              </w:rPr>
              <w:t>)</w:t>
            </w:r>
          </w:p>
        </w:tc>
        <w:tc>
          <w:tcPr>
            <w:tcW w:w="1250" w:type="pct"/>
            <w:tcBorders>
              <w:top w:val="single" w:sz="4" w:space="0" w:color="auto"/>
            </w:tcBorders>
            <w:vAlign w:val="center"/>
          </w:tcPr>
          <w:p w14:paraId="3B51A1C4" w14:textId="0DD55110" w:rsidR="008337C7" w:rsidRDefault="008E218D" w:rsidP="00C47222">
            <w:pPr>
              <w:jc w:val="center"/>
              <w:rPr>
                <w:rFonts w:hint="eastAsia"/>
              </w:rPr>
            </w:pPr>
            <w:r w:rsidRPr="00CA7DCF">
              <w:rPr>
                <w:rFonts w:hint="eastAsia"/>
              </w:rPr>
              <w:t>-0.</w:t>
            </w:r>
            <w:r w:rsidR="003542DD">
              <w:rPr>
                <w:rFonts w:hint="eastAsia"/>
              </w:rPr>
              <w:t>105</w:t>
            </w:r>
            <w:r w:rsidR="0058445C" w:rsidRPr="00CA7DCF">
              <w:rPr>
                <w:rFonts w:hint="eastAsia"/>
              </w:rPr>
              <w:t>***</w:t>
            </w:r>
          </w:p>
          <w:p w14:paraId="2F4265E9" w14:textId="0ADC4740" w:rsidR="009D0A49" w:rsidRPr="00CA7DCF" w:rsidRDefault="008E218D" w:rsidP="00C47222">
            <w:pPr>
              <w:jc w:val="center"/>
              <w:rPr>
                <w:rFonts w:hint="eastAsia"/>
              </w:rPr>
            </w:pPr>
            <w:r w:rsidRPr="00CA7DCF">
              <w:rPr>
                <w:rFonts w:hint="eastAsia"/>
              </w:rPr>
              <w:t>(-0.</w:t>
            </w:r>
            <w:r w:rsidR="003542DD">
              <w:rPr>
                <w:rFonts w:hint="eastAsia"/>
              </w:rPr>
              <w:t>113</w:t>
            </w:r>
            <w:r w:rsidRPr="00CA7DCF">
              <w:rPr>
                <w:rFonts w:hint="eastAsia"/>
              </w:rPr>
              <w:t>, -0.0</w:t>
            </w:r>
            <w:r w:rsidR="003542DD">
              <w:rPr>
                <w:rFonts w:hint="eastAsia"/>
              </w:rPr>
              <w:t>96</w:t>
            </w:r>
            <w:r w:rsidRPr="00CA7DCF">
              <w:rPr>
                <w:rFonts w:hint="eastAsia"/>
              </w:rPr>
              <w:t>)</w:t>
            </w:r>
          </w:p>
        </w:tc>
      </w:tr>
      <w:tr w:rsidR="00DF0EB9" w:rsidRPr="00CA7DCF" w14:paraId="6E8FD98D" w14:textId="77777777" w:rsidTr="00F82E25">
        <w:tc>
          <w:tcPr>
            <w:tcW w:w="1250" w:type="pct"/>
            <w:vAlign w:val="center"/>
          </w:tcPr>
          <w:p w14:paraId="3694F92A" w14:textId="387A1420" w:rsidR="00DF0EB9" w:rsidRPr="00B50FA6" w:rsidRDefault="00DF0EB9" w:rsidP="00DF0EB9">
            <w:pPr>
              <w:rPr>
                <w:rFonts w:hint="eastAsia"/>
              </w:rPr>
            </w:pPr>
            <w:r w:rsidRPr="00CA7DCF">
              <w:rPr>
                <w:rFonts w:hint="eastAsia"/>
              </w:rPr>
              <w:t>Education (reference to high level)</w:t>
            </w:r>
          </w:p>
        </w:tc>
        <w:tc>
          <w:tcPr>
            <w:tcW w:w="1250" w:type="pct"/>
            <w:vAlign w:val="center"/>
          </w:tcPr>
          <w:p w14:paraId="0C27A14B" w14:textId="77777777" w:rsidR="00DF0EB9" w:rsidRDefault="00DF0EB9" w:rsidP="00DF0EB9">
            <w:pPr>
              <w:jc w:val="center"/>
              <w:rPr>
                <w:rFonts w:hint="eastAsia"/>
              </w:rPr>
            </w:pPr>
          </w:p>
        </w:tc>
        <w:tc>
          <w:tcPr>
            <w:tcW w:w="1250" w:type="pct"/>
            <w:vAlign w:val="center"/>
          </w:tcPr>
          <w:p w14:paraId="67637656" w14:textId="77777777" w:rsidR="00DF0EB9" w:rsidRPr="00CA7DCF" w:rsidRDefault="00DF0EB9" w:rsidP="00DF0EB9">
            <w:pPr>
              <w:jc w:val="center"/>
              <w:rPr>
                <w:rFonts w:hint="eastAsia"/>
              </w:rPr>
            </w:pPr>
          </w:p>
        </w:tc>
        <w:tc>
          <w:tcPr>
            <w:tcW w:w="1250" w:type="pct"/>
            <w:vAlign w:val="center"/>
          </w:tcPr>
          <w:p w14:paraId="6DBFB501" w14:textId="77777777" w:rsidR="00DF0EB9" w:rsidRPr="00CA7DCF" w:rsidRDefault="00DF0EB9" w:rsidP="00DF0EB9">
            <w:pPr>
              <w:jc w:val="center"/>
              <w:rPr>
                <w:rFonts w:hint="eastAsia"/>
              </w:rPr>
            </w:pPr>
          </w:p>
        </w:tc>
      </w:tr>
      <w:tr w:rsidR="00DF0EB9" w:rsidRPr="00CA7DCF" w14:paraId="50BDA373" w14:textId="77777777" w:rsidTr="00F82E25">
        <w:tc>
          <w:tcPr>
            <w:tcW w:w="1250" w:type="pct"/>
            <w:vAlign w:val="center"/>
          </w:tcPr>
          <w:p w14:paraId="768C9FD3" w14:textId="3E62E8DD" w:rsidR="00DF0EB9" w:rsidRPr="00B50FA6" w:rsidRDefault="00DF0EB9" w:rsidP="00DF0EB9">
            <w:pPr>
              <w:jc w:val="right"/>
              <w:rPr>
                <w:rFonts w:hint="eastAsia"/>
              </w:rPr>
            </w:pPr>
            <w:r w:rsidRPr="00725982">
              <w:rPr>
                <w:i/>
                <w:iCs/>
              </w:rPr>
              <w:t>L</w:t>
            </w:r>
            <w:r w:rsidRPr="00725982">
              <w:rPr>
                <w:rFonts w:hint="eastAsia"/>
                <w:i/>
                <w:iCs/>
              </w:rPr>
              <w:t>ow level</w:t>
            </w:r>
          </w:p>
        </w:tc>
        <w:tc>
          <w:tcPr>
            <w:tcW w:w="1250" w:type="pct"/>
            <w:vAlign w:val="center"/>
          </w:tcPr>
          <w:p w14:paraId="738C4CEF" w14:textId="77777777" w:rsidR="00DF0EB9" w:rsidRDefault="00DF0EB9" w:rsidP="00DF0EB9">
            <w:pPr>
              <w:jc w:val="center"/>
              <w:rPr>
                <w:rFonts w:hint="eastAsia"/>
              </w:rPr>
            </w:pPr>
            <w:r w:rsidRPr="00CA7DCF">
              <w:rPr>
                <w:rFonts w:hint="eastAsia"/>
              </w:rPr>
              <w:t>-0.</w:t>
            </w:r>
            <w:r>
              <w:t>803</w:t>
            </w:r>
            <w:r w:rsidRPr="00CA7DCF">
              <w:rPr>
                <w:rFonts w:hint="eastAsia"/>
              </w:rPr>
              <w:t>***</w:t>
            </w:r>
          </w:p>
          <w:p w14:paraId="0BDC48FB" w14:textId="6870672E" w:rsidR="00DF0EB9" w:rsidRDefault="00DF0EB9" w:rsidP="00DF0EB9">
            <w:pPr>
              <w:jc w:val="center"/>
              <w:rPr>
                <w:rFonts w:hint="eastAsia"/>
              </w:rPr>
            </w:pPr>
            <w:r w:rsidRPr="00CA7DCF">
              <w:rPr>
                <w:rFonts w:hint="eastAsia"/>
              </w:rPr>
              <w:t>(-0.</w:t>
            </w:r>
            <w:r>
              <w:t>872</w:t>
            </w:r>
            <w:r w:rsidRPr="00CA7DCF">
              <w:rPr>
                <w:rFonts w:hint="eastAsia"/>
              </w:rPr>
              <w:t>, -0.</w:t>
            </w:r>
            <w:r>
              <w:t>732</w:t>
            </w:r>
            <w:r w:rsidRPr="00CA7DCF">
              <w:rPr>
                <w:rFonts w:hint="eastAsia"/>
              </w:rPr>
              <w:t>)</w:t>
            </w:r>
          </w:p>
        </w:tc>
        <w:tc>
          <w:tcPr>
            <w:tcW w:w="1250" w:type="pct"/>
            <w:vAlign w:val="center"/>
          </w:tcPr>
          <w:p w14:paraId="3B334161" w14:textId="66C031D3" w:rsidR="00DF0EB9" w:rsidRDefault="00DF0EB9" w:rsidP="00DF0EB9">
            <w:pPr>
              <w:jc w:val="center"/>
              <w:rPr>
                <w:rFonts w:hint="eastAsia"/>
              </w:rPr>
            </w:pPr>
            <w:r w:rsidRPr="00CA7DCF">
              <w:rPr>
                <w:rFonts w:hint="eastAsia"/>
              </w:rPr>
              <w:t>-0.</w:t>
            </w:r>
            <w:r w:rsidR="00515C59">
              <w:rPr>
                <w:rFonts w:hint="eastAsia"/>
              </w:rPr>
              <w:t>453</w:t>
            </w:r>
            <w:r w:rsidRPr="00CA7DCF">
              <w:rPr>
                <w:rFonts w:hint="eastAsia"/>
              </w:rPr>
              <w:t>***</w:t>
            </w:r>
          </w:p>
          <w:p w14:paraId="1CE88B3E" w14:textId="4C855C06" w:rsidR="00DF0EB9" w:rsidRPr="00CA7DCF" w:rsidRDefault="00DF0EB9" w:rsidP="00DF0EB9">
            <w:pPr>
              <w:jc w:val="center"/>
              <w:rPr>
                <w:rFonts w:hint="eastAsia"/>
              </w:rPr>
            </w:pPr>
            <w:r w:rsidRPr="00CA7DCF">
              <w:rPr>
                <w:rFonts w:hint="eastAsia"/>
              </w:rPr>
              <w:t>(-0.</w:t>
            </w:r>
            <w:r w:rsidR="00D84D6E">
              <w:rPr>
                <w:rFonts w:hint="eastAsia"/>
              </w:rPr>
              <w:t>49</w:t>
            </w:r>
            <w:r w:rsidR="00E15CF7">
              <w:rPr>
                <w:rFonts w:hint="eastAsia"/>
              </w:rPr>
              <w:t>1</w:t>
            </w:r>
            <w:r w:rsidRPr="00CA7DCF">
              <w:rPr>
                <w:rFonts w:hint="eastAsia"/>
              </w:rPr>
              <w:t>, -0.</w:t>
            </w:r>
            <w:r w:rsidR="00D84D6E">
              <w:rPr>
                <w:rFonts w:hint="eastAsia"/>
              </w:rPr>
              <w:t>416</w:t>
            </w:r>
            <w:r w:rsidRPr="00CA7DCF">
              <w:rPr>
                <w:rFonts w:hint="eastAsia"/>
              </w:rPr>
              <w:t>)</w:t>
            </w:r>
          </w:p>
        </w:tc>
        <w:tc>
          <w:tcPr>
            <w:tcW w:w="1250" w:type="pct"/>
            <w:vAlign w:val="center"/>
          </w:tcPr>
          <w:p w14:paraId="5357CED0" w14:textId="4260627C" w:rsidR="00DF0EB9" w:rsidRDefault="00DF0EB9" w:rsidP="00DF0EB9">
            <w:pPr>
              <w:jc w:val="center"/>
              <w:rPr>
                <w:rFonts w:hint="eastAsia"/>
              </w:rPr>
            </w:pPr>
            <w:r w:rsidRPr="00CA7DCF">
              <w:rPr>
                <w:rFonts w:hint="eastAsia"/>
              </w:rPr>
              <w:t>-</w:t>
            </w:r>
            <w:r w:rsidR="003542DD">
              <w:rPr>
                <w:rFonts w:hint="eastAsia"/>
              </w:rPr>
              <w:t>1.257</w:t>
            </w:r>
            <w:r w:rsidRPr="00CA7DCF">
              <w:rPr>
                <w:rFonts w:hint="eastAsia"/>
              </w:rPr>
              <w:t>***</w:t>
            </w:r>
          </w:p>
          <w:p w14:paraId="20329CFF" w14:textId="5BACC82F" w:rsidR="00DF0EB9" w:rsidRPr="00CA7DCF" w:rsidRDefault="00DF0EB9" w:rsidP="00DF0EB9">
            <w:pPr>
              <w:jc w:val="center"/>
              <w:rPr>
                <w:rFonts w:hint="eastAsia"/>
              </w:rPr>
            </w:pPr>
            <w:r w:rsidRPr="00CA7DCF">
              <w:rPr>
                <w:rFonts w:hint="eastAsia"/>
              </w:rPr>
              <w:t>(-</w:t>
            </w:r>
            <w:r w:rsidR="003542DD">
              <w:rPr>
                <w:rFonts w:hint="eastAsia"/>
              </w:rPr>
              <w:t>1.366</w:t>
            </w:r>
            <w:r w:rsidRPr="00CA7DCF">
              <w:rPr>
                <w:rFonts w:hint="eastAsia"/>
              </w:rPr>
              <w:t>, -</w:t>
            </w:r>
            <w:r w:rsidR="003542DD">
              <w:rPr>
                <w:rFonts w:hint="eastAsia"/>
              </w:rPr>
              <w:t>1.145</w:t>
            </w:r>
            <w:r w:rsidRPr="00CA7DCF">
              <w:rPr>
                <w:rFonts w:hint="eastAsia"/>
              </w:rPr>
              <w:t>)</w:t>
            </w:r>
          </w:p>
        </w:tc>
      </w:tr>
      <w:tr w:rsidR="00DF0EB9" w:rsidRPr="00CA7DCF" w14:paraId="66AD1500" w14:textId="77777777" w:rsidTr="00F82E25">
        <w:tc>
          <w:tcPr>
            <w:tcW w:w="1250" w:type="pct"/>
            <w:vAlign w:val="center"/>
          </w:tcPr>
          <w:p w14:paraId="43425A88" w14:textId="76BC7D26" w:rsidR="00DF0EB9" w:rsidRPr="00B50FA6" w:rsidRDefault="00DF0EB9" w:rsidP="00DF0EB9">
            <w:pPr>
              <w:jc w:val="right"/>
              <w:rPr>
                <w:rFonts w:hint="eastAsia"/>
              </w:rPr>
            </w:pPr>
            <w:r w:rsidRPr="00725982">
              <w:rPr>
                <w:i/>
                <w:iCs/>
              </w:rPr>
              <w:t>M</w:t>
            </w:r>
            <w:r w:rsidRPr="00725982">
              <w:rPr>
                <w:rFonts w:hint="eastAsia"/>
                <w:i/>
                <w:iCs/>
              </w:rPr>
              <w:t>edium level</w:t>
            </w:r>
          </w:p>
        </w:tc>
        <w:tc>
          <w:tcPr>
            <w:tcW w:w="1250" w:type="pct"/>
            <w:vAlign w:val="center"/>
          </w:tcPr>
          <w:p w14:paraId="381A14CA" w14:textId="77777777" w:rsidR="00DF0EB9" w:rsidRDefault="00DF0EB9" w:rsidP="00DF0EB9">
            <w:pPr>
              <w:jc w:val="center"/>
              <w:rPr>
                <w:rFonts w:hint="eastAsia"/>
              </w:rPr>
            </w:pPr>
            <w:r w:rsidRPr="00CA7DCF">
              <w:rPr>
                <w:rFonts w:hint="eastAsia"/>
              </w:rPr>
              <w:t>-0.</w:t>
            </w:r>
            <w:r>
              <w:t>451</w:t>
            </w:r>
            <w:r w:rsidRPr="00CA7DCF">
              <w:rPr>
                <w:rFonts w:hint="eastAsia"/>
              </w:rPr>
              <w:t>***</w:t>
            </w:r>
          </w:p>
          <w:p w14:paraId="6397E706" w14:textId="5B9C5822" w:rsidR="00DF0EB9" w:rsidRDefault="00DF0EB9" w:rsidP="00DF0EB9">
            <w:pPr>
              <w:jc w:val="center"/>
              <w:rPr>
                <w:rFonts w:hint="eastAsia"/>
              </w:rPr>
            </w:pPr>
            <w:r w:rsidRPr="00CA7DCF">
              <w:rPr>
                <w:rFonts w:hint="eastAsia"/>
              </w:rPr>
              <w:t>(-0.</w:t>
            </w:r>
            <w:r>
              <w:t>526</w:t>
            </w:r>
            <w:r w:rsidRPr="00CA7DCF">
              <w:rPr>
                <w:rFonts w:hint="eastAsia"/>
              </w:rPr>
              <w:t>, -0.</w:t>
            </w:r>
            <w:r>
              <w:t>374</w:t>
            </w:r>
            <w:r w:rsidRPr="00CA7DCF">
              <w:rPr>
                <w:rFonts w:hint="eastAsia"/>
              </w:rPr>
              <w:t>)</w:t>
            </w:r>
          </w:p>
        </w:tc>
        <w:tc>
          <w:tcPr>
            <w:tcW w:w="1250" w:type="pct"/>
            <w:vAlign w:val="center"/>
          </w:tcPr>
          <w:p w14:paraId="17EDE686" w14:textId="7AE73A74" w:rsidR="00DF0EB9" w:rsidRDefault="00DF0EB9" w:rsidP="00DF0EB9">
            <w:pPr>
              <w:jc w:val="center"/>
              <w:rPr>
                <w:rFonts w:hint="eastAsia"/>
              </w:rPr>
            </w:pPr>
            <w:r w:rsidRPr="00CA7DCF">
              <w:rPr>
                <w:rFonts w:hint="eastAsia"/>
              </w:rPr>
              <w:t>-0.</w:t>
            </w:r>
            <w:r w:rsidR="00F358B7">
              <w:rPr>
                <w:rFonts w:hint="eastAsia"/>
              </w:rPr>
              <w:t>263</w:t>
            </w:r>
            <w:r w:rsidRPr="00CA7DCF">
              <w:rPr>
                <w:rFonts w:hint="eastAsia"/>
              </w:rPr>
              <w:t>***</w:t>
            </w:r>
          </w:p>
          <w:p w14:paraId="5586C64B" w14:textId="5E63B5BD" w:rsidR="00DF0EB9" w:rsidRPr="00CA7DCF" w:rsidRDefault="00DF0EB9" w:rsidP="00DF0EB9">
            <w:pPr>
              <w:jc w:val="center"/>
              <w:rPr>
                <w:rFonts w:hint="eastAsia"/>
              </w:rPr>
            </w:pPr>
            <w:r w:rsidRPr="00CA7DCF">
              <w:rPr>
                <w:rFonts w:hint="eastAsia"/>
              </w:rPr>
              <w:t>(-0.</w:t>
            </w:r>
            <w:r w:rsidR="00F358B7">
              <w:rPr>
                <w:rFonts w:hint="eastAsia"/>
              </w:rPr>
              <w:t>302</w:t>
            </w:r>
            <w:r w:rsidRPr="00CA7DCF">
              <w:rPr>
                <w:rFonts w:hint="eastAsia"/>
              </w:rPr>
              <w:t>, -0.</w:t>
            </w:r>
            <w:r w:rsidR="00875AE5">
              <w:rPr>
                <w:rFonts w:hint="eastAsia"/>
              </w:rPr>
              <w:t>224</w:t>
            </w:r>
            <w:r w:rsidRPr="00CA7DCF">
              <w:rPr>
                <w:rFonts w:hint="eastAsia"/>
              </w:rPr>
              <w:t>)</w:t>
            </w:r>
          </w:p>
        </w:tc>
        <w:tc>
          <w:tcPr>
            <w:tcW w:w="1250" w:type="pct"/>
            <w:vAlign w:val="center"/>
          </w:tcPr>
          <w:p w14:paraId="599C55B4" w14:textId="7567640C" w:rsidR="00DF0EB9" w:rsidRDefault="00DF0EB9" w:rsidP="00DF0EB9">
            <w:pPr>
              <w:jc w:val="center"/>
              <w:rPr>
                <w:rFonts w:hint="eastAsia"/>
              </w:rPr>
            </w:pPr>
            <w:r w:rsidRPr="00CA7DCF">
              <w:rPr>
                <w:rFonts w:hint="eastAsia"/>
              </w:rPr>
              <w:t>-0.</w:t>
            </w:r>
            <w:r w:rsidR="003542DD">
              <w:rPr>
                <w:rFonts w:hint="eastAsia"/>
              </w:rPr>
              <w:t>745</w:t>
            </w:r>
            <w:r w:rsidRPr="00CA7DCF">
              <w:rPr>
                <w:rFonts w:hint="eastAsia"/>
              </w:rPr>
              <w:t>***</w:t>
            </w:r>
          </w:p>
          <w:p w14:paraId="2E72016A" w14:textId="5F3E5B7D" w:rsidR="00DF0EB9" w:rsidRPr="00CA7DCF" w:rsidRDefault="00DF0EB9" w:rsidP="00DF0EB9">
            <w:pPr>
              <w:jc w:val="center"/>
              <w:rPr>
                <w:rFonts w:hint="eastAsia"/>
              </w:rPr>
            </w:pPr>
            <w:r w:rsidRPr="00CA7DCF">
              <w:rPr>
                <w:rFonts w:hint="eastAsia"/>
              </w:rPr>
              <w:t>(-0.</w:t>
            </w:r>
            <w:r w:rsidR="003542DD">
              <w:rPr>
                <w:rFonts w:hint="eastAsia"/>
              </w:rPr>
              <w:t>863</w:t>
            </w:r>
            <w:r w:rsidRPr="00CA7DCF">
              <w:rPr>
                <w:rFonts w:hint="eastAsia"/>
              </w:rPr>
              <w:t>, -0.</w:t>
            </w:r>
            <w:r w:rsidR="003542DD">
              <w:rPr>
                <w:rFonts w:hint="eastAsia"/>
              </w:rPr>
              <w:t>625</w:t>
            </w:r>
            <w:r w:rsidRPr="00CA7DCF">
              <w:rPr>
                <w:rFonts w:hint="eastAsia"/>
              </w:rPr>
              <w:t>)</w:t>
            </w:r>
          </w:p>
        </w:tc>
      </w:tr>
      <w:tr w:rsidR="00CA7DCF" w:rsidRPr="00CA7DCF" w14:paraId="2D4B32EE" w14:textId="77777777" w:rsidTr="00F82E25">
        <w:tc>
          <w:tcPr>
            <w:tcW w:w="1250" w:type="pct"/>
            <w:vAlign w:val="center"/>
          </w:tcPr>
          <w:p w14:paraId="4CFC2B8F" w14:textId="3785CA31" w:rsidR="00F81FA4" w:rsidRPr="00CA7DCF" w:rsidRDefault="00F81FA4" w:rsidP="00725982">
            <w:pPr>
              <w:rPr>
                <w:rFonts w:hint="eastAsia"/>
              </w:rPr>
            </w:pPr>
            <w:r w:rsidRPr="00CA7DCF">
              <w:rPr>
                <w:rFonts w:hint="eastAsia"/>
              </w:rPr>
              <w:t>Gender</w:t>
            </w:r>
          </w:p>
          <w:p w14:paraId="6C3E3705" w14:textId="44E62A93" w:rsidR="009D0A49" w:rsidRPr="00CA7DCF" w:rsidRDefault="00F81FA4" w:rsidP="00725982">
            <w:pPr>
              <w:rPr>
                <w:rFonts w:hint="eastAsia"/>
              </w:rPr>
            </w:pPr>
            <w:r w:rsidRPr="00CA7DCF">
              <w:rPr>
                <w:rFonts w:hint="eastAsia"/>
              </w:rPr>
              <w:lastRenderedPageBreak/>
              <w:t>(reference to Male)</w:t>
            </w:r>
          </w:p>
        </w:tc>
        <w:tc>
          <w:tcPr>
            <w:tcW w:w="1250" w:type="pct"/>
            <w:vAlign w:val="center"/>
          </w:tcPr>
          <w:p w14:paraId="29D1AE95" w14:textId="77777777" w:rsidR="009D0A49" w:rsidRPr="00CA7DCF" w:rsidRDefault="009D0A49" w:rsidP="00C47222">
            <w:pPr>
              <w:jc w:val="center"/>
              <w:rPr>
                <w:rFonts w:hint="eastAsia"/>
              </w:rPr>
            </w:pPr>
          </w:p>
        </w:tc>
        <w:tc>
          <w:tcPr>
            <w:tcW w:w="1250" w:type="pct"/>
            <w:vAlign w:val="center"/>
          </w:tcPr>
          <w:p w14:paraId="6C235607" w14:textId="77777777" w:rsidR="009D0A49" w:rsidRPr="00CA7DCF" w:rsidRDefault="009D0A49" w:rsidP="00C47222">
            <w:pPr>
              <w:jc w:val="center"/>
              <w:rPr>
                <w:rFonts w:hint="eastAsia"/>
              </w:rPr>
            </w:pPr>
          </w:p>
        </w:tc>
        <w:tc>
          <w:tcPr>
            <w:tcW w:w="1250" w:type="pct"/>
            <w:vAlign w:val="center"/>
          </w:tcPr>
          <w:p w14:paraId="22A84AD3" w14:textId="77777777" w:rsidR="009D0A49" w:rsidRPr="00CA7DCF" w:rsidRDefault="009D0A49" w:rsidP="00C47222">
            <w:pPr>
              <w:jc w:val="center"/>
              <w:rPr>
                <w:rFonts w:hint="eastAsia"/>
              </w:rPr>
            </w:pPr>
          </w:p>
        </w:tc>
      </w:tr>
      <w:tr w:rsidR="00CA7DCF" w:rsidRPr="00CA7DCF" w14:paraId="1B30B985" w14:textId="77777777" w:rsidTr="00F82E25">
        <w:tc>
          <w:tcPr>
            <w:tcW w:w="1250" w:type="pct"/>
            <w:vAlign w:val="center"/>
          </w:tcPr>
          <w:p w14:paraId="01F7CC2D" w14:textId="48F39D4B" w:rsidR="009D0A49" w:rsidRPr="00725982" w:rsidRDefault="00F81FA4" w:rsidP="00725982">
            <w:pPr>
              <w:jc w:val="right"/>
              <w:rPr>
                <w:rFonts w:hint="eastAsia"/>
                <w:i/>
                <w:iCs/>
              </w:rPr>
            </w:pPr>
            <w:r w:rsidRPr="00725982">
              <w:rPr>
                <w:rFonts w:hint="eastAsia"/>
                <w:i/>
                <w:iCs/>
              </w:rPr>
              <w:t>Female</w:t>
            </w:r>
          </w:p>
        </w:tc>
        <w:tc>
          <w:tcPr>
            <w:tcW w:w="1250" w:type="pct"/>
            <w:vAlign w:val="center"/>
          </w:tcPr>
          <w:p w14:paraId="50B9AD1D" w14:textId="0C827098" w:rsidR="008337C7" w:rsidRDefault="00E91628" w:rsidP="00C47222">
            <w:pPr>
              <w:jc w:val="center"/>
              <w:rPr>
                <w:rFonts w:hint="eastAsia"/>
              </w:rPr>
            </w:pPr>
            <w:r w:rsidRPr="00CA7DCF">
              <w:rPr>
                <w:rFonts w:hint="eastAsia"/>
              </w:rPr>
              <w:t>-0.</w:t>
            </w:r>
            <w:r w:rsidR="7E729B2F">
              <w:t>00</w:t>
            </w:r>
            <w:r w:rsidR="13E2BF23">
              <w:t>6</w:t>
            </w:r>
          </w:p>
          <w:p w14:paraId="1A608B0E" w14:textId="765BD2F0" w:rsidR="009D0A49" w:rsidRPr="00CA7DCF" w:rsidRDefault="00E91628" w:rsidP="00C47222">
            <w:pPr>
              <w:jc w:val="center"/>
              <w:rPr>
                <w:rFonts w:hint="eastAsia"/>
              </w:rPr>
            </w:pPr>
            <w:r w:rsidRPr="00CA7DCF">
              <w:rPr>
                <w:rFonts w:hint="eastAsia"/>
              </w:rPr>
              <w:t>(</w:t>
            </w:r>
            <w:r w:rsidR="00EC6B28" w:rsidRPr="00CA7DCF">
              <w:rPr>
                <w:rFonts w:hint="eastAsia"/>
              </w:rPr>
              <w:t>-0.</w:t>
            </w:r>
            <w:r w:rsidR="3ADDC75D">
              <w:t>0</w:t>
            </w:r>
            <w:r w:rsidR="7B68AF03">
              <w:t>75</w:t>
            </w:r>
            <w:r w:rsidR="00EC6B28" w:rsidRPr="00CA7DCF">
              <w:rPr>
                <w:rFonts w:hint="eastAsia"/>
              </w:rPr>
              <w:t>, 0.</w:t>
            </w:r>
            <w:r w:rsidR="3ADDC75D">
              <w:t>0</w:t>
            </w:r>
            <w:r w:rsidR="22602362">
              <w:t>65</w:t>
            </w:r>
            <w:r w:rsidRPr="00CA7DCF">
              <w:rPr>
                <w:rFonts w:hint="eastAsia"/>
              </w:rPr>
              <w:t>)</w:t>
            </w:r>
          </w:p>
        </w:tc>
        <w:tc>
          <w:tcPr>
            <w:tcW w:w="1250" w:type="pct"/>
            <w:vAlign w:val="center"/>
          </w:tcPr>
          <w:p w14:paraId="2C448C77" w14:textId="36BD7FD8" w:rsidR="008337C7" w:rsidRDefault="00E40EC5" w:rsidP="00C47222">
            <w:pPr>
              <w:jc w:val="center"/>
              <w:rPr>
                <w:rFonts w:hint="eastAsia"/>
              </w:rPr>
            </w:pPr>
            <w:r w:rsidRPr="00CA7DCF">
              <w:rPr>
                <w:rFonts w:hint="eastAsia"/>
              </w:rPr>
              <w:t>-0.0</w:t>
            </w:r>
            <w:r w:rsidR="00C150C7">
              <w:rPr>
                <w:rFonts w:hint="eastAsia"/>
              </w:rPr>
              <w:t>19</w:t>
            </w:r>
          </w:p>
          <w:p w14:paraId="04C34E1E" w14:textId="4EAC5E54" w:rsidR="009D0A49" w:rsidRPr="00CA7DCF" w:rsidRDefault="00E40EC5" w:rsidP="00C47222">
            <w:pPr>
              <w:jc w:val="center"/>
              <w:rPr>
                <w:rFonts w:hint="eastAsia"/>
              </w:rPr>
            </w:pPr>
            <w:r w:rsidRPr="00CA7DCF">
              <w:rPr>
                <w:rFonts w:hint="eastAsia"/>
              </w:rPr>
              <w:t>(-0.01</w:t>
            </w:r>
            <w:r w:rsidR="00171DB5">
              <w:rPr>
                <w:rFonts w:hint="eastAsia"/>
              </w:rPr>
              <w:t>7</w:t>
            </w:r>
            <w:r w:rsidRPr="00CA7DCF">
              <w:rPr>
                <w:rFonts w:hint="eastAsia"/>
              </w:rPr>
              <w:t>, 0.0</w:t>
            </w:r>
            <w:r w:rsidR="008A3A90">
              <w:rPr>
                <w:rFonts w:hint="eastAsia"/>
              </w:rPr>
              <w:t>56</w:t>
            </w:r>
            <w:r w:rsidRPr="00CA7DCF">
              <w:rPr>
                <w:rFonts w:hint="eastAsia"/>
              </w:rPr>
              <w:t>)</w:t>
            </w:r>
          </w:p>
        </w:tc>
        <w:tc>
          <w:tcPr>
            <w:tcW w:w="1250" w:type="pct"/>
            <w:vAlign w:val="center"/>
          </w:tcPr>
          <w:p w14:paraId="572C9F51" w14:textId="464A7C0F" w:rsidR="008337C7" w:rsidRDefault="009403A4" w:rsidP="00C47222">
            <w:pPr>
              <w:jc w:val="center"/>
              <w:rPr>
                <w:rFonts w:hint="eastAsia"/>
              </w:rPr>
            </w:pPr>
            <w:r w:rsidRPr="00CA7DCF">
              <w:rPr>
                <w:rFonts w:hint="eastAsia"/>
              </w:rPr>
              <w:t>-0.0</w:t>
            </w:r>
            <w:r w:rsidR="00C11502">
              <w:rPr>
                <w:rFonts w:hint="eastAsia"/>
              </w:rPr>
              <w:t>13</w:t>
            </w:r>
          </w:p>
          <w:p w14:paraId="53987797" w14:textId="5F5AC8FF" w:rsidR="009D0A49" w:rsidRPr="00CA7DCF" w:rsidRDefault="009403A4" w:rsidP="00C47222">
            <w:pPr>
              <w:jc w:val="center"/>
              <w:rPr>
                <w:rFonts w:hint="eastAsia"/>
              </w:rPr>
            </w:pPr>
            <w:r w:rsidRPr="00CA7DCF">
              <w:rPr>
                <w:rFonts w:hint="eastAsia"/>
              </w:rPr>
              <w:t>(-0.</w:t>
            </w:r>
            <w:r w:rsidR="00C11502">
              <w:rPr>
                <w:rFonts w:hint="eastAsia"/>
              </w:rPr>
              <w:t>123</w:t>
            </w:r>
            <w:r w:rsidRPr="00CA7DCF">
              <w:rPr>
                <w:rFonts w:hint="eastAsia"/>
              </w:rPr>
              <w:t>, 0.</w:t>
            </w:r>
            <w:r w:rsidR="00C11502">
              <w:rPr>
                <w:rFonts w:hint="eastAsia"/>
              </w:rPr>
              <w:t>098</w:t>
            </w:r>
            <w:r w:rsidRPr="00CA7DCF">
              <w:rPr>
                <w:rFonts w:hint="eastAsia"/>
              </w:rPr>
              <w:t>)</w:t>
            </w:r>
          </w:p>
        </w:tc>
      </w:tr>
      <w:tr w:rsidR="003E20FE" w:rsidRPr="00CA7DCF" w14:paraId="46D0A063" w14:textId="77777777" w:rsidTr="00F82E25">
        <w:tc>
          <w:tcPr>
            <w:tcW w:w="1250" w:type="pct"/>
            <w:vAlign w:val="center"/>
          </w:tcPr>
          <w:p w14:paraId="2672BA29" w14:textId="77777777" w:rsidR="003E20FE" w:rsidRPr="00CA7DCF" w:rsidRDefault="003E20FE" w:rsidP="003E20FE">
            <w:pPr>
              <w:rPr>
                <w:rFonts w:hint="eastAsia"/>
              </w:rPr>
            </w:pPr>
            <w:r w:rsidRPr="00CA7DCF">
              <w:rPr>
                <w:rFonts w:hint="eastAsia"/>
              </w:rPr>
              <w:t>Age</w:t>
            </w:r>
          </w:p>
          <w:p w14:paraId="67A84E80" w14:textId="1A5C83EC" w:rsidR="003E20FE" w:rsidRPr="00725982" w:rsidRDefault="003E20FE" w:rsidP="003E20FE">
            <w:pPr>
              <w:jc w:val="right"/>
              <w:rPr>
                <w:rFonts w:hint="eastAsia"/>
                <w:i/>
                <w:iCs/>
              </w:rPr>
            </w:pPr>
            <w:r w:rsidRPr="00CA7DCF">
              <w:rPr>
                <w:rFonts w:hint="eastAsia"/>
              </w:rPr>
              <w:t>(reference to age 15-34 y)</w:t>
            </w:r>
          </w:p>
        </w:tc>
        <w:tc>
          <w:tcPr>
            <w:tcW w:w="1250" w:type="pct"/>
            <w:vAlign w:val="center"/>
          </w:tcPr>
          <w:p w14:paraId="3ED86622" w14:textId="77777777" w:rsidR="003E20FE" w:rsidRPr="00CA7DCF" w:rsidRDefault="003E20FE" w:rsidP="003E20FE">
            <w:pPr>
              <w:jc w:val="center"/>
              <w:rPr>
                <w:rFonts w:hint="eastAsia"/>
              </w:rPr>
            </w:pPr>
          </w:p>
        </w:tc>
        <w:tc>
          <w:tcPr>
            <w:tcW w:w="1250" w:type="pct"/>
            <w:vAlign w:val="center"/>
          </w:tcPr>
          <w:p w14:paraId="0ED2F3D5" w14:textId="77777777" w:rsidR="003E20FE" w:rsidRPr="00CA7DCF" w:rsidRDefault="003E20FE" w:rsidP="003E20FE">
            <w:pPr>
              <w:jc w:val="center"/>
              <w:rPr>
                <w:rFonts w:hint="eastAsia"/>
              </w:rPr>
            </w:pPr>
          </w:p>
        </w:tc>
        <w:tc>
          <w:tcPr>
            <w:tcW w:w="1250" w:type="pct"/>
            <w:vAlign w:val="center"/>
          </w:tcPr>
          <w:p w14:paraId="4DE0DED0" w14:textId="77777777" w:rsidR="003E20FE" w:rsidRPr="00CA7DCF" w:rsidRDefault="003E20FE" w:rsidP="003E20FE">
            <w:pPr>
              <w:jc w:val="center"/>
              <w:rPr>
                <w:rFonts w:hint="eastAsia"/>
              </w:rPr>
            </w:pPr>
          </w:p>
        </w:tc>
      </w:tr>
      <w:tr w:rsidR="003E20FE" w:rsidRPr="00CA7DCF" w14:paraId="5D5189CD" w14:textId="77777777" w:rsidTr="00F82E25">
        <w:tc>
          <w:tcPr>
            <w:tcW w:w="1250" w:type="pct"/>
            <w:vAlign w:val="center"/>
          </w:tcPr>
          <w:p w14:paraId="2F94BEC8" w14:textId="6A3DC415" w:rsidR="003E20FE" w:rsidRPr="00725982" w:rsidRDefault="003E20FE" w:rsidP="003E20FE">
            <w:pPr>
              <w:jc w:val="right"/>
              <w:rPr>
                <w:rFonts w:hint="eastAsia"/>
                <w:i/>
                <w:iCs/>
              </w:rPr>
            </w:pPr>
            <w:r w:rsidRPr="00725982">
              <w:rPr>
                <w:rFonts w:hint="eastAsia"/>
                <w:i/>
                <w:iCs/>
              </w:rPr>
              <w:t>35-54y</w:t>
            </w:r>
          </w:p>
        </w:tc>
        <w:tc>
          <w:tcPr>
            <w:tcW w:w="1250" w:type="pct"/>
            <w:vAlign w:val="center"/>
          </w:tcPr>
          <w:p w14:paraId="5E98412E" w14:textId="77777777" w:rsidR="003E20FE" w:rsidRDefault="003E20FE" w:rsidP="003E20FE">
            <w:pPr>
              <w:jc w:val="center"/>
              <w:rPr>
                <w:rFonts w:hint="eastAsia"/>
              </w:rPr>
            </w:pPr>
            <w:r>
              <w:t>-0.543***</w:t>
            </w:r>
          </w:p>
          <w:p w14:paraId="7867B966" w14:textId="12095C9A" w:rsidR="003E20FE" w:rsidRPr="00CA7DCF" w:rsidRDefault="003E20FE" w:rsidP="003E20FE">
            <w:pPr>
              <w:jc w:val="center"/>
              <w:rPr>
                <w:rFonts w:hint="eastAsia"/>
              </w:rPr>
            </w:pPr>
            <w:r>
              <w:t>(-0.616, -0.469)</w:t>
            </w:r>
          </w:p>
        </w:tc>
        <w:tc>
          <w:tcPr>
            <w:tcW w:w="1250" w:type="pct"/>
            <w:vAlign w:val="center"/>
          </w:tcPr>
          <w:p w14:paraId="0C324016" w14:textId="2A5D534C" w:rsidR="003E20FE" w:rsidRDefault="003E20FE" w:rsidP="003E20FE">
            <w:pPr>
              <w:jc w:val="center"/>
              <w:rPr>
                <w:rFonts w:hint="eastAsia"/>
              </w:rPr>
            </w:pPr>
            <w:r w:rsidRPr="00CA7DCF">
              <w:rPr>
                <w:rFonts w:hint="eastAsia"/>
              </w:rPr>
              <w:t>-0.</w:t>
            </w:r>
            <w:r w:rsidR="00007BC4">
              <w:rPr>
                <w:rFonts w:hint="eastAsia"/>
              </w:rPr>
              <w:t>351</w:t>
            </w:r>
            <w:r w:rsidRPr="00CA7DCF">
              <w:rPr>
                <w:rFonts w:hint="eastAsia"/>
              </w:rPr>
              <w:t>***</w:t>
            </w:r>
          </w:p>
          <w:p w14:paraId="3E40677B" w14:textId="15A97082" w:rsidR="003E20FE" w:rsidRPr="00CA7DCF" w:rsidRDefault="003E20FE" w:rsidP="003E20FE">
            <w:pPr>
              <w:jc w:val="center"/>
              <w:rPr>
                <w:rFonts w:hint="eastAsia"/>
              </w:rPr>
            </w:pPr>
            <w:r w:rsidRPr="00CA7DCF">
              <w:rPr>
                <w:rFonts w:hint="eastAsia"/>
              </w:rPr>
              <w:t>(-0.</w:t>
            </w:r>
            <w:r w:rsidR="00007BC4">
              <w:rPr>
                <w:rFonts w:hint="eastAsia"/>
              </w:rPr>
              <w:t>388</w:t>
            </w:r>
            <w:r w:rsidRPr="00CA7DCF">
              <w:rPr>
                <w:rFonts w:hint="eastAsia"/>
              </w:rPr>
              <w:t>, -0.</w:t>
            </w:r>
            <w:r w:rsidR="00007BC4">
              <w:rPr>
                <w:rFonts w:hint="eastAsia"/>
              </w:rPr>
              <w:t>313</w:t>
            </w:r>
            <w:r w:rsidRPr="00CA7DCF">
              <w:rPr>
                <w:rFonts w:hint="eastAsia"/>
              </w:rPr>
              <w:t>)</w:t>
            </w:r>
          </w:p>
        </w:tc>
        <w:tc>
          <w:tcPr>
            <w:tcW w:w="1250" w:type="pct"/>
            <w:vAlign w:val="center"/>
          </w:tcPr>
          <w:p w14:paraId="3F459031" w14:textId="44199E16" w:rsidR="003E20FE" w:rsidRDefault="003E20FE" w:rsidP="003E20FE">
            <w:pPr>
              <w:jc w:val="center"/>
              <w:rPr>
                <w:rFonts w:hint="eastAsia"/>
              </w:rPr>
            </w:pPr>
            <w:r w:rsidRPr="00CA7DCF">
              <w:rPr>
                <w:rFonts w:hint="eastAsia"/>
              </w:rPr>
              <w:t>-0.</w:t>
            </w:r>
            <w:r w:rsidR="00C11502">
              <w:rPr>
                <w:rFonts w:hint="eastAsia"/>
              </w:rPr>
              <w:t>966</w:t>
            </w:r>
            <w:r w:rsidRPr="00CA7DCF">
              <w:rPr>
                <w:rFonts w:hint="eastAsia"/>
              </w:rPr>
              <w:t>***</w:t>
            </w:r>
          </w:p>
          <w:p w14:paraId="47CEA30A" w14:textId="37829D64" w:rsidR="003E20FE" w:rsidRPr="00CA7DCF" w:rsidRDefault="003E20FE" w:rsidP="003E20FE">
            <w:pPr>
              <w:jc w:val="center"/>
              <w:rPr>
                <w:rFonts w:hint="eastAsia"/>
              </w:rPr>
            </w:pPr>
            <w:r w:rsidRPr="00CA7DCF">
              <w:rPr>
                <w:rFonts w:hint="eastAsia"/>
              </w:rPr>
              <w:t>(-</w:t>
            </w:r>
            <w:r w:rsidR="00C11502">
              <w:rPr>
                <w:rFonts w:hint="eastAsia"/>
              </w:rPr>
              <w:t>1.078</w:t>
            </w:r>
            <w:r w:rsidRPr="00CA7DCF">
              <w:rPr>
                <w:rFonts w:hint="eastAsia"/>
              </w:rPr>
              <w:t>, -0.</w:t>
            </w:r>
            <w:r w:rsidR="00C11502">
              <w:rPr>
                <w:rFonts w:hint="eastAsia"/>
              </w:rPr>
              <w:t>852</w:t>
            </w:r>
            <w:r w:rsidRPr="00CA7DCF">
              <w:rPr>
                <w:rFonts w:hint="eastAsia"/>
              </w:rPr>
              <w:t>)</w:t>
            </w:r>
          </w:p>
        </w:tc>
      </w:tr>
      <w:tr w:rsidR="003E20FE" w:rsidRPr="00CA7DCF" w14:paraId="1C61E2B3" w14:textId="77777777" w:rsidTr="00F82E25">
        <w:tc>
          <w:tcPr>
            <w:tcW w:w="1250" w:type="pct"/>
            <w:vAlign w:val="center"/>
          </w:tcPr>
          <w:p w14:paraId="16F1E2EE" w14:textId="6BB4AAF8" w:rsidR="003E20FE" w:rsidRPr="00725982" w:rsidRDefault="003E20FE" w:rsidP="003E20FE">
            <w:pPr>
              <w:jc w:val="right"/>
              <w:rPr>
                <w:rFonts w:hint="eastAsia"/>
                <w:i/>
                <w:iCs/>
              </w:rPr>
            </w:pPr>
            <w:r w:rsidRPr="00725982">
              <w:rPr>
                <w:rFonts w:hint="eastAsia"/>
                <w:i/>
                <w:iCs/>
              </w:rPr>
              <w:t>55+y</w:t>
            </w:r>
          </w:p>
        </w:tc>
        <w:tc>
          <w:tcPr>
            <w:tcW w:w="1250" w:type="pct"/>
            <w:vAlign w:val="center"/>
          </w:tcPr>
          <w:p w14:paraId="0D0FDEF6" w14:textId="77777777" w:rsidR="003E20FE" w:rsidRDefault="003E20FE" w:rsidP="003E20FE">
            <w:pPr>
              <w:jc w:val="center"/>
              <w:rPr>
                <w:rFonts w:hint="eastAsia"/>
              </w:rPr>
            </w:pPr>
            <w:r>
              <w:t>0.181***</w:t>
            </w:r>
          </w:p>
          <w:p w14:paraId="589B7DA1" w14:textId="34E94861" w:rsidR="003E20FE" w:rsidRPr="00CA7DCF" w:rsidRDefault="003E20FE" w:rsidP="003E20FE">
            <w:pPr>
              <w:jc w:val="center"/>
              <w:rPr>
                <w:rFonts w:hint="eastAsia"/>
              </w:rPr>
            </w:pPr>
            <w:r>
              <w:t>(0.091, 0.272)</w:t>
            </w:r>
          </w:p>
        </w:tc>
        <w:tc>
          <w:tcPr>
            <w:tcW w:w="1250" w:type="pct"/>
            <w:vAlign w:val="center"/>
          </w:tcPr>
          <w:p w14:paraId="748A6FE0" w14:textId="0AFE7CF9" w:rsidR="003E20FE" w:rsidRDefault="003E20FE" w:rsidP="003E20FE">
            <w:pPr>
              <w:jc w:val="center"/>
              <w:rPr>
                <w:rFonts w:hint="eastAsia"/>
              </w:rPr>
            </w:pPr>
            <w:r w:rsidRPr="00CA7DCF">
              <w:rPr>
                <w:rFonts w:hint="eastAsia"/>
              </w:rPr>
              <w:t>0.0</w:t>
            </w:r>
            <w:r w:rsidR="00EA0CA6">
              <w:rPr>
                <w:rFonts w:hint="eastAsia"/>
              </w:rPr>
              <w:t>65</w:t>
            </w:r>
            <w:r w:rsidRPr="00CA7DCF">
              <w:rPr>
                <w:rFonts w:hint="eastAsia"/>
              </w:rPr>
              <w:t>**</w:t>
            </w:r>
          </w:p>
          <w:p w14:paraId="602F7A07" w14:textId="70B811D0" w:rsidR="003E20FE" w:rsidRPr="00CA7DCF" w:rsidRDefault="003E20FE" w:rsidP="003E20FE">
            <w:pPr>
              <w:jc w:val="center"/>
              <w:rPr>
                <w:rFonts w:hint="eastAsia"/>
              </w:rPr>
            </w:pPr>
            <w:r w:rsidRPr="00CA7DCF">
              <w:rPr>
                <w:rFonts w:hint="eastAsia"/>
              </w:rPr>
              <w:t>(0.</w:t>
            </w:r>
            <w:r w:rsidR="00EA0CA6">
              <w:rPr>
                <w:rFonts w:hint="eastAsia"/>
              </w:rPr>
              <w:t>021</w:t>
            </w:r>
            <w:r w:rsidRPr="00CA7DCF">
              <w:rPr>
                <w:rFonts w:hint="eastAsia"/>
              </w:rPr>
              <w:t>, 0.</w:t>
            </w:r>
            <w:r w:rsidR="00EA0CA6">
              <w:rPr>
                <w:rFonts w:hint="eastAsia"/>
              </w:rPr>
              <w:t>111</w:t>
            </w:r>
            <w:r w:rsidRPr="00CA7DCF">
              <w:rPr>
                <w:rFonts w:hint="eastAsia"/>
              </w:rPr>
              <w:t>)</w:t>
            </w:r>
          </w:p>
        </w:tc>
        <w:tc>
          <w:tcPr>
            <w:tcW w:w="1250" w:type="pct"/>
            <w:vAlign w:val="center"/>
          </w:tcPr>
          <w:p w14:paraId="695D5D57" w14:textId="57B0C933" w:rsidR="003E20FE" w:rsidRDefault="003E20FE" w:rsidP="003E20FE">
            <w:pPr>
              <w:jc w:val="center"/>
              <w:rPr>
                <w:rFonts w:hint="eastAsia"/>
              </w:rPr>
            </w:pPr>
            <w:r w:rsidRPr="00CA7DCF">
              <w:rPr>
                <w:rFonts w:hint="eastAsia"/>
              </w:rPr>
              <w:t>0.</w:t>
            </w:r>
            <w:r w:rsidR="0063730D">
              <w:rPr>
                <w:rFonts w:hint="eastAsia"/>
              </w:rPr>
              <w:t>166</w:t>
            </w:r>
            <w:r w:rsidRPr="00CA7DCF">
              <w:rPr>
                <w:rFonts w:hint="eastAsia"/>
              </w:rPr>
              <w:t>**</w:t>
            </w:r>
          </w:p>
          <w:p w14:paraId="18695801" w14:textId="38F15BB2" w:rsidR="003E20FE" w:rsidRPr="00CA7DCF" w:rsidRDefault="003E20FE" w:rsidP="003E20FE">
            <w:pPr>
              <w:jc w:val="center"/>
              <w:rPr>
                <w:rFonts w:hint="eastAsia"/>
              </w:rPr>
            </w:pPr>
            <w:r w:rsidRPr="00CA7DCF">
              <w:rPr>
                <w:rFonts w:hint="eastAsia"/>
              </w:rPr>
              <w:t>(0.0</w:t>
            </w:r>
            <w:r w:rsidR="0063730D">
              <w:rPr>
                <w:rFonts w:hint="eastAsia"/>
              </w:rPr>
              <w:t>28</w:t>
            </w:r>
            <w:r w:rsidRPr="00CA7DCF">
              <w:rPr>
                <w:rFonts w:hint="eastAsia"/>
              </w:rPr>
              <w:t>, 0.</w:t>
            </w:r>
            <w:r w:rsidR="0063730D">
              <w:rPr>
                <w:rFonts w:hint="eastAsia"/>
              </w:rPr>
              <w:t>307</w:t>
            </w:r>
            <w:r w:rsidRPr="00CA7DCF">
              <w:rPr>
                <w:rFonts w:hint="eastAsia"/>
              </w:rPr>
              <w:t>)</w:t>
            </w:r>
          </w:p>
        </w:tc>
      </w:tr>
      <w:tr w:rsidR="00CA7DCF" w:rsidRPr="00CA7DCF" w14:paraId="5107E9F6" w14:textId="77777777" w:rsidTr="00F82E25">
        <w:tc>
          <w:tcPr>
            <w:tcW w:w="1250" w:type="pct"/>
            <w:vAlign w:val="center"/>
          </w:tcPr>
          <w:p w14:paraId="58AC6E71" w14:textId="22AA8A33" w:rsidR="00EC6B28" w:rsidRPr="00CA7DCF" w:rsidRDefault="00EC6B28" w:rsidP="00725982">
            <w:pPr>
              <w:rPr>
                <w:rFonts w:hint="eastAsia"/>
              </w:rPr>
            </w:pPr>
            <w:r w:rsidRPr="00CA7DCF">
              <w:rPr>
                <w:rFonts w:hint="eastAsia"/>
              </w:rPr>
              <w:t>Area</w:t>
            </w:r>
          </w:p>
          <w:p w14:paraId="30FC0F06" w14:textId="33D39FF6" w:rsidR="009D0A49" w:rsidRPr="00CA7DCF" w:rsidRDefault="00EC6B28" w:rsidP="00C47222">
            <w:pPr>
              <w:jc w:val="center"/>
              <w:rPr>
                <w:rFonts w:hint="eastAsia"/>
              </w:rPr>
            </w:pPr>
            <w:r w:rsidRPr="00CA7DCF">
              <w:rPr>
                <w:rFonts w:hint="eastAsia"/>
              </w:rPr>
              <w:t>(reference to Rural)</w:t>
            </w:r>
          </w:p>
        </w:tc>
        <w:tc>
          <w:tcPr>
            <w:tcW w:w="1250" w:type="pct"/>
            <w:vAlign w:val="center"/>
          </w:tcPr>
          <w:p w14:paraId="50D929E0" w14:textId="77777777" w:rsidR="009D0A49" w:rsidRPr="00CA7DCF" w:rsidRDefault="009D0A49" w:rsidP="00C47222">
            <w:pPr>
              <w:jc w:val="center"/>
              <w:rPr>
                <w:rFonts w:hint="eastAsia"/>
              </w:rPr>
            </w:pPr>
          </w:p>
        </w:tc>
        <w:tc>
          <w:tcPr>
            <w:tcW w:w="1250" w:type="pct"/>
            <w:vAlign w:val="center"/>
          </w:tcPr>
          <w:p w14:paraId="36286844" w14:textId="77777777" w:rsidR="009D0A49" w:rsidRPr="00CA7DCF" w:rsidRDefault="009D0A49" w:rsidP="00C47222">
            <w:pPr>
              <w:jc w:val="center"/>
              <w:rPr>
                <w:rFonts w:hint="eastAsia"/>
              </w:rPr>
            </w:pPr>
          </w:p>
        </w:tc>
        <w:tc>
          <w:tcPr>
            <w:tcW w:w="1250" w:type="pct"/>
            <w:vAlign w:val="center"/>
          </w:tcPr>
          <w:p w14:paraId="4734D623" w14:textId="77777777" w:rsidR="009D0A49" w:rsidRPr="00CA7DCF" w:rsidRDefault="009D0A49" w:rsidP="00C47222">
            <w:pPr>
              <w:jc w:val="center"/>
              <w:rPr>
                <w:rFonts w:hint="eastAsia"/>
              </w:rPr>
            </w:pPr>
          </w:p>
        </w:tc>
      </w:tr>
      <w:tr w:rsidR="00CA7DCF" w:rsidRPr="00CA7DCF" w14:paraId="5E9DE3E4" w14:textId="77777777" w:rsidTr="00F82E25">
        <w:tc>
          <w:tcPr>
            <w:tcW w:w="1250" w:type="pct"/>
            <w:vAlign w:val="center"/>
          </w:tcPr>
          <w:p w14:paraId="1A5BAE06" w14:textId="3D16FBC3" w:rsidR="009D0A49" w:rsidRPr="00725982" w:rsidRDefault="00EC6B28" w:rsidP="00725982">
            <w:pPr>
              <w:jc w:val="right"/>
              <w:rPr>
                <w:rFonts w:hint="eastAsia"/>
                <w:i/>
                <w:iCs/>
              </w:rPr>
            </w:pPr>
            <w:r w:rsidRPr="00725982">
              <w:rPr>
                <w:rFonts w:hint="eastAsia"/>
                <w:i/>
                <w:iCs/>
              </w:rPr>
              <w:t>Urban</w:t>
            </w:r>
          </w:p>
        </w:tc>
        <w:tc>
          <w:tcPr>
            <w:tcW w:w="1250" w:type="pct"/>
            <w:vAlign w:val="center"/>
          </w:tcPr>
          <w:p w14:paraId="06178142" w14:textId="1B5EE5B4" w:rsidR="008337C7" w:rsidRDefault="00A22D1B" w:rsidP="00C47222">
            <w:pPr>
              <w:jc w:val="center"/>
              <w:rPr>
                <w:rFonts w:hint="eastAsia"/>
              </w:rPr>
            </w:pPr>
            <w:r w:rsidRPr="00CA7DCF">
              <w:rPr>
                <w:rFonts w:hint="eastAsia"/>
              </w:rPr>
              <w:t>0.</w:t>
            </w:r>
            <w:r w:rsidR="7D7EC82E">
              <w:t>646</w:t>
            </w:r>
            <w:r w:rsidR="00E93775" w:rsidRPr="00CA7DCF">
              <w:rPr>
                <w:rFonts w:hint="eastAsia"/>
              </w:rPr>
              <w:t>***</w:t>
            </w:r>
          </w:p>
          <w:p w14:paraId="4A2FEB01" w14:textId="3E76A6D3" w:rsidR="009D0A49" w:rsidRPr="00CA7DCF" w:rsidRDefault="00A22D1B" w:rsidP="00C47222">
            <w:pPr>
              <w:jc w:val="center"/>
              <w:rPr>
                <w:rFonts w:hint="eastAsia"/>
              </w:rPr>
            </w:pPr>
            <w:r w:rsidRPr="00CA7DCF">
              <w:rPr>
                <w:rFonts w:hint="eastAsia"/>
              </w:rPr>
              <w:t>(0.</w:t>
            </w:r>
            <w:r w:rsidR="1834F245">
              <w:t>565</w:t>
            </w:r>
            <w:r w:rsidRPr="00CA7DCF">
              <w:rPr>
                <w:rFonts w:hint="eastAsia"/>
              </w:rPr>
              <w:t>, 0.</w:t>
            </w:r>
            <w:r w:rsidR="5A92C818">
              <w:t>729</w:t>
            </w:r>
            <w:r w:rsidRPr="00CA7DCF">
              <w:rPr>
                <w:rFonts w:hint="eastAsia"/>
              </w:rPr>
              <w:t>)</w:t>
            </w:r>
          </w:p>
        </w:tc>
        <w:tc>
          <w:tcPr>
            <w:tcW w:w="1250" w:type="pct"/>
            <w:vAlign w:val="center"/>
          </w:tcPr>
          <w:p w14:paraId="30963EFC" w14:textId="533A6403" w:rsidR="008337C7" w:rsidRDefault="00E40EC5" w:rsidP="00C47222">
            <w:pPr>
              <w:jc w:val="center"/>
              <w:rPr>
                <w:rFonts w:hint="eastAsia"/>
              </w:rPr>
            </w:pPr>
            <w:r w:rsidRPr="00CA7DCF">
              <w:rPr>
                <w:rFonts w:hint="eastAsia"/>
              </w:rPr>
              <w:t>0.</w:t>
            </w:r>
            <w:r w:rsidR="00EA0CA6">
              <w:rPr>
                <w:rFonts w:hint="eastAsia"/>
              </w:rPr>
              <w:t>336</w:t>
            </w:r>
            <w:r w:rsidR="00B50FDA" w:rsidRPr="00CA7DCF">
              <w:rPr>
                <w:rFonts w:hint="eastAsia"/>
              </w:rPr>
              <w:t>***</w:t>
            </w:r>
          </w:p>
          <w:p w14:paraId="2B576280" w14:textId="18D0DBA3" w:rsidR="009D0A49" w:rsidRPr="00CA7DCF" w:rsidRDefault="00E40EC5" w:rsidP="00C47222">
            <w:pPr>
              <w:jc w:val="center"/>
              <w:rPr>
                <w:rFonts w:hint="eastAsia"/>
              </w:rPr>
            </w:pPr>
            <w:r w:rsidRPr="00CA7DCF">
              <w:rPr>
                <w:rFonts w:hint="eastAsia"/>
              </w:rPr>
              <w:t>(0.</w:t>
            </w:r>
            <w:r w:rsidR="00EA0CA6">
              <w:rPr>
                <w:rFonts w:hint="eastAsia"/>
              </w:rPr>
              <w:t>295</w:t>
            </w:r>
            <w:r w:rsidRPr="00CA7DCF">
              <w:rPr>
                <w:rFonts w:hint="eastAsia"/>
              </w:rPr>
              <w:t>, 0.</w:t>
            </w:r>
            <w:r w:rsidR="00EA0CA6">
              <w:rPr>
                <w:rFonts w:hint="eastAsia"/>
              </w:rPr>
              <w:t>377</w:t>
            </w:r>
            <w:r w:rsidRPr="00CA7DCF">
              <w:rPr>
                <w:rFonts w:hint="eastAsia"/>
              </w:rPr>
              <w:t>)</w:t>
            </w:r>
          </w:p>
        </w:tc>
        <w:tc>
          <w:tcPr>
            <w:tcW w:w="1250" w:type="pct"/>
            <w:vAlign w:val="center"/>
          </w:tcPr>
          <w:p w14:paraId="4FE048CC" w14:textId="6154F790" w:rsidR="008337C7" w:rsidRDefault="005720F8" w:rsidP="00C47222">
            <w:pPr>
              <w:jc w:val="center"/>
              <w:rPr>
                <w:rFonts w:hint="eastAsia"/>
              </w:rPr>
            </w:pPr>
            <w:r>
              <w:rPr>
                <w:rFonts w:hint="eastAsia"/>
              </w:rPr>
              <w:t>1.004</w:t>
            </w:r>
            <w:r w:rsidR="0058445C" w:rsidRPr="00CA7DCF">
              <w:rPr>
                <w:rFonts w:hint="eastAsia"/>
              </w:rPr>
              <w:t>***</w:t>
            </w:r>
          </w:p>
          <w:p w14:paraId="526A99DF" w14:textId="5FE5D05E" w:rsidR="009D0A49" w:rsidRPr="00CA7DCF" w:rsidRDefault="009403A4" w:rsidP="00C47222">
            <w:pPr>
              <w:jc w:val="center"/>
              <w:rPr>
                <w:rFonts w:hint="eastAsia"/>
              </w:rPr>
            </w:pPr>
            <w:r w:rsidRPr="00CA7DCF">
              <w:rPr>
                <w:rFonts w:hint="eastAsia"/>
              </w:rPr>
              <w:t>(0.</w:t>
            </w:r>
            <w:r w:rsidR="005720F8">
              <w:rPr>
                <w:rFonts w:hint="eastAsia"/>
              </w:rPr>
              <w:t>877</w:t>
            </w:r>
            <w:r w:rsidRPr="00CA7DCF">
              <w:rPr>
                <w:rFonts w:hint="eastAsia"/>
              </w:rPr>
              <w:t xml:space="preserve">, </w:t>
            </w:r>
            <w:r w:rsidR="005720F8">
              <w:rPr>
                <w:rFonts w:hint="eastAsia"/>
              </w:rPr>
              <w:t>1.134</w:t>
            </w:r>
            <w:r w:rsidRPr="00CA7DCF">
              <w:rPr>
                <w:rFonts w:hint="eastAsia"/>
              </w:rPr>
              <w:t>)</w:t>
            </w:r>
          </w:p>
        </w:tc>
      </w:tr>
    </w:tbl>
    <w:p w14:paraId="42060DE4" w14:textId="1033E335" w:rsidR="006C261C" w:rsidRPr="00CA7DCF" w:rsidRDefault="006C261C" w:rsidP="006C261C">
      <w:pPr>
        <w:jc w:val="both"/>
        <w:rPr>
          <w:rFonts w:hint="eastAsia"/>
        </w:rPr>
      </w:pPr>
      <w:r w:rsidRPr="00CA7DCF">
        <w:t xml:space="preserve">†Regression coefficients are back-transformed </w:t>
      </w:r>
      <w:r w:rsidR="00084481">
        <w:rPr>
          <w:rFonts w:hint="eastAsia"/>
        </w:rPr>
        <w:t>after</w:t>
      </w:r>
      <w:r w:rsidRPr="00CA7DCF">
        <w:t xml:space="preserve"> </w:t>
      </w:r>
      <w:r w:rsidR="00A471AC">
        <w:rPr>
          <w:rFonts w:hint="eastAsia"/>
        </w:rPr>
        <w:t xml:space="preserve">the </w:t>
      </w:r>
      <w:r w:rsidR="00FB0B91">
        <w:rPr>
          <w:rFonts w:hint="eastAsia"/>
        </w:rPr>
        <w:t>model regression</w:t>
      </w:r>
      <w:r w:rsidRPr="00CA7DCF">
        <w:t xml:space="preserve"> </w:t>
      </w:r>
      <w:r>
        <w:t>on</w:t>
      </w:r>
      <w:r w:rsidRPr="00CA7DCF">
        <w:t xml:space="preserve"> the log scale. Models were repeated in different demographic subgroups by gender, age, educational level, and area.</w:t>
      </w:r>
    </w:p>
    <w:p w14:paraId="1EE0C359" w14:textId="6C1A1862" w:rsidR="009F7A81" w:rsidRDefault="006C261C" w:rsidP="006A563F">
      <w:pPr>
        <w:jc w:val="both"/>
        <w:rPr>
          <w:rFonts w:hint="eastAsia"/>
        </w:rPr>
      </w:pPr>
      <w:r w:rsidRPr="00CA7DCF">
        <w:t>*Random effect of the model included intercept and slope, and other covariates were fitted as fixed effects. SD: Standard deviation. p</w:t>
      </w:r>
      <w:r w:rsidRPr="00CA7DCF">
        <w:rPr>
          <w:rFonts w:ascii="Arial" w:hAnsi="Arial" w:cs="Arial"/>
        </w:rPr>
        <w:t> </w:t>
      </w:r>
      <w:r w:rsidRPr="00CA7DCF">
        <w:t>&lt;</w:t>
      </w:r>
      <w:r w:rsidRPr="00CA7DCF">
        <w:rPr>
          <w:rFonts w:ascii="Arial" w:hAnsi="Arial" w:cs="Arial"/>
        </w:rPr>
        <w:t> </w:t>
      </w:r>
      <w:r w:rsidRPr="00CA7DCF">
        <w:t>0.05, **p</w:t>
      </w:r>
      <w:r w:rsidRPr="00CA7DCF">
        <w:rPr>
          <w:rFonts w:ascii="Arial" w:hAnsi="Arial" w:cs="Arial"/>
        </w:rPr>
        <w:t> </w:t>
      </w:r>
      <w:r w:rsidRPr="00CA7DCF">
        <w:t>&lt;</w:t>
      </w:r>
      <w:r w:rsidRPr="00CA7DCF">
        <w:rPr>
          <w:rFonts w:ascii="Arial" w:hAnsi="Arial" w:cs="Arial"/>
        </w:rPr>
        <w:t> </w:t>
      </w:r>
      <w:r w:rsidRPr="00CA7DCF">
        <w:t>0.01, ***p</w:t>
      </w:r>
      <w:r w:rsidRPr="00CA7DCF">
        <w:rPr>
          <w:rFonts w:ascii="Arial" w:hAnsi="Arial" w:cs="Arial"/>
        </w:rPr>
        <w:t> </w:t>
      </w:r>
      <w:r w:rsidRPr="00CA7DCF">
        <w:t>&lt;</w:t>
      </w:r>
      <w:r w:rsidRPr="00CA7DCF">
        <w:rPr>
          <w:rFonts w:ascii="Arial" w:hAnsi="Arial" w:cs="Arial"/>
        </w:rPr>
        <w:t> </w:t>
      </w:r>
      <w:r w:rsidRPr="00CA7DCF">
        <w:t>0.001.</w:t>
      </w:r>
    </w:p>
    <w:p w14:paraId="595416B5" w14:textId="54D9D609" w:rsidR="009F7A81" w:rsidRDefault="009F7A81" w:rsidP="009F7A81">
      <w:pPr>
        <w:pStyle w:val="Heading1"/>
        <w:jc w:val="both"/>
        <w:rPr>
          <w:b/>
          <w:bCs/>
          <w:color w:val="auto"/>
          <w:sz w:val="32"/>
          <w:szCs w:val="32"/>
        </w:rPr>
      </w:pPr>
      <w:bookmarkStart w:id="11" w:name="_Toc204093438"/>
      <w:r w:rsidRPr="00CA7DCF">
        <w:rPr>
          <w:b/>
          <w:bCs/>
          <w:color w:val="auto"/>
          <w:sz w:val="32"/>
          <w:szCs w:val="32"/>
        </w:rPr>
        <w:t>S</w:t>
      </w:r>
      <w:r w:rsidRPr="00CA7DCF">
        <w:rPr>
          <w:rFonts w:hint="eastAsia"/>
          <w:b/>
          <w:bCs/>
          <w:color w:val="auto"/>
          <w:sz w:val="32"/>
          <w:szCs w:val="32"/>
        </w:rPr>
        <w:t>upplementary</w:t>
      </w:r>
      <w:r w:rsidR="0020642A">
        <w:rPr>
          <w:rFonts w:hint="eastAsia"/>
          <w:b/>
          <w:bCs/>
          <w:color w:val="auto"/>
          <w:sz w:val="32"/>
          <w:szCs w:val="32"/>
        </w:rPr>
        <w:t xml:space="preserve"> </w:t>
      </w:r>
      <w:r>
        <w:rPr>
          <w:rFonts w:hint="eastAsia"/>
          <w:b/>
          <w:bCs/>
          <w:color w:val="auto"/>
          <w:sz w:val="32"/>
          <w:szCs w:val="32"/>
        </w:rPr>
        <w:t>Table 6</w:t>
      </w:r>
      <w:r w:rsidRPr="00CA7DCF">
        <w:rPr>
          <w:rFonts w:hint="eastAsia"/>
          <w:b/>
          <w:bCs/>
          <w:color w:val="auto"/>
          <w:sz w:val="32"/>
          <w:szCs w:val="32"/>
        </w:rPr>
        <w:t xml:space="preserve">. </w:t>
      </w:r>
      <w:r w:rsidRPr="00D67B41">
        <w:rPr>
          <w:b/>
          <w:bCs/>
          <w:color w:val="auto"/>
          <w:sz w:val="32"/>
          <w:szCs w:val="32"/>
        </w:rPr>
        <w:t>Relative comparison of dietary GHG emissions (FAO energy-adjusted) vs. GDD-based GHG emissions</w:t>
      </w:r>
      <w:bookmarkEnd w:id="11"/>
    </w:p>
    <w:p w14:paraId="63DE643E" w14:textId="1E8ACDCB" w:rsidR="000B6163" w:rsidRPr="00DC5853" w:rsidRDefault="000B6163" w:rsidP="000B6163">
      <w:pPr>
        <w:rPr>
          <w:rFonts w:hint="eastAsia"/>
          <w:i/>
          <w:iCs/>
        </w:rPr>
      </w:pPr>
      <w:r w:rsidRPr="000B6163">
        <w:rPr>
          <w:i/>
          <w:iCs/>
        </w:rPr>
        <w:t>We used the country-specific average energy intake levels provided by the FAO to adjust the calculation of dietary GHG</w:t>
      </w:r>
      <w:r w:rsidR="003828D9">
        <w:rPr>
          <w:rFonts w:hint="eastAsia"/>
          <w:i/>
          <w:iCs/>
        </w:rPr>
        <w:t xml:space="preserve"> emissions</w:t>
      </w:r>
      <w:r w:rsidRPr="000B6163">
        <w:rPr>
          <w:i/>
          <w:iCs/>
        </w:rPr>
        <w:t xml:space="preserve"> and compared the results with dietary GHG</w:t>
      </w:r>
      <w:r w:rsidR="003828D9">
        <w:rPr>
          <w:rFonts w:hint="eastAsia"/>
          <w:i/>
          <w:iCs/>
        </w:rPr>
        <w:t xml:space="preserve"> emissions</w:t>
      </w:r>
      <w:r w:rsidRPr="000B6163">
        <w:rPr>
          <w:i/>
          <w:iCs/>
        </w:rPr>
        <w:t xml:space="preserve"> based on </w:t>
      </w:r>
      <w:proofErr w:type="spellStart"/>
      <w:r w:rsidRPr="000B6163">
        <w:rPr>
          <w:i/>
          <w:iCs/>
        </w:rPr>
        <w:t>GDD</w:t>
      </w:r>
      <w:proofErr w:type="spellEnd"/>
      <w:r w:rsidRPr="000B6163">
        <w:rPr>
          <w:i/>
          <w:iCs/>
        </w:rPr>
        <w:t>.</w:t>
      </w:r>
    </w:p>
    <w:tbl>
      <w:tblPr>
        <w:tblW w:w="8480" w:type="dxa"/>
        <w:tblBorders>
          <w:top w:val="single" w:sz="4" w:space="0" w:color="auto"/>
          <w:bottom w:val="single" w:sz="4" w:space="0" w:color="auto"/>
        </w:tblBorders>
        <w:tblLook w:val="04A0" w:firstRow="1" w:lastRow="0" w:firstColumn="1" w:lastColumn="0" w:noHBand="0" w:noVBand="1"/>
      </w:tblPr>
      <w:tblGrid>
        <w:gridCol w:w="4240"/>
        <w:gridCol w:w="4240"/>
      </w:tblGrid>
      <w:tr w:rsidR="009F7A81" w:rsidRPr="00501507" w14:paraId="349F83A8" w14:textId="77777777" w:rsidTr="00F82E25">
        <w:trPr>
          <w:trHeight w:val="288"/>
        </w:trPr>
        <w:tc>
          <w:tcPr>
            <w:tcW w:w="4240" w:type="dxa"/>
            <w:tcBorders>
              <w:top w:val="single" w:sz="4" w:space="0" w:color="auto"/>
              <w:bottom w:val="single" w:sz="4" w:space="0" w:color="auto"/>
            </w:tcBorders>
            <w:vAlign w:val="center"/>
            <w:hideMark/>
          </w:tcPr>
          <w:p w14:paraId="09F7F74C"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Country</w:t>
            </w:r>
          </w:p>
        </w:tc>
        <w:tc>
          <w:tcPr>
            <w:tcW w:w="4240" w:type="dxa"/>
            <w:tcBorders>
              <w:top w:val="single" w:sz="4" w:space="0" w:color="auto"/>
              <w:bottom w:val="single" w:sz="4" w:space="0" w:color="auto"/>
            </w:tcBorders>
            <w:noWrap/>
            <w:vAlign w:val="bottom"/>
            <w:hideMark/>
          </w:tcPr>
          <w:p w14:paraId="08D6D469"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FAO vs. GDD (</w:t>
            </w:r>
            <w:r>
              <w:rPr>
                <w:rFonts w:ascii="Aptos Narrow" w:hAnsi="Aptos Narrow" w:cs="Times New Roman" w:hint="eastAsia"/>
                <w:color w:val="000000"/>
                <w:kern w:val="0"/>
                <w:sz w:val="22"/>
                <w:szCs w:val="22"/>
                <w14:ligatures w14:val="none"/>
              </w:rPr>
              <w:t>%</w:t>
            </w:r>
            <w:r w:rsidRPr="00501507">
              <w:rPr>
                <w:rFonts w:ascii="Aptos Narrow" w:eastAsia="Times New Roman" w:hAnsi="Aptos Narrow" w:cs="Times New Roman"/>
                <w:color w:val="000000"/>
                <w:kern w:val="0"/>
                <w:sz w:val="22"/>
                <w:szCs w:val="22"/>
                <w14:ligatures w14:val="none"/>
              </w:rPr>
              <w:t>)</w:t>
            </w:r>
          </w:p>
        </w:tc>
      </w:tr>
      <w:tr w:rsidR="009F7A81" w:rsidRPr="00501507" w14:paraId="7176C118" w14:textId="77777777" w:rsidTr="00F82E25">
        <w:trPr>
          <w:trHeight w:val="288"/>
        </w:trPr>
        <w:tc>
          <w:tcPr>
            <w:tcW w:w="4240" w:type="dxa"/>
            <w:tcBorders>
              <w:top w:val="single" w:sz="4" w:space="0" w:color="auto"/>
            </w:tcBorders>
            <w:vAlign w:val="center"/>
            <w:hideMark/>
          </w:tcPr>
          <w:p w14:paraId="668A90C1"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Ireland</w:t>
            </w:r>
          </w:p>
        </w:tc>
        <w:tc>
          <w:tcPr>
            <w:tcW w:w="4240" w:type="dxa"/>
            <w:tcBorders>
              <w:top w:val="single" w:sz="4" w:space="0" w:color="auto"/>
            </w:tcBorders>
            <w:vAlign w:val="center"/>
            <w:hideMark/>
          </w:tcPr>
          <w:p w14:paraId="6CE03C50"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96.9%</w:t>
            </w:r>
          </w:p>
        </w:tc>
      </w:tr>
      <w:tr w:rsidR="009F7A81" w:rsidRPr="00501507" w14:paraId="62D9D78D" w14:textId="77777777" w:rsidTr="00F82E25">
        <w:trPr>
          <w:trHeight w:val="288"/>
        </w:trPr>
        <w:tc>
          <w:tcPr>
            <w:tcW w:w="4240" w:type="dxa"/>
            <w:vAlign w:val="center"/>
            <w:hideMark/>
          </w:tcPr>
          <w:p w14:paraId="73DAB59E"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United States of America</w:t>
            </w:r>
          </w:p>
        </w:tc>
        <w:tc>
          <w:tcPr>
            <w:tcW w:w="4240" w:type="dxa"/>
            <w:vAlign w:val="center"/>
            <w:hideMark/>
          </w:tcPr>
          <w:p w14:paraId="28767100"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91.2%</w:t>
            </w:r>
          </w:p>
        </w:tc>
      </w:tr>
      <w:tr w:rsidR="009F7A81" w:rsidRPr="00501507" w14:paraId="372BCC70" w14:textId="77777777" w:rsidTr="00F82E25">
        <w:trPr>
          <w:trHeight w:val="288"/>
        </w:trPr>
        <w:tc>
          <w:tcPr>
            <w:tcW w:w="4240" w:type="dxa"/>
            <w:vAlign w:val="center"/>
            <w:hideMark/>
          </w:tcPr>
          <w:p w14:paraId="5A2F3229"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Belgium</w:t>
            </w:r>
          </w:p>
        </w:tc>
        <w:tc>
          <w:tcPr>
            <w:tcW w:w="4240" w:type="dxa"/>
            <w:vAlign w:val="center"/>
            <w:hideMark/>
          </w:tcPr>
          <w:p w14:paraId="5FA424FC"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90.0%</w:t>
            </w:r>
          </w:p>
        </w:tc>
      </w:tr>
      <w:tr w:rsidR="009F7A81" w:rsidRPr="00501507" w14:paraId="0BD323BC" w14:textId="77777777" w:rsidTr="00F82E25">
        <w:trPr>
          <w:trHeight w:val="288"/>
        </w:trPr>
        <w:tc>
          <w:tcPr>
            <w:tcW w:w="4240" w:type="dxa"/>
            <w:vAlign w:val="center"/>
            <w:hideMark/>
          </w:tcPr>
          <w:p w14:paraId="264EA5F4"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lang w:val="en-US"/>
                <w14:ligatures w14:val="none"/>
              </w:rPr>
            </w:pPr>
            <w:r w:rsidRPr="00501507">
              <w:rPr>
                <w:rFonts w:ascii="Aptos Narrow" w:eastAsia="Times New Roman" w:hAnsi="Aptos Narrow" w:cs="Times New Roman"/>
                <w:color w:val="000000"/>
                <w:kern w:val="0"/>
                <w:sz w:val="22"/>
                <w:szCs w:val="22"/>
                <w:lang w:val="en-US"/>
                <w14:ligatures w14:val="none"/>
              </w:rPr>
              <w:t>Turkey</w:t>
            </w:r>
          </w:p>
        </w:tc>
        <w:tc>
          <w:tcPr>
            <w:tcW w:w="4240" w:type="dxa"/>
            <w:vAlign w:val="center"/>
            <w:hideMark/>
          </w:tcPr>
          <w:p w14:paraId="32413D23"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89.4%</w:t>
            </w:r>
          </w:p>
        </w:tc>
      </w:tr>
      <w:tr w:rsidR="009F7A81" w:rsidRPr="00501507" w14:paraId="2BE9C2AD" w14:textId="77777777" w:rsidTr="00F82E25">
        <w:trPr>
          <w:trHeight w:val="288"/>
        </w:trPr>
        <w:tc>
          <w:tcPr>
            <w:tcW w:w="4240" w:type="dxa"/>
            <w:vAlign w:val="center"/>
            <w:hideMark/>
          </w:tcPr>
          <w:p w14:paraId="3E0EA9BB"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Austria</w:t>
            </w:r>
          </w:p>
        </w:tc>
        <w:tc>
          <w:tcPr>
            <w:tcW w:w="4240" w:type="dxa"/>
            <w:vAlign w:val="center"/>
            <w:hideMark/>
          </w:tcPr>
          <w:p w14:paraId="53923AE2"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87.7%</w:t>
            </w:r>
          </w:p>
        </w:tc>
      </w:tr>
      <w:tr w:rsidR="009F7A81" w:rsidRPr="00501507" w14:paraId="553B11A3" w14:textId="77777777" w:rsidTr="00F82E25">
        <w:trPr>
          <w:trHeight w:val="288"/>
        </w:trPr>
        <w:tc>
          <w:tcPr>
            <w:tcW w:w="4240" w:type="dxa"/>
            <w:vAlign w:val="center"/>
            <w:hideMark/>
          </w:tcPr>
          <w:p w14:paraId="41DE20C4"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Israel</w:t>
            </w:r>
          </w:p>
        </w:tc>
        <w:tc>
          <w:tcPr>
            <w:tcW w:w="4240" w:type="dxa"/>
            <w:vAlign w:val="center"/>
            <w:hideMark/>
          </w:tcPr>
          <w:p w14:paraId="019BE8B5"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85.1%</w:t>
            </w:r>
          </w:p>
        </w:tc>
      </w:tr>
      <w:tr w:rsidR="009F7A81" w:rsidRPr="00501507" w14:paraId="3ECB8E03" w14:textId="77777777" w:rsidTr="00F82E25">
        <w:trPr>
          <w:trHeight w:val="288"/>
        </w:trPr>
        <w:tc>
          <w:tcPr>
            <w:tcW w:w="4240" w:type="dxa"/>
            <w:vAlign w:val="center"/>
            <w:hideMark/>
          </w:tcPr>
          <w:p w14:paraId="562088A9"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Iceland</w:t>
            </w:r>
          </w:p>
        </w:tc>
        <w:tc>
          <w:tcPr>
            <w:tcW w:w="4240" w:type="dxa"/>
            <w:vAlign w:val="center"/>
            <w:hideMark/>
          </w:tcPr>
          <w:p w14:paraId="392796A8"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82.8%</w:t>
            </w:r>
          </w:p>
        </w:tc>
      </w:tr>
      <w:tr w:rsidR="009F7A81" w:rsidRPr="00501507" w14:paraId="1A2044B2" w14:textId="77777777" w:rsidTr="00F82E25">
        <w:trPr>
          <w:trHeight w:val="288"/>
        </w:trPr>
        <w:tc>
          <w:tcPr>
            <w:tcW w:w="4240" w:type="dxa"/>
            <w:vAlign w:val="center"/>
            <w:hideMark/>
          </w:tcPr>
          <w:p w14:paraId="2213E0E8"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Romania</w:t>
            </w:r>
          </w:p>
        </w:tc>
        <w:tc>
          <w:tcPr>
            <w:tcW w:w="4240" w:type="dxa"/>
            <w:vAlign w:val="center"/>
            <w:hideMark/>
          </w:tcPr>
          <w:p w14:paraId="6FA7F99F"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81.0%</w:t>
            </w:r>
          </w:p>
        </w:tc>
      </w:tr>
      <w:tr w:rsidR="009F7A81" w:rsidRPr="00501507" w14:paraId="69F398A5" w14:textId="77777777" w:rsidTr="00F82E25">
        <w:trPr>
          <w:trHeight w:val="288"/>
        </w:trPr>
        <w:tc>
          <w:tcPr>
            <w:tcW w:w="4240" w:type="dxa"/>
            <w:vAlign w:val="center"/>
            <w:hideMark/>
          </w:tcPr>
          <w:p w14:paraId="62F824EC"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Germany</w:t>
            </w:r>
          </w:p>
        </w:tc>
        <w:tc>
          <w:tcPr>
            <w:tcW w:w="4240" w:type="dxa"/>
            <w:vAlign w:val="center"/>
            <w:hideMark/>
          </w:tcPr>
          <w:p w14:paraId="64AD5DC7"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80.3%</w:t>
            </w:r>
          </w:p>
        </w:tc>
      </w:tr>
      <w:tr w:rsidR="009F7A81" w:rsidRPr="00501507" w14:paraId="59C39560" w14:textId="77777777" w:rsidTr="00F82E25">
        <w:trPr>
          <w:trHeight w:val="288"/>
        </w:trPr>
        <w:tc>
          <w:tcPr>
            <w:tcW w:w="4240" w:type="dxa"/>
            <w:vAlign w:val="center"/>
            <w:hideMark/>
          </w:tcPr>
          <w:p w14:paraId="4133EDB9"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Canada</w:t>
            </w:r>
          </w:p>
        </w:tc>
        <w:tc>
          <w:tcPr>
            <w:tcW w:w="4240" w:type="dxa"/>
            <w:vAlign w:val="center"/>
            <w:hideMark/>
          </w:tcPr>
          <w:p w14:paraId="0033AEBF"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80.0%</w:t>
            </w:r>
          </w:p>
        </w:tc>
      </w:tr>
      <w:tr w:rsidR="009F7A81" w:rsidRPr="00501507" w14:paraId="2D02C8F3" w14:textId="77777777" w:rsidTr="00F82E25">
        <w:trPr>
          <w:trHeight w:val="288"/>
        </w:trPr>
        <w:tc>
          <w:tcPr>
            <w:tcW w:w="4240" w:type="dxa"/>
            <w:vAlign w:val="center"/>
            <w:hideMark/>
          </w:tcPr>
          <w:p w14:paraId="3F46625D"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Denmark</w:t>
            </w:r>
          </w:p>
        </w:tc>
        <w:tc>
          <w:tcPr>
            <w:tcW w:w="4240" w:type="dxa"/>
            <w:vAlign w:val="center"/>
            <w:hideMark/>
          </w:tcPr>
          <w:p w14:paraId="0A384D86"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78.7%</w:t>
            </w:r>
          </w:p>
        </w:tc>
      </w:tr>
      <w:tr w:rsidR="009F7A81" w:rsidRPr="00501507" w14:paraId="491AD678" w14:textId="77777777" w:rsidTr="00F82E25">
        <w:trPr>
          <w:trHeight w:val="288"/>
        </w:trPr>
        <w:tc>
          <w:tcPr>
            <w:tcW w:w="4240" w:type="dxa"/>
            <w:vAlign w:val="center"/>
            <w:hideMark/>
          </w:tcPr>
          <w:p w14:paraId="5EE3DFC0"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Italy</w:t>
            </w:r>
          </w:p>
        </w:tc>
        <w:tc>
          <w:tcPr>
            <w:tcW w:w="4240" w:type="dxa"/>
            <w:vAlign w:val="center"/>
            <w:hideMark/>
          </w:tcPr>
          <w:p w14:paraId="670BC1E8"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77.5%</w:t>
            </w:r>
          </w:p>
        </w:tc>
      </w:tr>
      <w:tr w:rsidR="009F7A81" w:rsidRPr="00501507" w14:paraId="083E7538" w14:textId="77777777" w:rsidTr="00F82E25">
        <w:trPr>
          <w:trHeight w:val="288"/>
        </w:trPr>
        <w:tc>
          <w:tcPr>
            <w:tcW w:w="4240" w:type="dxa"/>
            <w:vAlign w:val="center"/>
            <w:hideMark/>
          </w:tcPr>
          <w:p w14:paraId="25A296BB"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France</w:t>
            </w:r>
          </w:p>
        </w:tc>
        <w:tc>
          <w:tcPr>
            <w:tcW w:w="4240" w:type="dxa"/>
            <w:vAlign w:val="center"/>
            <w:hideMark/>
          </w:tcPr>
          <w:p w14:paraId="697D554E"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75.5%</w:t>
            </w:r>
          </w:p>
        </w:tc>
      </w:tr>
      <w:tr w:rsidR="009F7A81" w:rsidRPr="00501507" w14:paraId="6F2976A6" w14:textId="77777777" w:rsidTr="00F82E25">
        <w:trPr>
          <w:trHeight w:val="288"/>
        </w:trPr>
        <w:tc>
          <w:tcPr>
            <w:tcW w:w="4240" w:type="dxa"/>
            <w:vAlign w:val="center"/>
            <w:hideMark/>
          </w:tcPr>
          <w:p w14:paraId="5F239DB0"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Norway</w:t>
            </w:r>
          </w:p>
        </w:tc>
        <w:tc>
          <w:tcPr>
            <w:tcW w:w="4240" w:type="dxa"/>
            <w:vAlign w:val="center"/>
            <w:hideMark/>
          </w:tcPr>
          <w:p w14:paraId="7465598D"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74.4%</w:t>
            </w:r>
          </w:p>
        </w:tc>
      </w:tr>
      <w:tr w:rsidR="009F7A81" w:rsidRPr="00501507" w14:paraId="04CD57FE" w14:textId="77777777" w:rsidTr="00F82E25">
        <w:trPr>
          <w:trHeight w:val="288"/>
        </w:trPr>
        <w:tc>
          <w:tcPr>
            <w:tcW w:w="4240" w:type="dxa"/>
            <w:vAlign w:val="center"/>
            <w:hideMark/>
          </w:tcPr>
          <w:p w14:paraId="24B9A509"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Bahrain</w:t>
            </w:r>
          </w:p>
        </w:tc>
        <w:tc>
          <w:tcPr>
            <w:tcW w:w="4240" w:type="dxa"/>
            <w:vAlign w:val="center"/>
            <w:hideMark/>
          </w:tcPr>
          <w:p w14:paraId="00FCFEF3"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74.1%</w:t>
            </w:r>
          </w:p>
        </w:tc>
      </w:tr>
      <w:tr w:rsidR="009F7A81" w:rsidRPr="00501507" w14:paraId="241DD4B8" w14:textId="77777777" w:rsidTr="00F82E25">
        <w:trPr>
          <w:trHeight w:val="288"/>
        </w:trPr>
        <w:tc>
          <w:tcPr>
            <w:tcW w:w="4240" w:type="dxa"/>
            <w:vAlign w:val="center"/>
            <w:hideMark/>
          </w:tcPr>
          <w:p w14:paraId="54B56917"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Qatar</w:t>
            </w:r>
          </w:p>
        </w:tc>
        <w:tc>
          <w:tcPr>
            <w:tcW w:w="4240" w:type="dxa"/>
            <w:vAlign w:val="center"/>
            <w:hideMark/>
          </w:tcPr>
          <w:p w14:paraId="4E8D7712"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74.1%</w:t>
            </w:r>
          </w:p>
        </w:tc>
      </w:tr>
      <w:tr w:rsidR="009F7A81" w:rsidRPr="00501507" w14:paraId="7A88AC95" w14:textId="77777777" w:rsidTr="00F82E25">
        <w:trPr>
          <w:trHeight w:val="288"/>
        </w:trPr>
        <w:tc>
          <w:tcPr>
            <w:tcW w:w="4240" w:type="dxa"/>
            <w:vAlign w:val="center"/>
            <w:hideMark/>
          </w:tcPr>
          <w:p w14:paraId="27764EE4"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Australia</w:t>
            </w:r>
          </w:p>
        </w:tc>
        <w:tc>
          <w:tcPr>
            <w:tcW w:w="4240" w:type="dxa"/>
            <w:vAlign w:val="center"/>
            <w:hideMark/>
          </w:tcPr>
          <w:p w14:paraId="00BD5594"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73.5%</w:t>
            </w:r>
          </w:p>
        </w:tc>
      </w:tr>
      <w:tr w:rsidR="009F7A81" w:rsidRPr="00501507" w14:paraId="5C4A782A" w14:textId="77777777" w:rsidTr="00F82E25">
        <w:trPr>
          <w:trHeight w:val="288"/>
        </w:trPr>
        <w:tc>
          <w:tcPr>
            <w:tcW w:w="4240" w:type="dxa"/>
            <w:vAlign w:val="center"/>
            <w:hideMark/>
          </w:tcPr>
          <w:p w14:paraId="6851DB92"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lastRenderedPageBreak/>
              <w:t>Portugal</w:t>
            </w:r>
          </w:p>
        </w:tc>
        <w:tc>
          <w:tcPr>
            <w:tcW w:w="4240" w:type="dxa"/>
            <w:vAlign w:val="center"/>
            <w:hideMark/>
          </w:tcPr>
          <w:p w14:paraId="276156C4"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73.4%</w:t>
            </w:r>
          </w:p>
        </w:tc>
      </w:tr>
      <w:tr w:rsidR="009F7A81" w:rsidRPr="00501507" w14:paraId="242BD9DC" w14:textId="77777777" w:rsidTr="00F82E25">
        <w:trPr>
          <w:trHeight w:val="288"/>
        </w:trPr>
        <w:tc>
          <w:tcPr>
            <w:tcW w:w="4240" w:type="dxa"/>
            <w:vAlign w:val="center"/>
            <w:hideMark/>
          </w:tcPr>
          <w:p w14:paraId="2FF0D0BB"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Poland</w:t>
            </w:r>
          </w:p>
        </w:tc>
        <w:tc>
          <w:tcPr>
            <w:tcW w:w="4240" w:type="dxa"/>
            <w:vAlign w:val="center"/>
            <w:hideMark/>
          </w:tcPr>
          <w:p w14:paraId="448457DF"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73.2%</w:t>
            </w:r>
          </w:p>
        </w:tc>
      </w:tr>
      <w:tr w:rsidR="009F7A81" w:rsidRPr="00501507" w14:paraId="02BFDAA4" w14:textId="77777777" w:rsidTr="00F82E25">
        <w:trPr>
          <w:trHeight w:val="288"/>
        </w:trPr>
        <w:tc>
          <w:tcPr>
            <w:tcW w:w="4240" w:type="dxa"/>
            <w:vAlign w:val="center"/>
            <w:hideMark/>
          </w:tcPr>
          <w:p w14:paraId="41518A37"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Montenegro</w:t>
            </w:r>
          </w:p>
        </w:tc>
        <w:tc>
          <w:tcPr>
            <w:tcW w:w="4240" w:type="dxa"/>
            <w:vAlign w:val="center"/>
            <w:hideMark/>
          </w:tcPr>
          <w:p w14:paraId="703029C8"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73.0%</w:t>
            </w:r>
          </w:p>
        </w:tc>
      </w:tr>
      <w:tr w:rsidR="009F7A81" w:rsidRPr="00501507" w14:paraId="67C30F2E" w14:textId="77777777" w:rsidTr="00F82E25">
        <w:trPr>
          <w:trHeight w:val="288"/>
        </w:trPr>
        <w:tc>
          <w:tcPr>
            <w:tcW w:w="4240" w:type="dxa"/>
            <w:vAlign w:val="center"/>
            <w:hideMark/>
          </w:tcPr>
          <w:p w14:paraId="15337828"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Kuwait</w:t>
            </w:r>
          </w:p>
        </w:tc>
        <w:tc>
          <w:tcPr>
            <w:tcW w:w="4240" w:type="dxa"/>
            <w:vAlign w:val="center"/>
            <w:hideMark/>
          </w:tcPr>
          <w:p w14:paraId="7295614F"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71.6%</w:t>
            </w:r>
          </w:p>
        </w:tc>
      </w:tr>
      <w:tr w:rsidR="009F7A81" w:rsidRPr="00501507" w14:paraId="30265A57" w14:textId="77777777" w:rsidTr="00F82E25">
        <w:trPr>
          <w:trHeight w:val="288"/>
        </w:trPr>
        <w:tc>
          <w:tcPr>
            <w:tcW w:w="4240" w:type="dxa"/>
            <w:vAlign w:val="center"/>
            <w:hideMark/>
          </w:tcPr>
          <w:p w14:paraId="412A3EBD"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Morocco</w:t>
            </w:r>
          </w:p>
        </w:tc>
        <w:tc>
          <w:tcPr>
            <w:tcW w:w="4240" w:type="dxa"/>
            <w:vAlign w:val="center"/>
            <w:hideMark/>
          </w:tcPr>
          <w:p w14:paraId="0CB5A923"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70.6%</w:t>
            </w:r>
          </w:p>
        </w:tc>
      </w:tr>
      <w:tr w:rsidR="009F7A81" w:rsidRPr="00501507" w14:paraId="6EF36012" w14:textId="77777777" w:rsidTr="00F82E25">
        <w:trPr>
          <w:trHeight w:val="288"/>
        </w:trPr>
        <w:tc>
          <w:tcPr>
            <w:tcW w:w="4240" w:type="dxa"/>
            <w:vAlign w:val="center"/>
            <w:hideMark/>
          </w:tcPr>
          <w:p w14:paraId="4A647F0A"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Luxembourg</w:t>
            </w:r>
          </w:p>
        </w:tc>
        <w:tc>
          <w:tcPr>
            <w:tcW w:w="4240" w:type="dxa"/>
            <w:vAlign w:val="center"/>
            <w:hideMark/>
          </w:tcPr>
          <w:p w14:paraId="0C6A8EC2"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70.4%</w:t>
            </w:r>
          </w:p>
        </w:tc>
      </w:tr>
      <w:tr w:rsidR="009F7A81" w:rsidRPr="00501507" w14:paraId="1048C264" w14:textId="77777777" w:rsidTr="00F82E25">
        <w:trPr>
          <w:trHeight w:val="288"/>
        </w:trPr>
        <w:tc>
          <w:tcPr>
            <w:tcW w:w="4240" w:type="dxa"/>
            <w:vAlign w:val="center"/>
            <w:hideMark/>
          </w:tcPr>
          <w:p w14:paraId="09B98A34"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Tunisia</w:t>
            </w:r>
          </w:p>
        </w:tc>
        <w:tc>
          <w:tcPr>
            <w:tcW w:w="4240" w:type="dxa"/>
            <w:vAlign w:val="center"/>
            <w:hideMark/>
          </w:tcPr>
          <w:p w14:paraId="2DF7A384"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69.9%</w:t>
            </w:r>
          </w:p>
        </w:tc>
      </w:tr>
      <w:tr w:rsidR="009F7A81" w:rsidRPr="00501507" w14:paraId="6A2762F0" w14:textId="77777777" w:rsidTr="00F82E25">
        <w:trPr>
          <w:trHeight w:val="288"/>
        </w:trPr>
        <w:tc>
          <w:tcPr>
            <w:tcW w:w="4240" w:type="dxa"/>
            <w:vAlign w:val="center"/>
            <w:hideMark/>
          </w:tcPr>
          <w:p w14:paraId="52563C16"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Switzerland</w:t>
            </w:r>
          </w:p>
        </w:tc>
        <w:tc>
          <w:tcPr>
            <w:tcW w:w="4240" w:type="dxa"/>
            <w:vAlign w:val="center"/>
            <w:hideMark/>
          </w:tcPr>
          <w:p w14:paraId="514BF5F4"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69.5%</w:t>
            </w:r>
          </w:p>
        </w:tc>
      </w:tr>
      <w:tr w:rsidR="009F7A81" w:rsidRPr="00501507" w14:paraId="174FB5E4" w14:textId="77777777" w:rsidTr="00F82E25">
        <w:trPr>
          <w:trHeight w:val="288"/>
        </w:trPr>
        <w:tc>
          <w:tcPr>
            <w:tcW w:w="4240" w:type="dxa"/>
            <w:vAlign w:val="center"/>
            <w:hideMark/>
          </w:tcPr>
          <w:p w14:paraId="040B6E1A"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Serbia</w:t>
            </w:r>
          </w:p>
        </w:tc>
        <w:tc>
          <w:tcPr>
            <w:tcW w:w="4240" w:type="dxa"/>
            <w:vAlign w:val="center"/>
            <w:hideMark/>
          </w:tcPr>
          <w:p w14:paraId="458B97EA"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69.4%</w:t>
            </w:r>
          </w:p>
        </w:tc>
      </w:tr>
      <w:tr w:rsidR="009F7A81" w:rsidRPr="00501507" w14:paraId="1CA9E5A7" w14:textId="77777777" w:rsidTr="00F82E25">
        <w:trPr>
          <w:trHeight w:val="288"/>
        </w:trPr>
        <w:tc>
          <w:tcPr>
            <w:tcW w:w="4240" w:type="dxa"/>
            <w:vAlign w:val="center"/>
            <w:hideMark/>
          </w:tcPr>
          <w:p w14:paraId="6801A30C"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Greece</w:t>
            </w:r>
          </w:p>
        </w:tc>
        <w:tc>
          <w:tcPr>
            <w:tcW w:w="4240" w:type="dxa"/>
            <w:vAlign w:val="center"/>
            <w:hideMark/>
          </w:tcPr>
          <w:p w14:paraId="21D8FE8B"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69.3%</w:t>
            </w:r>
          </w:p>
        </w:tc>
      </w:tr>
      <w:tr w:rsidR="009F7A81" w:rsidRPr="00501507" w14:paraId="10D6C98A" w14:textId="77777777" w:rsidTr="00F82E25">
        <w:trPr>
          <w:trHeight w:val="288"/>
        </w:trPr>
        <w:tc>
          <w:tcPr>
            <w:tcW w:w="4240" w:type="dxa"/>
            <w:vAlign w:val="center"/>
            <w:hideMark/>
          </w:tcPr>
          <w:p w14:paraId="3CDBF243"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Cuba</w:t>
            </w:r>
          </w:p>
        </w:tc>
        <w:tc>
          <w:tcPr>
            <w:tcW w:w="4240" w:type="dxa"/>
            <w:vAlign w:val="center"/>
            <w:hideMark/>
          </w:tcPr>
          <w:p w14:paraId="5CE9CFD3"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69.3%</w:t>
            </w:r>
          </w:p>
        </w:tc>
      </w:tr>
      <w:tr w:rsidR="009F7A81" w:rsidRPr="00501507" w14:paraId="4BBCA65F" w14:textId="77777777" w:rsidTr="00F82E25">
        <w:trPr>
          <w:trHeight w:val="288"/>
        </w:trPr>
        <w:tc>
          <w:tcPr>
            <w:tcW w:w="4240" w:type="dxa"/>
            <w:vAlign w:val="center"/>
            <w:hideMark/>
          </w:tcPr>
          <w:p w14:paraId="1AFE7E97"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Republic of Korea</w:t>
            </w:r>
          </w:p>
        </w:tc>
        <w:tc>
          <w:tcPr>
            <w:tcW w:w="4240" w:type="dxa"/>
            <w:vAlign w:val="center"/>
            <w:hideMark/>
          </w:tcPr>
          <w:p w14:paraId="304B16F6"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69.2%</w:t>
            </w:r>
          </w:p>
        </w:tc>
      </w:tr>
      <w:tr w:rsidR="009F7A81" w:rsidRPr="00501507" w14:paraId="0817257E" w14:textId="77777777" w:rsidTr="00F82E25">
        <w:trPr>
          <w:trHeight w:val="288"/>
        </w:trPr>
        <w:tc>
          <w:tcPr>
            <w:tcW w:w="4240" w:type="dxa"/>
            <w:vAlign w:val="center"/>
            <w:hideMark/>
          </w:tcPr>
          <w:p w14:paraId="1F475D89"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Algeria</w:t>
            </w:r>
          </w:p>
        </w:tc>
        <w:tc>
          <w:tcPr>
            <w:tcW w:w="4240" w:type="dxa"/>
            <w:vAlign w:val="center"/>
            <w:hideMark/>
          </w:tcPr>
          <w:p w14:paraId="0FDC0E24"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69.1%</w:t>
            </w:r>
          </w:p>
        </w:tc>
      </w:tr>
      <w:tr w:rsidR="009F7A81" w:rsidRPr="00501507" w14:paraId="12F82BD8" w14:textId="77777777" w:rsidTr="00F82E25">
        <w:trPr>
          <w:trHeight w:val="288"/>
        </w:trPr>
        <w:tc>
          <w:tcPr>
            <w:tcW w:w="4240" w:type="dxa"/>
            <w:vAlign w:val="center"/>
            <w:hideMark/>
          </w:tcPr>
          <w:p w14:paraId="7B05FEE7"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Spain</w:t>
            </w:r>
          </w:p>
        </w:tc>
        <w:tc>
          <w:tcPr>
            <w:tcW w:w="4240" w:type="dxa"/>
            <w:vAlign w:val="center"/>
            <w:hideMark/>
          </w:tcPr>
          <w:p w14:paraId="3010E399"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68.5%</w:t>
            </w:r>
          </w:p>
        </w:tc>
      </w:tr>
      <w:tr w:rsidR="009F7A81" w:rsidRPr="00501507" w14:paraId="76E1216C" w14:textId="77777777" w:rsidTr="00F82E25">
        <w:trPr>
          <w:trHeight w:val="288"/>
        </w:trPr>
        <w:tc>
          <w:tcPr>
            <w:tcW w:w="4240" w:type="dxa"/>
            <w:vAlign w:val="center"/>
            <w:hideMark/>
          </w:tcPr>
          <w:p w14:paraId="55B6A6FA"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Russian Federation</w:t>
            </w:r>
          </w:p>
        </w:tc>
        <w:tc>
          <w:tcPr>
            <w:tcW w:w="4240" w:type="dxa"/>
            <w:vAlign w:val="center"/>
            <w:hideMark/>
          </w:tcPr>
          <w:p w14:paraId="5B30B6C9"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67.7%</w:t>
            </w:r>
          </w:p>
        </w:tc>
      </w:tr>
      <w:tr w:rsidR="009F7A81" w:rsidRPr="00501507" w14:paraId="7ACD9A5B" w14:textId="77777777" w:rsidTr="00F82E25">
        <w:trPr>
          <w:trHeight w:val="288"/>
        </w:trPr>
        <w:tc>
          <w:tcPr>
            <w:tcW w:w="4240" w:type="dxa"/>
            <w:vAlign w:val="center"/>
            <w:hideMark/>
          </w:tcPr>
          <w:p w14:paraId="35CC155C"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Albania</w:t>
            </w:r>
          </w:p>
        </w:tc>
        <w:tc>
          <w:tcPr>
            <w:tcW w:w="4240" w:type="dxa"/>
            <w:vAlign w:val="center"/>
            <w:hideMark/>
          </w:tcPr>
          <w:p w14:paraId="715C3E44"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67.6%</w:t>
            </w:r>
          </w:p>
        </w:tc>
      </w:tr>
      <w:tr w:rsidR="009F7A81" w:rsidRPr="00501507" w14:paraId="084B6488" w14:textId="77777777" w:rsidTr="00F82E25">
        <w:trPr>
          <w:trHeight w:val="288"/>
        </w:trPr>
        <w:tc>
          <w:tcPr>
            <w:tcW w:w="4240" w:type="dxa"/>
            <w:vAlign w:val="center"/>
            <w:hideMark/>
          </w:tcPr>
          <w:p w14:paraId="3CA78560"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Kazakhstan</w:t>
            </w:r>
          </w:p>
        </w:tc>
        <w:tc>
          <w:tcPr>
            <w:tcW w:w="4240" w:type="dxa"/>
            <w:vAlign w:val="center"/>
            <w:hideMark/>
          </w:tcPr>
          <w:p w14:paraId="01B49882"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67.5%</w:t>
            </w:r>
          </w:p>
        </w:tc>
      </w:tr>
      <w:tr w:rsidR="009F7A81" w:rsidRPr="00501507" w14:paraId="220BE386" w14:textId="77777777" w:rsidTr="00F82E25">
        <w:trPr>
          <w:trHeight w:val="288"/>
        </w:trPr>
        <w:tc>
          <w:tcPr>
            <w:tcW w:w="4240" w:type="dxa"/>
            <w:vAlign w:val="center"/>
            <w:hideMark/>
          </w:tcPr>
          <w:p w14:paraId="4F5C7CD1"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United Kingdom</w:t>
            </w:r>
          </w:p>
        </w:tc>
        <w:tc>
          <w:tcPr>
            <w:tcW w:w="4240" w:type="dxa"/>
            <w:vAlign w:val="center"/>
            <w:hideMark/>
          </w:tcPr>
          <w:p w14:paraId="2A2D2C5E"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67.2%</w:t>
            </w:r>
          </w:p>
        </w:tc>
      </w:tr>
      <w:tr w:rsidR="009F7A81" w:rsidRPr="00501507" w14:paraId="399E18A1" w14:textId="77777777" w:rsidTr="00F82E25">
        <w:trPr>
          <w:trHeight w:val="288"/>
        </w:trPr>
        <w:tc>
          <w:tcPr>
            <w:tcW w:w="4240" w:type="dxa"/>
            <w:vAlign w:val="center"/>
            <w:hideMark/>
          </w:tcPr>
          <w:p w14:paraId="3D244932"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Bosnia and Herzegovina</w:t>
            </w:r>
          </w:p>
        </w:tc>
        <w:tc>
          <w:tcPr>
            <w:tcW w:w="4240" w:type="dxa"/>
            <w:vAlign w:val="center"/>
            <w:hideMark/>
          </w:tcPr>
          <w:p w14:paraId="3418E1E0"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66.3%</w:t>
            </w:r>
          </w:p>
        </w:tc>
      </w:tr>
      <w:tr w:rsidR="009F7A81" w:rsidRPr="00501507" w14:paraId="1102D281" w14:textId="77777777" w:rsidTr="00F82E25">
        <w:trPr>
          <w:trHeight w:val="288"/>
        </w:trPr>
        <w:tc>
          <w:tcPr>
            <w:tcW w:w="4240" w:type="dxa"/>
            <w:vAlign w:val="center"/>
            <w:hideMark/>
          </w:tcPr>
          <w:p w14:paraId="0123B28E"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Netherlands</w:t>
            </w:r>
          </w:p>
        </w:tc>
        <w:tc>
          <w:tcPr>
            <w:tcW w:w="4240" w:type="dxa"/>
            <w:vAlign w:val="center"/>
            <w:hideMark/>
          </w:tcPr>
          <w:p w14:paraId="5185B1CC"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65.9%</w:t>
            </w:r>
          </w:p>
        </w:tc>
      </w:tr>
      <w:tr w:rsidR="009F7A81" w:rsidRPr="00501507" w14:paraId="6CBDCEC2" w14:textId="77777777" w:rsidTr="00F82E25">
        <w:trPr>
          <w:trHeight w:val="288"/>
        </w:trPr>
        <w:tc>
          <w:tcPr>
            <w:tcW w:w="4240" w:type="dxa"/>
            <w:vAlign w:val="center"/>
            <w:hideMark/>
          </w:tcPr>
          <w:p w14:paraId="34525350"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Finland</w:t>
            </w:r>
          </w:p>
        </w:tc>
        <w:tc>
          <w:tcPr>
            <w:tcW w:w="4240" w:type="dxa"/>
            <w:vAlign w:val="center"/>
            <w:hideMark/>
          </w:tcPr>
          <w:p w14:paraId="55530398"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65.9%</w:t>
            </w:r>
          </w:p>
        </w:tc>
      </w:tr>
      <w:tr w:rsidR="009F7A81" w:rsidRPr="00501507" w14:paraId="7D605933" w14:textId="77777777" w:rsidTr="00F82E25">
        <w:trPr>
          <w:trHeight w:val="288"/>
        </w:trPr>
        <w:tc>
          <w:tcPr>
            <w:tcW w:w="4240" w:type="dxa"/>
            <w:vAlign w:val="center"/>
            <w:hideMark/>
          </w:tcPr>
          <w:p w14:paraId="48B1E1EF"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Czech Republic</w:t>
            </w:r>
          </w:p>
        </w:tc>
        <w:tc>
          <w:tcPr>
            <w:tcW w:w="4240" w:type="dxa"/>
            <w:vAlign w:val="center"/>
            <w:hideMark/>
          </w:tcPr>
          <w:p w14:paraId="6B357898"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65.3%</w:t>
            </w:r>
          </w:p>
        </w:tc>
      </w:tr>
      <w:tr w:rsidR="009F7A81" w:rsidRPr="00501507" w14:paraId="37E457D4" w14:textId="77777777" w:rsidTr="00F82E25">
        <w:trPr>
          <w:trHeight w:val="288"/>
        </w:trPr>
        <w:tc>
          <w:tcPr>
            <w:tcW w:w="4240" w:type="dxa"/>
            <w:vAlign w:val="center"/>
            <w:hideMark/>
          </w:tcPr>
          <w:p w14:paraId="744AEEA3"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Hungary</w:t>
            </w:r>
          </w:p>
        </w:tc>
        <w:tc>
          <w:tcPr>
            <w:tcW w:w="4240" w:type="dxa"/>
            <w:vAlign w:val="center"/>
            <w:hideMark/>
          </w:tcPr>
          <w:p w14:paraId="79B1DFD1"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64.7%</w:t>
            </w:r>
          </w:p>
        </w:tc>
      </w:tr>
      <w:tr w:rsidR="009F7A81" w:rsidRPr="00501507" w14:paraId="6B595E6F" w14:textId="77777777" w:rsidTr="00F82E25">
        <w:trPr>
          <w:trHeight w:val="288"/>
        </w:trPr>
        <w:tc>
          <w:tcPr>
            <w:tcW w:w="4240" w:type="dxa"/>
            <w:vAlign w:val="center"/>
            <w:hideMark/>
          </w:tcPr>
          <w:p w14:paraId="4E0A2014"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China, mainland</w:t>
            </w:r>
          </w:p>
        </w:tc>
        <w:tc>
          <w:tcPr>
            <w:tcW w:w="4240" w:type="dxa"/>
            <w:vAlign w:val="center"/>
            <w:hideMark/>
          </w:tcPr>
          <w:p w14:paraId="757D84B7"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64.0%</w:t>
            </w:r>
          </w:p>
        </w:tc>
      </w:tr>
      <w:tr w:rsidR="009F7A81" w:rsidRPr="00501507" w14:paraId="3209BAB3" w14:textId="77777777" w:rsidTr="00F82E25">
        <w:trPr>
          <w:trHeight w:val="288"/>
        </w:trPr>
        <w:tc>
          <w:tcPr>
            <w:tcW w:w="4240" w:type="dxa"/>
            <w:vAlign w:val="center"/>
            <w:hideMark/>
          </w:tcPr>
          <w:p w14:paraId="5E88AF33"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Lithuania</w:t>
            </w:r>
          </w:p>
        </w:tc>
        <w:tc>
          <w:tcPr>
            <w:tcW w:w="4240" w:type="dxa"/>
            <w:vAlign w:val="center"/>
            <w:hideMark/>
          </w:tcPr>
          <w:p w14:paraId="3CB62081"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63.9%</w:t>
            </w:r>
          </w:p>
        </w:tc>
      </w:tr>
      <w:tr w:rsidR="009F7A81" w:rsidRPr="00501507" w14:paraId="579F3EFA" w14:textId="77777777" w:rsidTr="00F82E25">
        <w:trPr>
          <w:trHeight w:val="288"/>
        </w:trPr>
        <w:tc>
          <w:tcPr>
            <w:tcW w:w="4240" w:type="dxa"/>
            <w:vAlign w:val="center"/>
            <w:hideMark/>
          </w:tcPr>
          <w:p w14:paraId="3A4C2398"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Brazil</w:t>
            </w:r>
          </w:p>
        </w:tc>
        <w:tc>
          <w:tcPr>
            <w:tcW w:w="4240" w:type="dxa"/>
            <w:vAlign w:val="center"/>
            <w:hideMark/>
          </w:tcPr>
          <w:p w14:paraId="15FE4B66"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63.8%</w:t>
            </w:r>
          </w:p>
        </w:tc>
      </w:tr>
      <w:tr w:rsidR="009F7A81" w:rsidRPr="00501507" w14:paraId="7B9A0E95" w14:textId="77777777" w:rsidTr="00F82E25">
        <w:trPr>
          <w:trHeight w:val="288"/>
        </w:trPr>
        <w:tc>
          <w:tcPr>
            <w:tcW w:w="4240" w:type="dxa"/>
            <w:vAlign w:val="center"/>
            <w:hideMark/>
          </w:tcPr>
          <w:p w14:paraId="133FDC22"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Latvia</w:t>
            </w:r>
          </w:p>
        </w:tc>
        <w:tc>
          <w:tcPr>
            <w:tcW w:w="4240" w:type="dxa"/>
            <w:vAlign w:val="center"/>
            <w:hideMark/>
          </w:tcPr>
          <w:p w14:paraId="13ECB9A1"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62.4%</w:t>
            </w:r>
          </w:p>
        </w:tc>
      </w:tr>
      <w:tr w:rsidR="009F7A81" w:rsidRPr="00501507" w14:paraId="0623BF82" w14:textId="77777777" w:rsidTr="00F82E25">
        <w:trPr>
          <w:trHeight w:val="288"/>
        </w:trPr>
        <w:tc>
          <w:tcPr>
            <w:tcW w:w="4240" w:type="dxa"/>
            <w:vAlign w:val="center"/>
            <w:hideMark/>
          </w:tcPr>
          <w:p w14:paraId="602E53B4"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Belarus</w:t>
            </w:r>
          </w:p>
        </w:tc>
        <w:tc>
          <w:tcPr>
            <w:tcW w:w="4240" w:type="dxa"/>
            <w:vAlign w:val="center"/>
            <w:hideMark/>
          </w:tcPr>
          <w:p w14:paraId="6C4DF7AE"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62.1%</w:t>
            </w:r>
          </w:p>
        </w:tc>
      </w:tr>
      <w:tr w:rsidR="009F7A81" w:rsidRPr="00501507" w14:paraId="772EBB51" w14:textId="77777777" w:rsidTr="00F82E25">
        <w:trPr>
          <w:trHeight w:val="288"/>
        </w:trPr>
        <w:tc>
          <w:tcPr>
            <w:tcW w:w="4240" w:type="dxa"/>
            <w:vAlign w:val="center"/>
            <w:hideMark/>
          </w:tcPr>
          <w:p w14:paraId="247683EB"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Uruguay</w:t>
            </w:r>
          </w:p>
        </w:tc>
        <w:tc>
          <w:tcPr>
            <w:tcW w:w="4240" w:type="dxa"/>
            <w:vAlign w:val="center"/>
            <w:hideMark/>
          </w:tcPr>
          <w:p w14:paraId="71AF8FDB"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62.1%</w:t>
            </w:r>
          </w:p>
        </w:tc>
      </w:tr>
      <w:tr w:rsidR="009F7A81" w:rsidRPr="00501507" w14:paraId="53423B9F" w14:textId="77777777" w:rsidTr="00F82E25">
        <w:trPr>
          <w:trHeight w:val="288"/>
        </w:trPr>
        <w:tc>
          <w:tcPr>
            <w:tcW w:w="4240" w:type="dxa"/>
            <w:vAlign w:val="center"/>
            <w:hideMark/>
          </w:tcPr>
          <w:p w14:paraId="56D50EE1"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Argentina</w:t>
            </w:r>
          </w:p>
        </w:tc>
        <w:tc>
          <w:tcPr>
            <w:tcW w:w="4240" w:type="dxa"/>
            <w:vAlign w:val="center"/>
            <w:hideMark/>
          </w:tcPr>
          <w:p w14:paraId="46A8C2B4"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61.9%</w:t>
            </w:r>
          </w:p>
        </w:tc>
      </w:tr>
      <w:tr w:rsidR="009F7A81" w:rsidRPr="00501507" w14:paraId="2762361B" w14:textId="77777777" w:rsidTr="00F82E25">
        <w:trPr>
          <w:trHeight w:val="288"/>
        </w:trPr>
        <w:tc>
          <w:tcPr>
            <w:tcW w:w="4240" w:type="dxa"/>
            <w:vAlign w:val="center"/>
            <w:hideMark/>
          </w:tcPr>
          <w:p w14:paraId="2EF62080"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Mexico</w:t>
            </w:r>
          </w:p>
        </w:tc>
        <w:tc>
          <w:tcPr>
            <w:tcW w:w="4240" w:type="dxa"/>
            <w:vAlign w:val="center"/>
            <w:hideMark/>
          </w:tcPr>
          <w:p w14:paraId="33498AE5"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61.6%</w:t>
            </w:r>
          </w:p>
        </w:tc>
      </w:tr>
      <w:tr w:rsidR="009F7A81" w:rsidRPr="00501507" w14:paraId="53A71EC9" w14:textId="77777777" w:rsidTr="00F82E25">
        <w:trPr>
          <w:trHeight w:val="288"/>
        </w:trPr>
        <w:tc>
          <w:tcPr>
            <w:tcW w:w="4240" w:type="dxa"/>
            <w:vAlign w:val="center"/>
            <w:hideMark/>
          </w:tcPr>
          <w:p w14:paraId="7DC26526"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United Arab Emirates</w:t>
            </w:r>
          </w:p>
        </w:tc>
        <w:tc>
          <w:tcPr>
            <w:tcW w:w="4240" w:type="dxa"/>
            <w:vAlign w:val="center"/>
            <w:hideMark/>
          </w:tcPr>
          <w:p w14:paraId="25AF5D9D"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61.4%</w:t>
            </w:r>
          </w:p>
        </w:tc>
      </w:tr>
      <w:tr w:rsidR="009F7A81" w:rsidRPr="00501507" w14:paraId="2CA9AEF8" w14:textId="77777777" w:rsidTr="00F82E25">
        <w:trPr>
          <w:trHeight w:val="288"/>
        </w:trPr>
        <w:tc>
          <w:tcPr>
            <w:tcW w:w="4240" w:type="dxa"/>
            <w:vAlign w:val="center"/>
            <w:hideMark/>
          </w:tcPr>
          <w:p w14:paraId="4D54DB30"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Saudi Arabia</w:t>
            </w:r>
          </w:p>
        </w:tc>
        <w:tc>
          <w:tcPr>
            <w:tcW w:w="4240" w:type="dxa"/>
            <w:vAlign w:val="center"/>
            <w:hideMark/>
          </w:tcPr>
          <w:p w14:paraId="4B6995EE"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60.7%</w:t>
            </w:r>
          </w:p>
        </w:tc>
      </w:tr>
      <w:tr w:rsidR="009F7A81" w:rsidRPr="00501507" w14:paraId="428D0843" w14:textId="77777777" w:rsidTr="00F82E25">
        <w:trPr>
          <w:trHeight w:val="288"/>
        </w:trPr>
        <w:tc>
          <w:tcPr>
            <w:tcW w:w="4240" w:type="dxa"/>
            <w:vAlign w:val="center"/>
            <w:hideMark/>
          </w:tcPr>
          <w:p w14:paraId="04AA1BF7"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Uzbekistan</w:t>
            </w:r>
          </w:p>
        </w:tc>
        <w:tc>
          <w:tcPr>
            <w:tcW w:w="4240" w:type="dxa"/>
            <w:vAlign w:val="center"/>
            <w:hideMark/>
          </w:tcPr>
          <w:p w14:paraId="0CFF8B3B"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60.6%</w:t>
            </w:r>
          </w:p>
        </w:tc>
      </w:tr>
      <w:tr w:rsidR="009F7A81" w:rsidRPr="00501507" w14:paraId="212890B1" w14:textId="77777777" w:rsidTr="00F82E25">
        <w:trPr>
          <w:trHeight w:val="288"/>
        </w:trPr>
        <w:tc>
          <w:tcPr>
            <w:tcW w:w="4240" w:type="dxa"/>
            <w:vAlign w:val="center"/>
            <w:hideMark/>
          </w:tcPr>
          <w:p w14:paraId="3782C42A"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Estonia</w:t>
            </w:r>
          </w:p>
        </w:tc>
        <w:tc>
          <w:tcPr>
            <w:tcW w:w="4240" w:type="dxa"/>
            <w:vAlign w:val="center"/>
            <w:hideMark/>
          </w:tcPr>
          <w:p w14:paraId="2EAC4039"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60.0%</w:t>
            </w:r>
          </w:p>
        </w:tc>
      </w:tr>
      <w:tr w:rsidR="009F7A81" w:rsidRPr="00501507" w14:paraId="01EACC9B" w14:textId="77777777" w:rsidTr="00F82E25">
        <w:trPr>
          <w:trHeight w:val="288"/>
        </w:trPr>
        <w:tc>
          <w:tcPr>
            <w:tcW w:w="4240" w:type="dxa"/>
            <w:vAlign w:val="center"/>
            <w:hideMark/>
          </w:tcPr>
          <w:p w14:paraId="2C43A2CE"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New Zealand</w:t>
            </w:r>
          </w:p>
        </w:tc>
        <w:tc>
          <w:tcPr>
            <w:tcW w:w="4240" w:type="dxa"/>
            <w:vAlign w:val="center"/>
            <w:hideMark/>
          </w:tcPr>
          <w:p w14:paraId="39C97DC5"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59.7%</w:t>
            </w:r>
          </w:p>
        </w:tc>
      </w:tr>
      <w:tr w:rsidR="009F7A81" w:rsidRPr="00501507" w14:paraId="12BE07FE" w14:textId="77777777" w:rsidTr="00F82E25">
        <w:trPr>
          <w:trHeight w:val="288"/>
        </w:trPr>
        <w:tc>
          <w:tcPr>
            <w:tcW w:w="4240" w:type="dxa"/>
            <w:vAlign w:val="center"/>
            <w:hideMark/>
          </w:tcPr>
          <w:p w14:paraId="27B80836"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Slovenia</w:t>
            </w:r>
          </w:p>
        </w:tc>
        <w:tc>
          <w:tcPr>
            <w:tcW w:w="4240" w:type="dxa"/>
            <w:vAlign w:val="center"/>
            <w:hideMark/>
          </w:tcPr>
          <w:p w14:paraId="5A1FD869"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59.7%</w:t>
            </w:r>
          </w:p>
        </w:tc>
      </w:tr>
      <w:tr w:rsidR="009F7A81" w:rsidRPr="00501507" w14:paraId="7DAB514C" w14:textId="77777777" w:rsidTr="00F82E25">
        <w:trPr>
          <w:trHeight w:val="288"/>
        </w:trPr>
        <w:tc>
          <w:tcPr>
            <w:tcW w:w="4240" w:type="dxa"/>
            <w:vAlign w:val="center"/>
            <w:hideMark/>
          </w:tcPr>
          <w:p w14:paraId="1F455891"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Armenia</w:t>
            </w:r>
          </w:p>
        </w:tc>
        <w:tc>
          <w:tcPr>
            <w:tcW w:w="4240" w:type="dxa"/>
            <w:vAlign w:val="center"/>
            <w:hideMark/>
          </w:tcPr>
          <w:p w14:paraId="42637C7B"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58.9%</w:t>
            </w:r>
          </w:p>
        </w:tc>
      </w:tr>
      <w:tr w:rsidR="009F7A81" w:rsidRPr="00501507" w14:paraId="0931F95F" w14:textId="77777777" w:rsidTr="00F82E25">
        <w:trPr>
          <w:trHeight w:val="288"/>
        </w:trPr>
        <w:tc>
          <w:tcPr>
            <w:tcW w:w="4240" w:type="dxa"/>
            <w:vAlign w:val="center"/>
            <w:hideMark/>
          </w:tcPr>
          <w:p w14:paraId="305ACFEA"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Sweden</w:t>
            </w:r>
          </w:p>
        </w:tc>
        <w:tc>
          <w:tcPr>
            <w:tcW w:w="4240" w:type="dxa"/>
            <w:vAlign w:val="center"/>
            <w:hideMark/>
          </w:tcPr>
          <w:p w14:paraId="26E70EDD"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58.7%</w:t>
            </w:r>
          </w:p>
        </w:tc>
      </w:tr>
      <w:tr w:rsidR="009F7A81" w:rsidRPr="00501507" w14:paraId="31FDBA0F" w14:textId="77777777" w:rsidTr="00F82E25">
        <w:trPr>
          <w:trHeight w:val="576"/>
        </w:trPr>
        <w:tc>
          <w:tcPr>
            <w:tcW w:w="4240" w:type="dxa"/>
            <w:vAlign w:val="center"/>
            <w:hideMark/>
          </w:tcPr>
          <w:p w14:paraId="5D38771E"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Lao People's Democratic Republic</w:t>
            </w:r>
          </w:p>
        </w:tc>
        <w:tc>
          <w:tcPr>
            <w:tcW w:w="4240" w:type="dxa"/>
            <w:vAlign w:val="center"/>
            <w:hideMark/>
          </w:tcPr>
          <w:p w14:paraId="5A3EB049"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57.7%</w:t>
            </w:r>
          </w:p>
        </w:tc>
      </w:tr>
      <w:tr w:rsidR="009F7A81" w:rsidRPr="00501507" w14:paraId="665C7EA9" w14:textId="77777777" w:rsidTr="00F82E25">
        <w:trPr>
          <w:trHeight w:val="288"/>
        </w:trPr>
        <w:tc>
          <w:tcPr>
            <w:tcW w:w="4240" w:type="dxa"/>
            <w:vAlign w:val="center"/>
            <w:hideMark/>
          </w:tcPr>
          <w:p w14:paraId="6DD7AD9C"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Azerbaijan</w:t>
            </w:r>
          </w:p>
        </w:tc>
        <w:tc>
          <w:tcPr>
            <w:tcW w:w="4240" w:type="dxa"/>
            <w:vAlign w:val="center"/>
            <w:hideMark/>
          </w:tcPr>
          <w:p w14:paraId="062C238D"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57.5%</w:t>
            </w:r>
          </w:p>
        </w:tc>
      </w:tr>
      <w:tr w:rsidR="009F7A81" w:rsidRPr="00501507" w14:paraId="6DCA4AD0" w14:textId="77777777" w:rsidTr="00F82E25">
        <w:trPr>
          <w:trHeight w:val="288"/>
        </w:trPr>
        <w:tc>
          <w:tcPr>
            <w:tcW w:w="4240" w:type="dxa"/>
            <w:vAlign w:val="center"/>
            <w:hideMark/>
          </w:tcPr>
          <w:p w14:paraId="0573FA35"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Libya</w:t>
            </w:r>
          </w:p>
        </w:tc>
        <w:tc>
          <w:tcPr>
            <w:tcW w:w="4240" w:type="dxa"/>
            <w:vAlign w:val="center"/>
            <w:hideMark/>
          </w:tcPr>
          <w:p w14:paraId="4D526A71"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57.3%</w:t>
            </w:r>
          </w:p>
        </w:tc>
      </w:tr>
      <w:tr w:rsidR="009F7A81" w:rsidRPr="00501507" w14:paraId="6C4561B8" w14:textId="77777777" w:rsidTr="00F82E25">
        <w:trPr>
          <w:trHeight w:val="288"/>
        </w:trPr>
        <w:tc>
          <w:tcPr>
            <w:tcW w:w="4240" w:type="dxa"/>
            <w:vAlign w:val="center"/>
            <w:hideMark/>
          </w:tcPr>
          <w:p w14:paraId="04A4FEA2"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Croatia</w:t>
            </w:r>
          </w:p>
        </w:tc>
        <w:tc>
          <w:tcPr>
            <w:tcW w:w="4240" w:type="dxa"/>
            <w:vAlign w:val="center"/>
            <w:hideMark/>
          </w:tcPr>
          <w:p w14:paraId="48C94413"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57.2%</w:t>
            </w:r>
          </w:p>
        </w:tc>
      </w:tr>
      <w:tr w:rsidR="009F7A81" w:rsidRPr="00501507" w14:paraId="65708F98" w14:textId="77777777" w:rsidTr="00F82E25">
        <w:trPr>
          <w:trHeight w:val="288"/>
        </w:trPr>
        <w:tc>
          <w:tcPr>
            <w:tcW w:w="4240" w:type="dxa"/>
            <w:vAlign w:val="center"/>
            <w:hideMark/>
          </w:tcPr>
          <w:p w14:paraId="3CC2C15C"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Guyana</w:t>
            </w:r>
          </w:p>
        </w:tc>
        <w:tc>
          <w:tcPr>
            <w:tcW w:w="4240" w:type="dxa"/>
            <w:vAlign w:val="center"/>
            <w:hideMark/>
          </w:tcPr>
          <w:p w14:paraId="1680C775"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56.6%</w:t>
            </w:r>
          </w:p>
        </w:tc>
      </w:tr>
      <w:tr w:rsidR="009F7A81" w:rsidRPr="00501507" w14:paraId="3AFCFDD2" w14:textId="77777777" w:rsidTr="00F82E25">
        <w:trPr>
          <w:trHeight w:val="288"/>
        </w:trPr>
        <w:tc>
          <w:tcPr>
            <w:tcW w:w="4240" w:type="dxa"/>
            <w:vAlign w:val="center"/>
            <w:hideMark/>
          </w:tcPr>
          <w:p w14:paraId="2A41ADFC"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Egypt</w:t>
            </w:r>
          </w:p>
        </w:tc>
        <w:tc>
          <w:tcPr>
            <w:tcW w:w="4240" w:type="dxa"/>
            <w:vAlign w:val="center"/>
            <w:hideMark/>
          </w:tcPr>
          <w:p w14:paraId="34BC6860"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56.0%</w:t>
            </w:r>
          </w:p>
        </w:tc>
      </w:tr>
      <w:tr w:rsidR="009F7A81" w:rsidRPr="00501507" w14:paraId="70357884" w14:textId="77777777" w:rsidTr="00F82E25">
        <w:trPr>
          <w:trHeight w:val="288"/>
        </w:trPr>
        <w:tc>
          <w:tcPr>
            <w:tcW w:w="4240" w:type="dxa"/>
            <w:vAlign w:val="center"/>
            <w:hideMark/>
          </w:tcPr>
          <w:p w14:paraId="16A23E0E"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Paraguay</w:t>
            </w:r>
          </w:p>
        </w:tc>
        <w:tc>
          <w:tcPr>
            <w:tcW w:w="4240" w:type="dxa"/>
            <w:vAlign w:val="center"/>
            <w:hideMark/>
          </w:tcPr>
          <w:p w14:paraId="69334D9D"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55.2%</w:t>
            </w:r>
          </w:p>
        </w:tc>
      </w:tr>
      <w:tr w:rsidR="009F7A81" w:rsidRPr="00501507" w14:paraId="0DFDFFC8" w14:textId="77777777" w:rsidTr="00F82E25">
        <w:trPr>
          <w:trHeight w:val="288"/>
        </w:trPr>
        <w:tc>
          <w:tcPr>
            <w:tcW w:w="4240" w:type="dxa"/>
            <w:vAlign w:val="center"/>
            <w:hideMark/>
          </w:tcPr>
          <w:p w14:paraId="4E5D6327"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Oman</w:t>
            </w:r>
          </w:p>
        </w:tc>
        <w:tc>
          <w:tcPr>
            <w:tcW w:w="4240" w:type="dxa"/>
            <w:vAlign w:val="center"/>
            <w:hideMark/>
          </w:tcPr>
          <w:p w14:paraId="6FB1AB1A"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53.8%</w:t>
            </w:r>
          </w:p>
        </w:tc>
      </w:tr>
      <w:tr w:rsidR="009F7A81" w:rsidRPr="00501507" w14:paraId="32C37972" w14:textId="77777777" w:rsidTr="00F82E25">
        <w:trPr>
          <w:trHeight w:val="288"/>
        </w:trPr>
        <w:tc>
          <w:tcPr>
            <w:tcW w:w="4240" w:type="dxa"/>
            <w:vAlign w:val="center"/>
            <w:hideMark/>
          </w:tcPr>
          <w:p w14:paraId="644A4E88"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lastRenderedPageBreak/>
              <w:t>Colombia</w:t>
            </w:r>
          </w:p>
        </w:tc>
        <w:tc>
          <w:tcPr>
            <w:tcW w:w="4240" w:type="dxa"/>
            <w:vAlign w:val="center"/>
            <w:hideMark/>
          </w:tcPr>
          <w:p w14:paraId="11B39E10"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53.6%</w:t>
            </w:r>
          </w:p>
        </w:tc>
      </w:tr>
      <w:tr w:rsidR="009F7A81" w:rsidRPr="00501507" w14:paraId="702E183A" w14:textId="77777777" w:rsidTr="00F82E25">
        <w:trPr>
          <w:trHeight w:val="288"/>
        </w:trPr>
        <w:tc>
          <w:tcPr>
            <w:tcW w:w="4240" w:type="dxa"/>
            <w:vAlign w:val="center"/>
            <w:hideMark/>
          </w:tcPr>
          <w:p w14:paraId="1016D5A5"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Panama</w:t>
            </w:r>
          </w:p>
        </w:tc>
        <w:tc>
          <w:tcPr>
            <w:tcW w:w="4240" w:type="dxa"/>
            <w:vAlign w:val="center"/>
            <w:hideMark/>
          </w:tcPr>
          <w:p w14:paraId="570EDC81"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52.2%</w:t>
            </w:r>
          </w:p>
        </w:tc>
      </w:tr>
      <w:tr w:rsidR="009F7A81" w:rsidRPr="00501507" w14:paraId="1178EA4C" w14:textId="77777777" w:rsidTr="00F82E25">
        <w:trPr>
          <w:trHeight w:val="288"/>
        </w:trPr>
        <w:tc>
          <w:tcPr>
            <w:tcW w:w="4240" w:type="dxa"/>
            <w:vAlign w:val="center"/>
            <w:hideMark/>
          </w:tcPr>
          <w:p w14:paraId="33646155"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Samoa</w:t>
            </w:r>
          </w:p>
        </w:tc>
        <w:tc>
          <w:tcPr>
            <w:tcW w:w="4240" w:type="dxa"/>
            <w:vAlign w:val="center"/>
            <w:hideMark/>
          </w:tcPr>
          <w:p w14:paraId="2CF6C1E3"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51.9%</w:t>
            </w:r>
          </w:p>
        </w:tc>
      </w:tr>
      <w:tr w:rsidR="009F7A81" w:rsidRPr="00501507" w14:paraId="0E7DF619" w14:textId="77777777" w:rsidTr="00F82E25">
        <w:trPr>
          <w:trHeight w:val="288"/>
        </w:trPr>
        <w:tc>
          <w:tcPr>
            <w:tcW w:w="4240" w:type="dxa"/>
            <w:vAlign w:val="center"/>
            <w:hideMark/>
          </w:tcPr>
          <w:p w14:paraId="66C12E5D"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North Macedonia</w:t>
            </w:r>
          </w:p>
        </w:tc>
        <w:tc>
          <w:tcPr>
            <w:tcW w:w="4240" w:type="dxa"/>
            <w:vAlign w:val="center"/>
            <w:hideMark/>
          </w:tcPr>
          <w:p w14:paraId="1C1C8DF0"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51.5%</w:t>
            </w:r>
          </w:p>
        </w:tc>
      </w:tr>
      <w:tr w:rsidR="009F7A81" w:rsidRPr="00501507" w14:paraId="40F28FCD" w14:textId="77777777" w:rsidTr="00F82E25">
        <w:trPr>
          <w:trHeight w:val="288"/>
        </w:trPr>
        <w:tc>
          <w:tcPr>
            <w:tcW w:w="4240" w:type="dxa"/>
            <w:vAlign w:val="center"/>
            <w:hideMark/>
          </w:tcPr>
          <w:p w14:paraId="1156E29E"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Chile</w:t>
            </w:r>
          </w:p>
        </w:tc>
        <w:tc>
          <w:tcPr>
            <w:tcW w:w="4240" w:type="dxa"/>
            <w:vAlign w:val="center"/>
            <w:hideMark/>
          </w:tcPr>
          <w:p w14:paraId="4D409074"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51.1%</w:t>
            </w:r>
          </w:p>
        </w:tc>
      </w:tr>
      <w:tr w:rsidR="009F7A81" w:rsidRPr="00501507" w14:paraId="645B09D7" w14:textId="77777777" w:rsidTr="00F82E25">
        <w:trPr>
          <w:trHeight w:val="288"/>
        </w:trPr>
        <w:tc>
          <w:tcPr>
            <w:tcW w:w="4240" w:type="dxa"/>
            <w:vAlign w:val="center"/>
            <w:hideMark/>
          </w:tcPr>
          <w:p w14:paraId="34838743"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Republic of Moldova</w:t>
            </w:r>
          </w:p>
        </w:tc>
        <w:tc>
          <w:tcPr>
            <w:tcW w:w="4240" w:type="dxa"/>
            <w:vAlign w:val="center"/>
            <w:hideMark/>
          </w:tcPr>
          <w:p w14:paraId="34E8DC5F"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50.6%</w:t>
            </w:r>
          </w:p>
        </w:tc>
      </w:tr>
      <w:tr w:rsidR="009F7A81" w:rsidRPr="00501507" w14:paraId="57C7EBA2" w14:textId="77777777" w:rsidTr="00F82E25">
        <w:trPr>
          <w:trHeight w:val="288"/>
        </w:trPr>
        <w:tc>
          <w:tcPr>
            <w:tcW w:w="4240" w:type="dxa"/>
            <w:vAlign w:val="center"/>
            <w:hideMark/>
          </w:tcPr>
          <w:p w14:paraId="13957B70"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Costa Rica</w:t>
            </w:r>
          </w:p>
        </w:tc>
        <w:tc>
          <w:tcPr>
            <w:tcW w:w="4240" w:type="dxa"/>
            <w:vAlign w:val="center"/>
            <w:hideMark/>
          </w:tcPr>
          <w:p w14:paraId="68AD349A"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50.2%</w:t>
            </w:r>
          </w:p>
        </w:tc>
      </w:tr>
      <w:tr w:rsidR="009F7A81" w:rsidRPr="00501507" w14:paraId="6F7C727A" w14:textId="77777777" w:rsidTr="00F82E25">
        <w:trPr>
          <w:trHeight w:val="288"/>
        </w:trPr>
        <w:tc>
          <w:tcPr>
            <w:tcW w:w="4240" w:type="dxa"/>
            <w:vAlign w:val="center"/>
            <w:hideMark/>
          </w:tcPr>
          <w:p w14:paraId="2BA79113"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Dominican Republic</w:t>
            </w:r>
          </w:p>
        </w:tc>
        <w:tc>
          <w:tcPr>
            <w:tcW w:w="4240" w:type="dxa"/>
            <w:vAlign w:val="center"/>
            <w:hideMark/>
          </w:tcPr>
          <w:p w14:paraId="56755CF8"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50.0%</w:t>
            </w:r>
          </w:p>
        </w:tc>
      </w:tr>
      <w:tr w:rsidR="009F7A81" w:rsidRPr="00501507" w14:paraId="212DCA2A" w14:textId="77777777" w:rsidTr="00F82E25">
        <w:trPr>
          <w:trHeight w:val="576"/>
        </w:trPr>
        <w:tc>
          <w:tcPr>
            <w:tcW w:w="4240" w:type="dxa"/>
            <w:vAlign w:val="center"/>
            <w:hideMark/>
          </w:tcPr>
          <w:p w14:paraId="1440B11A"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Saint Vincent and the Grenadines</w:t>
            </w:r>
          </w:p>
        </w:tc>
        <w:tc>
          <w:tcPr>
            <w:tcW w:w="4240" w:type="dxa"/>
            <w:vAlign w:val="center"/>
            <w:hideMark/>
          </w:tcPr>
          <w:p w14:paraId="10D6F2D0"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49.5%</w:t>
            </w:r>
          </w:p>
        </w:tc>
      </w:tr>
      <w:tr w:rsidR="009F7A81" w:rsidRPr="00501507" w14:paraId="1DD8ABD7" w14:textId="77777777" w:rsidTr="00F82E25">
        <w:trPr>
          <w:trHeight w:val="288"/>
        </w:trPr>
        <w:tc>
          <w:tcPr>
            <w:tcW w:w="4240" w:type="dxa"/>
            <w:vAlign w:val="center"/>
            <w:hideMark/>
          </w:tcPr>
          <w:p w14:paraId="74B1745D"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Ukraine</w:t>
            </w:r>
          </w:p>
        </w:tc>
        <w:tc>
          <w:tcPr>
            <w:tcW w:w="4240" w:type="dxa"/>
            <w:vAlign w:val="center"/>
            <w:hideMark/>
          </w:tcPr>
          <w:p w14:paraId="56C9FC16"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49.5%</w:t>
            </w:r>
          </w:p>
        </w:tc>
      </w:tr>
      <w:tr w:rsidR="009F7A81" w:rsidRPr="00501507" w14:paraId="3D0D0C8A" w14:textId="77777777" w:rsidTr="00F82E25">
        <w:trPr>
          <w:trHeight w:val="288"/>
        </w:trPr>
        <w:tc>
          <w:tcPr>
            <w:tcW w:w="4240" w:type="dxa"/>
            <w:vAlign w:val="center"/>
            <w:hideMark/>
          </w:tcPr>
          <w:p w14:paraId="1C451466"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Mauritius</w:t>
            </w:r>
          </w:p>
        </w:tc>
        <w:tc>
          <w:tcPr>
            <w:tcW w:w="4240" w:type="dxa"/>
            <w:vAlign w:val="center"/>
            <w:hideMark/>
          </w:tcPr>
          <w:p w14:paraId="212C56DC"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49.4%</w:t>
            </w:r>
          </w:p>
        </w:tc>
      </w:tr>
      <w:tr w:rsidR="009F7A81" w:rsidRPr="00501507" w14:paraId="4FA669B0" w14:textId="77777777" w:rsidTr="00F82E25">
        <w:trPr>
          <w:trHeight w:val="288"/>
        </w:trPr>
        <w:tc>
          <w:tcPr>
            <w:tcW w:w="4240" w:type="dxa"/>
            <w:vAlign w:val="center"/>
            <w:hideMark/>
          </w:tcPr>
          <w:p w14:paraId="38A6E313"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Georgia</w:t>
            </w:r>
          </w:p>
        </w:tc>
        <w:tc>
          <w:tcPr>
            <w:tcW w:w="4240" w:type="dxa"/>
            <w:vAlign w:val="center"/>
            <w:hideMark/>
          </w:tcPr>
          <w:p w14:paraId="75621AAE"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48.9%</w:t>
            </w:r>
          </w:p>
        </w:tc>
      </w:tr>
      <w:tr w:rsidR="009F7A81" w:rsidRPr="00501507" w14:paraId="1501258A" w14:textId="77777777" w:rsidTr="00F82E25">
        <w:trPr>
          <w:trHeight w:val="288"/>
        </w:trPr>
        <w:tc>
          <w:tcPr>
            <w:tcW w:w="4240" w:type="dxa"/>
            <w:vAlign w:val="center"/>
            <w:hideMark/>
          </w:tcPr>
          <w:p w14:paraId="3E31751B"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Cyprus</w:t>
            </w:r>
          </w:p>
        </w:tc>
        <w:tc>
          <w:tcPr>
            <w:tcW w:w="4240" w:type="dxa"/>
            <w:vAlign w:val="center"/>
            <w:hideMark/>
          </w:tcPr>
          <w:p w14:paraId="0A66636E"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48.9%</w:t>
            </w:r>
          </w:p>
        </w:tc>
      </w:tr>
      <w:tr w:rsidR="009F7A81" w:rsidRPr="00501507" w14:paraId="6BF6B95A" w14:textId="77777777" w:rsidTr="00F82E25">
        <w:trPr>
          <w:trHeight w:val="288"/>
        </w:trPr>
        <w:tc>
          <w:tcPr>
            <w:tcW w:w="4240" w:type="dxa"/>
            <w:vAlign w:val="center"/>
            <w:hideMark/>
          </w:tcPr>
          <w:p w14:paraId="6809E9E9"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Trinidad and Tobago</w:t>
            </w:r>
          </w:p>
        </w:tc>
        <w:tc>
          <w:tcPr>
            <w:tcW w:w="4240" w:type="dxa"/>
            <w:vAlign w:val="center"/>
            <w:hideMark/>
          </w:tcPr>
          <w:p w14:paraId="5F5F741F"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48.3%</w:t>
            </w:r>
          </w:p>
        </w:tc>
      </w:tr>
      <w:tr w:rsidR="009F7A81" w:rsidRPr="00501507" w14:paraId="1B64A747" w14:textId="77777777" w:rsidTr="00F82E25">
        <w:trPr>
          <w:trHeight w:val="288"/>
        </w:trPr>
        <w:tc>
          <w:tcPr>
            <w:tcW w:w="4240" w:type="dxa"/>
            <w:vAlign w:val="center"/>
            <w:hideMark/>
          </w:tcPr>
          <w:p w14:paraId="7331A7B4"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Ghana</w:t>
            </w:r>
          </w:p>
        </w:tc>
        <w:tc>
          <w:tcPr>
            <w:tcW w:w="4240" w:type="dxa"/>
            <w:vAlign w:val="center"/>
            <w:hideMark/>
          </w:tcPr>
          <w:p w14:paraId="52FBA7E4"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47.2%</w:t>
            </w:r>
          </w:p>
        </w:tc>
      </w:tr>
      <w:tr w:rsidR="009F7A81" w:rsidRPr="00501507" w14:paraId="64F02B4E" w14:textId="77777777" w:rsidTr="00F82E25">
        <w:trPr>
          <w:trHeight w:val="288"/>
        </w:trPr>
        <w:tc>
          <w:tcPr>
            <w:tcW w:w="4240" w:type="dxa"/>
            <w:vAlign w:val="center"/>
            <w:hideMark/>
          </w:tcPr>
          <w:p w14:paraId="7F721346"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Dominica</w:t>
            </w:r>
          </w:p>
        </w:tc>
        <w:tc>
          <w:tcPr>
            <w:tcW w:w="4240" w:type="dxa"/>
            <w:vAlign w:val="center"/>
            <w:hideMark/>
          </w:tcPr>
          <w:p w14:paraId="565A6561"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47.2%</w:t>
            </w:r>
          </w:p>
        </w:tc>
      </w:tr>
      <w:tr w:rsidR="009F7A81" w:rsidRPr="00501507" w14:paraId="59725EEC" w14:textId="77777777" w:rsidTr="00F82E25">
        <w:trPr>
          <w:trHeight w:val="288"/>
        </w:trPr>
        <w:tc>
          <w:tcPr>
            <w:tcW w:w="4240" w:type="dxa"/>
            <w:vAlign w:val="center"/>
            <w:hideMark/>
          </w:tcPr>
          <w:p w14:paraId="6CBA2CD8"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Mauritania</w:t>
            </w:r>
          </w:p>
        </w:tc>
        <w:tc>
          <w:tcPr>
            <w:tcW w:w="4240" w:type="dxa"/>
            <w:vAlign w:val="center"/>
            <w:hideMark/>
          </w:tcPr>
          <w:p w14:paraId="3D574EAF"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47.1%</w:t>
            </w:r>
          </w:p>
        </w:tc>
      </w:tr>
      <w:tr w:rsidR="009F7A81" w:rsidRPr="00501507" w14:paraId="04663E4A" w14:textId="77777777" w:rsidTr="00F82E25">
        <w:trPr>
          <w:trHeight w:val="288"/>
        </w:trPr>
        <w:tc>
          <w:tcPr>
            <w:tcW w:w="4240" w:type="dxa"/>
            <w:vAlign w:val="center"/>
            <w:hideMark/>
          </w:tcPr>
          <w:p w14:paraId="13B06B4A"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Malaysia</w:t>
            </w:r>
          </w:p>
        </w:tc>
        <w:tc>
          <w:tcPr>
            <w:tcW w:w="4240" w:type="dxa"/>
            <w:vAlign w:val="center"/>
            <w:hideMark/>
          </w:tcPr>
          <w:p w14:paraId="7210AA68"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47.0%</w:t>
            </w:r>
          </w:p>
        </w:tc>
      </w:tr>
      <w:tr w:rsidR="009F7A81" w:rsidRPr="00501507" w14:paraId="4A5E5DF9" w14:textId="77777777" w:rsidTr="00F82E25">
        <w:trPr>
          <w:trHeight w:val="288"/>
        </w:trPr>
        <w:tc>
          <w:tcPr>
            <w:tcW w:w="4240" w:type="dxa"/>
            <w:vAlign w:val="center"/>
            <w:hideMark/>
          </w:tcPr>
          <w:p w14:paraId="61703C93"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Viet Nam</w:t>
            </w:r>
          </w:p>
        </w:tc>
        <w:tc>
          <w:tcPr>
            <w:tcW w:w="4240" w:type="dxa"/>
            <w:vAlign w:val="center"/>
            <w:hideMark/>
          </w:tcPr>
          <w:p w14:paraId="29D0CD3D"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46.3%</w:t>
            </w:r>
          </w:p>
        </w:tc>
      </w:tr>
      <w:tr w:rsidR="009F7A81" w:rsidRPr="00501507" w14:paraId="5E6CEAE0" w14:textId="77777777" w:rsidTr="00F82E25">
        <w:trPr>
          <w:trHeight w:val="288"/>
        </w:trPr>
        <w:tc>
          <w:tcPr>
            <w:tcW w:w="4240" w:type="dxa"/>
            <w:vAlign w:val="center"/>
            <w:hideMark/>
          </w:tcPr>
          <w:p w14:paraId="2147F7DE"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Lebanon</w:t>
            </w:r>
          </w:p>
        </w:tc>
        <w:tc>
          <w:tcPr>
            <w:tcW w:w="4240" w:type="dxa"/>
            <w:vAlign w:val="center"/>
            <w:hideMark/>
          </w:tcPr>
          <w:p w14:paraId="60FCD464"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46.2%</w:t>
            </w:r>
          </w:p>
        </w:tc>
      </w:tr>
      <w:tr w:rsidR="009F7A81" w:rsidRPr="00501507" w14:paraId="6DA9F3A8" w14:textId="77777777" w:rsidTr="00F82E25">
        <w:trPr>
          <w:trHeight w:val="288"/>
        </w:trPr>
        <w:tc>
          <w:tcPr>
            <w:tcW w:w="4240" w:type="dxa"/>
            <w:vAlign w:val="center"/>
            <w:hideMark/>
          </w:tcPr>
          <w:p w14:paraId="137B7875"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Indonesia</w:t>
            </w:r>
          </w:p>
        </w:tc>
        <w:tc>
          <w:tcPr>
            <w:tcW w:w="4240" w:type="dxa"/>
            <w:vAlign w:val="center"/>
            <w:hideMark/>
          </w:tcPr>
          <w:p w14:paraId="02C8D542"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45.9%</w:t>
            </w:r>
          </w:p>
        </w:tc>
      </w:tr>
      <w:tr w:rsidR="009F7A81" w:rsidRPr="00501507" w14:paraId="2C97010F" w14:textId="77777777" w:rsidTr="00F82E25">
        <w:trPr>
          <w:trHeight w:val="288"/>
        </w:trPr>
        <w:tc>
          <w:tcPr>
            <w:tcW w:w="4240" w:type="dxa"/>
            <w:vAlign w:val="center"/>
            <w:hideMark/>
          </w:tcPr>
          <w:p w14:paraId="2BF55418"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Slovakia</w:t>
            </w:r>
          </w:p>
        </w:tc>
        <w:tc>
          <w:tcPr>
            <w:tcW w:w="4240" w:type="dxa"/>
            <w:vAlign w:val="center"/>
            <w:hideMark/>
          </w:tcPr>
          <w:p w14:paraId="7DA7E206"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45.3%</w:t>
            </w:r>
          </w:p>
        </w:tc>
      </w:tr>
      <w:tr w:rsidR="009F7A81" w:rsidRPr="00501507" w14:paraId="33E19F57" w14:textId="77777777" w:rsidTr="00F82E25">
        <w:trPr>
          <w:trHeight w:val="288"/>
        </w:trPr>
        <w:tc>
          <w:tcPr>
            <w:tcW w:w="4240" w:type="dxa"/>
            <w:vAlign w:val="center"/>
            <w:hideMark/>
          </w:tcPr>
          <w:p w14:paraId="3810601C"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Jamaica</w:t>
            </w:r>
          </w:p>
        </w:tc>
        <w:tc>
          <w:tcPr>
            <w:tcW w:w="4240" w:type="dxa"/>
            <w:vAlign w:val="center"/>
            <w:hideMark/>
          </w:tcPr>
          <w:p w14:paraId="6743ECD5"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44.5%</w:t>
            </w:r>
          </w:p>
        </w:tc>
      </w:tr>
      <w:tr w:rsidR="009F7A81" w:rsidRPr="00501507" w14:paraId="55867348" w14:textId="77777777" w:rsidTr="00F82E25">
        <w:trPr>
          <w:trHeight w:val="288"/>
        </w:trPr>
        <w:tc>
          <w:tcPr>
            <w:tcW w:w="4240" w:type="dxa"/>
            <w:vAlign w:val="center"/>
            <w:hideMark/>
          </w:tcPr>
          <w:p w14:paraId="71AA9F06"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Turkmenistan</w:t>
            </w:r>
          </w:p>
        </w:tc>
        <w:tc>
          <w:tcPr>
            <w:tcW w:w="4240" w:type="dxa"/>
            <w:vAlign w:val="center"/>
            <w:hideMark/>
          </w:tcPr>
          <w:p w14:paraId="39A3A1E4"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44.3%</w:t>
            </w:r>
          </w:p>
        </w:tc>
      </w:tr>
      <w:tr w:rsidR="009F7A81" w:rsidRPr="00501507" w14:paraId="01D03503" w14:textId="77777777" w:rsidTr="00F82E25">
        <w:trPr>
          <w:trHeight w:val="288"/>
        </w:trPr>
        <w:tc>
          <w:tcPr>
            <w:tcW w:w="4240" w:type="dxa"/>
            <w:vAlign w:val="center"/>
            <w:hideMark/>
          </w:tcPr>
          <w:p w14:paraId="220167A0"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Bulgaria</w:t>
            </w:r>
          </w:p>
        </w:tc>
        <w:tc>
          <w:tcPr>
            <w:tcW w:w="4240" w:type="dxa"/>
            <w:vAlign w:val="center"/>
            <w:hideMark/>
          </w:tcPr>
          <w:p w14:paraId="2AF13021"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43.6%</w:t>
            </w:r>
          </w:p>
        </w:tc>
      </w:tr>
      <w:tr w:rsidR="009F7A81" w:rsidRPr="00501507" w14:paraId="21979B4B" w14:textId="77777777" w:rsidTr="00F82E25">
        <w:trPr>
          <w:trHeight w:val="288"/>
        </w:trPr>
        <w:tc>
          <w:tcPr>
            <w:tcW w:w="4240" w:type="dxa"/>
            <w:vAlign w:val="center"/>
            <w:hideMark/>
          </w:tcPr>
          <w:p w14:paraId="2B8E7175"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Mongolia</w:t>
            </w:r>
          </w:p>
        </w:tc>
        <w:tc>
          <w:tcPr>
            <w:tcW w:w="4240" w:type="dxa"/>
            <w:vAlign w:val="center"/>
            <w:hideMark/>
          </w:tcPr>
          <w:p w14:paraId="12A36648"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42.7%</w:t>
            </w:r>
          </w:p>
        </w:tc>
      </w:tr>
      <w:tr w:rsidR="009F7A81" w:rsidRPr="00501507" w14:paraId="430D0024" w14:textId="77777777" w:rsidTr="00F82E25">
        <w:trPr>
          <w:trHeight w:val="288"/>
        </w:trPr>
        <w:tc>
          <w:tcPr>
            <w:tcW w:w="4240" w:type="dxa"/>
            <w:vAlign w:val="center"/>
            <w:hideMark/>
          </w:tcPr>
          <w:p w14:paraId="502D5C7E"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South Africa</w:t>
            </w:r>
          </w:p>
        </w:tc>
        <w:tc>
          <w:tcPr>
            <w:tcW w:w="4240" w:type="dxa"/>
            <w:vAlign w:val="center"/>
            <w:hideMark/>
          </w:tcPr>
          <w:p w14:paraId="77423C37"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42.3%</w:t>
            </w:r>
          </w:p>
        </w:tc>
      </w:tr>
      <w:tr w:rsidR="009F7A81" w:rsidRPr="00501507" w14:paraId="2274953D" w14:textId="77777777" w:rsidTr="00F82E25">
        <w:trPr>
          <w:trHeight w:val="288"/>
        </w:trPr>
        <w:tc>
          <w:tcPr>
            <w:tcW w:w="4240" w:type="dxa"/>
            <w:vAlign w:val="center"/>
            <w:hideMark/>
          </w:tcPr>
          <w:p w14:paraId="64CB5026"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Iran (Islamic Republic of)</w:t>
            </w:r>
          </w:p>
        </w:tc>
        <w:tc>
          <w:tcPr>
            <w:tcW w:w="4240" w:type="dxa"/>
            <w:vAlign w:val="center"/>
            <w:hideMark/>
          </w:tcPr>
          <w:p w14:paraId="66CEB14C"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41.9%</w:t>
            </w:r>
          </w:p>
        </w:tc>
      </w:tr>
      <w:tr w:rsidR="009F7A81" w:rsidRPr="00501507" w14:paraId="6A53E51E" w14:textId="77777777" w:rsidTr="00F82E25">
        <w:trPr>
          <w:trHeight w:val="288"/>
        </w:trPr>
        <w:tc>
          <w:tcPr>
            <w:tcW w:w="4240" w:type="dxa"/>
            <w:vAlign w:val="center"/>
            <w:hideMark/>
          </w:tcPr>
          <w:p w14:paraId="6D8E1CD3"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Vanuatu</w:t>
            </w:r>
          </w:p>
        </w:tc>
        <w:tc>
          <w:tcPr>
            <w:tcW w:w="4240" w:type="dxa"/>
            <w:vAlign w:val="center"/>
            <w:hideMark/>
          </w:tcPr>
          <w:p w14:paraId="7FF4B86B"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41.7%</w:t>
            </w:r>
          </w:p>
        </w:tc>
      </w:tr>
      <w:tr w:rsidR="009F7A81" w:rsidRPr="00501507" w14:paraId="78AFCDCF" w14:textId="77777777" w:rsidTr="00F82E25">
        <w:trPr>
          <w:trHeight w:val="288"/>
        </w:trPr>
        <w:tc>
          <w:tcPr>
            <w:tcW w:w="4240" w:type="dxa"/>
            <w:vAlign w:val="center"/>
            <w:hideMark/>
          </w:tcPr>
          <w:p w14:paraId="2F89A0AB"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Nepal</w:t>
            </w:r>
          </w:p>
        </w:tc>
        <w:tc>
          <w:tcPr>
            <w:tcW w:w="4240" w:type="dxa"/>
            <w:vAlign w:val="center"/>
            <w:hideMark/>
          </w:tcPr>
          <w:p w14:paraId="4DE581C2"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40.4%</w:t>
            </w:r>
          </w:p>
        </w:tc>
      </w:tr>
      <w:tr w:rsidR="009F7A81" w:rsidRPr="00501507" w14:paraId="068EFE18" w14:textId="77777777" w:rsidTr="00F82E25">
        <w:trPr>
          <w:trHeight w:val="288"/>
        </w:trPr>
        <w:tc>
          <w:tcPr>
            <w:tcW w:w="4240" w:type="dxa"/>
            <w:vAlign w:val="center"/>
            <w:hideMark/>
          </w:tcPr>
          <w:p w14:paraId="0B777257"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Djibouti</w:t>
            </w:r>
          </w:p>
        </w:tc>
        <w:tc>
          <w:tcPr>
            <w:tcW w:w="4240" w:type="dxa"/>
            <w:vAlign w:val="center"/>
            <w:hideMark/>
          </w:tcPr>
          <w:p w14:paraId="006A3C11"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39.4%</w:t>
            </w:r>
          </w:p>
        </w:tc>
      </w:tr>
      <w:tr w:rsidR="009F7A81" w:rsidRPr="00501507" w14:paraId="537C4757" w14:textId="77777777" w:rsidTr="00F82E25">
        <w:trPr>
          <w:trHeight w:val="288"/>
        </w:trPr>
        <w:tc>
          <w:tcPr>
            <w:tcW w:w="4240" w:type="dxa"/>
            <w:vAlign w:val="center"/>
            <w:hideMark/>
          </w:tcPr>
          <w:p w14:paraId="36B68EC0"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Thailand</w:t>
            </w:r>
          </w:p>
        </w:tc>
        <w:tc>
          <w:tcPr>
            <w:tcW w:w="4240" w:type="dxa"/>
            <w:vAlign w:val="center"/>
            <w:hideMark/>
          </w:tcPr>
          <w:p w14:paraId="148F2B49"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39.4%</w:t>
            </w:r>
          </w:p>
        </w:tc>
      </w:tr>
      <w:tr w:rsidR="009F7A81" w:rsidRPr="00501507" w14:paraId="7768EE57" w14:textId="77777777" w:rsidTr="00F82E25">
        <w:trPr>
          <w:trHeight w:val="288"/>
        </w:trPr>
        <w:tc>
          <w:tcPr>
            <w:tcW w:w="4240" w:type="dxa"/>
            <w:vAlign w:val="center"/>
            <w:hideMark/>
          </w:tcPr>
          <w:p w14:paraId="61C9BACE"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Côte d'Ivoire</w:t>
            </w:r>
          </w:p>
        </w:tc>
        <w:tc>
          <w:tcPr>
            <w:tcW w:w="4240" w:type="dxa"/>
            <w:vAlign w:val="center"/>
            <w:hideMark/>
          </w:tcPr>
          <w:p w14:paraId="131067C0"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39.0%</w:t>
            </w:r>
          </w:p>
        </w:tc>
      </w:tr>
      <w:tr w:rsidR="009F7A81" w:rsidRPr="00501507" w14:paraId="2E962BFA" w14:textId="77777777" w:rsidTr="00F82E25">
        <w:trPr>
          <w:trHeight w:val="288"/>
        </w:trPr>
        <w:tc>
          <w:tcPr>
            <w:tcW w:w="4240" w:type="dxa"/>
            <w:vAlign w:val="center"/>
            <w:hideMark/>
          </w:tcPr>
          <w:p w14:paraId="0F8C6549"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Sri Lanka</w:t>
            </w:r>
          </w:p>
        </w:tc>
        <w:tc>
          <w:tcPr>
            <w:tcW w:w="4240" w:type="dxa"/>
            <w:vAlign w:val="center"/>
            <w:hideMark/>
          </w:tcPr>
          <w:p w14:paraId="181667BB"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38.7%</w:t>
            </w:r>
          </w:p>
        </w:tc>
      </w:tr>
      <w:tr w:rsidR="009F7A81" w:rsidRPr="00501507" w14:paraId="47349E21" w14:textId="77777777" w:rsidTr="00F82E25">
        <w:trPr>
          <w:trHeight w:val="288"/>
        </w:trPr>
        <w:tc>
          <w:tcPr>
            <w:tcW w:w="4240" w:type="dxa"/>
            <w:vAlign w:val="center"/>
            <w:hideMark/>
          </w:tcPr>
          <w:p w14:paraId="5221F4C1"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Belize</w:t>
            </w:r>
          </w:p>
        </w:tc>
        <w:tc>
          <w:tcPr>
            <w:tcW w:w="4240" w:type="dxa"/>
            <w:vAlign w:val="center"/>
            <w:hideMark/>
          </w:tcPr>
          <w:p w14:paraId="7BB76F45"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38.5%</w:t>
            </w:r>
          </w:p>
        </w:tc>
      </w:tr>
      <w:tr w:rsidR="009F7A81" w:rsidRPr="00501507" w14:paraId="4A151FFD" w14:textId="77777777" w:rsidTr="00F82E25">
        <w:trPr>
          <w:trHeight w:val="288"/>
        </w:trPr>
        <w:tc>
          <w:tcPr>
            <w:tcW w:w="4240" w:type="dxa"/>
            <w:vAlign w:val="center"/>
            <w:hideMark/>
          </w:tcPr>
          <w:p w14:paraId="48A33FC4"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Peru</w:t>
            </w:r>
          </w:p>
        </w:tc>
        <w:tc>
          <w:tcPr>
            <w:tcW w:w="4240" w:type="dxa"/>
            <w:vAlign w:val="center"/>
            <w:hideMark/>
          </w:tcPr>
          <w:p w14:paraId="39D20BA2"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38.4%</w:t>
            </w:r>
          </w:p>
        </w:tc>
      </w:tr>
      <w:tr w:rsidR="009F7A81" w:rsidRPr="00501507" w14:paraId="416D62DE" w14:textId="77777777" w:rsidTr="00F82E25">
        <w:trPr>
          <w:trHeight w:val="288"/>
        </w:trPr>
        <w:tc>
          <w:tcPr>
            <w:tcW w:w="4240" w:type="dxa"/>
            <w:vAlign w:val="center"/>
            <w:hideMark/>
          </w:tcPr>
          <w:p w14:paraId="27791A75"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Myanmar</w:t>
            </w:r>
          </w:p>
        </w:tc>
        <w:tc>
          <w:tcPr>
            <w:tcW w:w="4240" w:type="dxa"/>
            <w:vAlign w:val="center"/>
            <w:hideMark/>
          </w:tcPr>
          <w:p w14:paraId="6BF8C368"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38.4%</w:t>
            </w:r>
          </w:p>
        </w:tc>
      </w:tr>
      <w:tr w:rsidR="009F7A81" w:rsidRPr="00501507" w14:paraId="00EAF127" w14:textId="77777777" w:rsidTr="00F82E25">
        <w:trPr>
          <w:trHeight w:val="288"/>
        </w:trPr>
        <w:tc>
          <w:tcPr>
            <w:tcW w:w="4240" w:type="dxa"/>
            <w:vAlign w:val="center"/>
            <w:hideMark/>
          </w:tcPr>
          <w:p w14:paraId="1C76C2AE"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Kyrgyzstan</w:t>
            </w:r>
          </w:p>
        </w:tc>
        <w:tc>
          <w:tcPr>
            <w:tcW w:w="4240" w:type="dxa"/>
            <w:vAlign w:val="center"/>
            <w:hideMark/>
          </w:tcPr>
          <w:p w14:paraId="1317537F"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38.3%</w:t>
            </w:r>
          </w:p>
        </w:tc>
      </w:tr>
      <w:tr w:rsidR="009F7A81" w:rsidRPr="00501507" w14:paraId="7F0A2377" w14:textId="77777777" w:rsidTr="00F82E25">
        <w:trPr>
          <w:trHeight w:val="288"/>
        </w:trPr>
        <w:tc>
          <w:tcPr>
            <w:tcW w:w="4240" w:type="dxa"/>
            <w:vAlign w:val="center"/>
            <w:hideMark/>
          </w:tcPr>
          <w:p w14:paraId="5032199E"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Cameroon</w:t>
            </w:r>
          </w:p>
        </w:tc>
        <w:tc>
          <w:tcPr>
            <w:tcW w:w="4240" w:type="dxa"/>
            <w:vAlign w:val="center"/>
            <w:hideMark/>
          </w:tcPr>
          <w:p w14:paraId="2D0DA1EF"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38.2%</w:t>
            </w:r>
          </w:p>
        </w:tc>
      </w:tr>
      <w:tr w:rsidR="009F7A81" w:rsidRPr="00501507" w14:paraId="30CF064F" w14:textId="77777777" w:rsidTr="00F82E25">
        <w:trPr>
          <w:trHeight w:val="288"/>
        </w:trPr>
        <w:tc>
          <w:tcPr>
            <w:tcW w:w="4240" w:type="dxa"/>
            <w:vAlign w:val="center"/>
            <w:hideMark/>
          </w:tcPr>
          <w:p w14:paraId="42FF7DAC"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El Salvador</w:t>
            </w:r>
          </w:p>
        </w:tc>
        <w:tc>
          <w:tcPr>
            <w:tcW w:w="4240" w:type="dxa"/>
            <w:vAlign w:val="center"/>
            <w:hideMark/>
          </w:tcPr>
          <w:p w14:paraId="5E85099F"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38.0%</w:t>
            </w:r>
          </w:p>
        </w:tc>
      </w:tr>
      <w:tr w:rsidR="009F7A81" w:rsidRPr="00501507" w14:paraId="0814ADF0" w14:textId="77777777" w:rsidTr="00F82E25">
        <w:trPr>
          <w:trHeight w:val="288"/>
        </w:trPr>
        <w:tc>
          <w:tcPr>
            <w:tcW w:w="4240" w:type="dxa"/>
            <w:vAlign w:val="center"/>
            <w:hideMark/>
          </w:tcPr>
          <w:p w14:paraId="1131CD9C"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Guinea</w:t>
            </w:r>
          </w:p>
        </w:tc>
        <w:tc>
          <w:tcPr>
            <w:tcW w:w="4240" w:type="dxa"/>
            <w:vAlign w:val="center"/>
            <w:hideMark/>
          </w:tcPr>
          <w:p w14:paraId="3EA98308"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37.8%</w:t>
            </w:r>
          </w:p>
        </w:tc>
      </w:tr>
      <w:tr w:rsidR="009F7A81" w:rsidRPr="00501507" w14:paraId="497941E8" w14:textId="77777777" w:rsidTr="00F82E25">
        <w:trPr>
          <w:trHeight w:val="288"/>
        </w:trPr>
        <w:tc>
          <w:tcPr>
            <w:tcW w:w="4240" w:type="dxa"/>
            <w:vAlign w:val="center"/>
            <w:hideMark/>
          </w:tcPr>
          <w:p w14:paraId="1C619679"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Philippines</w:t>
            </w:r>
          </w:p>
        </w:tc>
        <w:tc>
          <w:tcPr>
            <w:tcW w:w="4240" w:type="dxa"/>
            <w:vAlign w:val="center"/>
            <w:hideMark/>
          </w:tcPr>
          <w:p w14:paraId="66D661F8"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37.6%</w:t>
            </w:r>
          </w:p>
        </w:tc>
      </w:tr>
      <w:tr w:rsidR="009F7A81" w:rsidRPr="00501507" w14:paraId="64234AE7" w14:textId="77777777" w:rsidTr="00F82E25">
        <w:trPr>
          <w:trHeight w:val="288"/>
        </w:trPr>
        <w:tc>
          <w:tcPr>
            <w:tcW w:w="4240" w:type="dxa"/>
            <w:vAlign w:val="center"/>
            <w:hideMark/>
          </w:tcPr>
          <w:p w14:paraId="4BE240D0"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Mali</w:t>
            </w:r>
          </w:p>
        </w:tc>
        <w:tc>
          <w:tcPr>
            <w:tcW w:w="4240" w:type="dxa"/>
            <w:vAlign w:val="center"/>
            <w:hideMark/>
          </w:tcPr>
          <w:p w14:paraId="41DD5C1B"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37.5%</w:t>
            </w:r>
          </w:p>
        </w:tc>
      </w:tr>
      <w:tr w:rsidR="009F7A81" w:rsidRPr="00501507" w14:paraId="4DA55198" w14:textId="77777777" w:rsidTr="00F82E25">
        <w:trPr>
          <w:trHeight w:val="288"/>
        </w:trPr>
        <w:tc>
          <w:tcPr>
            <w:tcW w:w="4240" w:type="dxa"/>
            <w:vAlign w:val="center"/>
            <w:hideMark/>
          </w:tcPr>
          <w:p w14:paraId="38FD6A9E"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Cambodia</w:t>
            </w:r>
          </w:p>
        </w:tc>
        <w:tc>
          <w:tcPr>
            <w:tcW w:w="4240" w:type="dxa"/>
            <w:vAlign w:val="center"/>
            <w:hideMark/>
          </w:tcPr>
          <w:p w14:paraId="6CEFFC0C"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35.9%</w:t>
            </w:r>
          </w:p>
        </w:tc>
      </w:tr>
      <w:tr w:rsidR="009F7A81" w:rsidRPr="00501507" w14:paraId="701C2756" w14:textId="77777777" w:rsidTr="00F82E25">
        <w:trPr>
          <w:trHeight w:val="288"/>
        </w:trPr>
        <w:tc>
          <w:tcPr>
            <w:tcW w:w="4240" w:type="dxa"/>
            <w:vAlign w:val="center"/>
            <w:hideMark/>
          </w:tcPr>
          <w:p w14:paraId="5A380A29"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Tajikistan</w:t>
            </w:r>
          </w:p>
        </w:tc>
        <w:tc>
          <w:tcPr>
            <w:tcW w:w="4240" w:type="dxa"/>
            <w:vAlign w:val="center"/>
            <w:hideMark/>
          </w:tcPr>
          <w:p w14:paraId="32EAADD9"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34.0%</w:t>
            </w:r>
          </w:p>
        </w:tc>
      </w:tr>
      <w:tr w:rsidR="009F7A81" w:rsidRPr="00501507" w14:paraId="360065C2" w14:textId="77777777" w:rsidTr="00F82E25">
        <w:trPr>
          <w:trHeight w:val="288"/>
        </w:trPr>
        <w:tc>
          <w:tcPr>
            <w:tcW w:w="4240" w:type="dxa"/>
            <w:vAlign w:val="center"/>
            <w:hideMark/>
          </w:tcPr>
          <w:p w14:paraId="031DEF5A"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Japan</w:t>
            </w:r>
          </w:p>
        </w:tc>
        <w:tc>
          <w:tcPr>
            <w:tcW w:w="4240" w:type="dxa"/>
            <w:vAlign w:val="center"/>
            <w:hideMark/>
          </w:tcPr>
          <w:p w14:paraId="2E7412C2"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33.6%</w:t>
            </w:r>
          </w:p>
        </w:tc>
      </w:tr>
      <w:tr w:rsidR="009F7A81" w:rsidRPr="00501507" w14:paraId="76F192CD" w14:textId="77777777" w:rsidTr="00F82E25">
        <w:trPr>
          <w:trHeight w:val="288"/>
        </w:trPr>
        <w:tc>
          <w:tcPr>
            <w:tcW w:w="4240" w:type="dxa"/>
            <w:vAlign w:val="center"/>
            <w:hideMark/>
          </w:tcPr>
          <w:p w14:paraId="484CA6AE"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Suriname</w:t>
            </w:r>
          </w:p>
        </w:tc>
        <w:tc>
          <w:tcPr>
            <w:tcW w:w="4240" w:type="dxa"/>
            <w:vAlign w:val="center"/>
            <w:hideMark/>
          </w:tcPr>
          <w:p w14:paraId="3FA34DEF"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33.1%</w:t>
            </w:r>
          </w:p>
        </w:tc>
      </w:tr>
      <w:tr w:rsidR="009F7A81" w:rsidRPr="00501507" w14:paraId="67D0A02B" w14:textId="77777777" w:rsidTr="00F82E25">
        <w:trPr>
          <w:trHeight w:val="288"/>
        </w:trPr>
        <w:tc>
          <w:tcPr>
            <w:tcW w:w="4240" w:type="dxa"/>
            <w:vAlign w:val="center"/>
            <w:hideMark/>
          </w:tcPr>
          <w:p w14:paraId="2C99BF88"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lastRenderedPageBreak/>
              <w:t>Gabon</w:t>
            </w:r>
          </w:p>
        </w:tc>
        <w:tc>
          <w:tcPr>
            <w:tcW w:w="4240" w:type="dxa"/>
            <w:vAlign w:val="center"/>
            <w:hideMark/>
          </w:tcPr>
          <w:p w14:paraId="21557E07"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32.8%</w:t>
            </w:r>
          </w:p>
        </w:tc>
      </w:tr>
      <w:tr w:rsidR="009F7A81" w:rsidRPr="00501507" w14:paraId="771C1876" w14:textId="77777777" w:rsidTr="00F82E25">
        <w:trPr>
          <w:trHeight w:val="288"/>
        </w:trPr>
        <w:tc>
          <w:tcPr>
            <w:tcW w:w="4240" w:type="dxa"/>
            <w:vAlign w:val="center"/>
            <w:hideMark/>
          </w:tcPr>
          <w:p w14:paraId="499D725A"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Burkina Faso</w:t>
            </w:r>
          </w:p>
        </w:tc>
        <w:tc>
          <w:tcPr>
            <w:tcW w:w="4240" w:type="dxa"/>
            <w:vAlign w:val="center"/>
            <w:hideMark/>
          </w:tcPr>
          <w:p w14:paraId="3838D3A4"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32.7%</w:t>
            </w:r>
          </w:p>
        </w:tc>
      </w:tr>
      <w:tr w:rsidR="009F7A81" w:rsidRPr="00501507" w14:paraId="23F724A4" w14:textId="77777777" w:rsidTr="00F82E25">
        <w:trPr>
          <w:trHeight w:val="288"/>
        </w:trPr>
        <w:tc>
          <w:tcPr>
            <w:tcW w:w="4240" w:type="dxa"/>
            <w:vAlign w:val="center"/>
            <w:hideMark/>
          </w:tcPr>
          <w:p w14:paraId="0BE35790"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Senegal</w:t>
            </w:r>
          </w:p>
        </w:tc>
        <w:tc>
          <w:tcPr>
            <w:tcW w:w="4240" w:type="dxa"/>
            <w:vAlign w:val="center"/>
            <w:hideMark/>
          </w:tcPr>
          <w:p w14:paraId="2BA2E9FC"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32.4%</w:t>
            </w:r>
          </w:p>
        </w:tc>
      </w:tr>
      <w:tr w:rsidR="009F7A81" w:rsidRPr="00501507" w14:paraId="741F7F08" w14:textId="77777777" w:rsidTr="00F82E25">
        <w:trPr>
          <w:trHeight w:val="288"/>
        </w:trPr>
        <w:tc>
          <w:tcPr>
            <w:tcW w:w="4240" w:type="dxa"/>
            <w:vAlign w:val="center"/>
            <w:hideMark/>
          </w:tcPr>
          <w:p w14:paraId="5B4574FA"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Jordan</w:t>
            </w:r>
          </w:p>
        </w:tc>
        <w:tc>
          <w:tcPr>
            <w:tcW w:w="4240" w:type="dxa"/>
            <w:vAlign w:val="center"/>
            <w:hideMark/>
          </w:tcPr>
          <w:p w14:paraId="12A58D04"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32.1%</w:t>
            </w:r>
          </w:p>
        </w:tc>
      </w:tr>
      <w:tr w:rsidR="009F7A81" w:rsidRPr="00501507" w14:paraId="172FB66A" w14:textId="77777777" w:rsidTr="00F82E25">
        <w:trPr>
          <w:trHeight w:val="288"/>
        </w:trPr>
        <w:tc>
          <w:tcPr>
            <w:tcW w:w="4240" w:type="dxa"/>
            <w:vAlign w:val="center"/>
            <w:hideMark/>
          </w:tcPr>
          <w:p w14:paraId="77595907"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Niger</w:t>
            </w:r>
          </w:p>
        </w:tc>
        <w:tc>
          <w:tcPr>
            <w:tcW w:w="4240" w:type="dxa"/>
            <w:vAlign w:val="center"/>
            <w:hideMark/>
          </w:tcPr>
          <w:p w14:paraId="39B95CF3"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32.1%</w:t>
            </w:r>
          </w:p>
        </w:tc>
      </w:tr>
      <w:tr w:rsidR="009F7A81" w:rsidRPr="00501507" w14:paraId="31776D38" w14:textId="77777777" w:rsidTr="00F82E25">
        <w:trPr>
          <w:trHeight w:val="288"/>
        </w:trPr>
        <w:tc>
          <w:tcPr>
            <w:tcW w:w="4240" w:type="dxa"/>
            <w:vAlign w:val="center"/>
            <w:hideMark/>
          </w:tcPr>
          <w:p w14:paraId="1C75B5B6"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Iraq</w:t>
            </w:r>
          </w:p>
        </w:tc>
        <w:tc>
          <w:tcPr>
            <w:tcW w:w="4240" w:type="dxa"/>
            <w:vAlign w:val="center"/>
            <w:hideMark/>
          </w:tcPr>
          <w:p w14:paraId="6AC8B93E"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31.8%</w:t>
            </w:r>
          </w:p>
        </w:tc>
      </w:tr>
      <w:tr w:rsidR="009F7A81" w:rsidRPr="00501507" w14:paraId="78F8A826" w14:textId="77777777" w:rsidTr="00F82E25">
        <w:trPr>
          <w:trHeight w:val="288"/>
        </w:trPr>
        <w:tc>
          <w:tcPr>
            <w:tcW w:w="4240" w:type="dxa"/>
            <w:vAlign w:val="center"/>
            <w:hideMark/>
          </w:tcPr>
          <w:p w14:paraId="4DA5D42F"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Benin</w:t>
            </w:r>
          </w:p>
        </w:tc>
        <w:tc>
          <w:tcPr>
            <w:tcW w:w="4240" w:type="dxa"/>
            <w:vAlign w:val="center"/>
            <w:hideMark/>
          </w:tcPr>
          <w:p w14:paraId="6DC9FCEB"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31.7%</w:t>
            </w:r>
          </w:p>
        </w:tc>
      </w:tr>
      <w:tr w:rsidR="009F7A81" w:rsidRPr="00501507" w14:paraId="592B8518" w14:textId="77777777" w:rsidTr="00F82E25">
        <w:trPr>
          <w:trHeight w:val="288"/>
        </w:trPr>
        <w:tc>
          <w:tcPr>
            <w:tcW w:w="4240" w:type="dxa"/>
            <w:vAlign w:val="center"/>
            <w:hideMark/>
          </w:tcPr>
          <w:p w14:paraId="76579F7B"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Honduras</w:t>
            </w:r>
          </w:p>
        </w:tc>
        <w:tc>
          <w:tcPr>
            <w:tcW w:w="4240" w:type="dxa"/>
            <w:vAlign w:val="center"/>
            <w:hideMark/>
          </w:tcPr>
          <w:p w14:paraId="1A8E1E42"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31.2%</w:t>
            </w:r>
          </w:p>
        </w:tc>
      </w:tr>
      <w:tr w:rsidR="009F7A81" w:rsidRPr="00501507" w14:paraId="350D43A0" w14:textId="77777777" w:rsidTr="00F82E25">
        <w:trPr>
          <w:trHeight w:val="288"/>
        </w:trPr>
        <w:tc>
          <w:tcPr>
            <w:tcW w:w="4240" w:type="dxa"/>
            <w:vAlign w:val="center"/>
            <w:hideMark/>
          </w:tcPr>
          <w:p w14:paraId="759DCF9E"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Malawi</w:t>
            </w:r>
          </w:p>
        </w:tc>
        <w:tc>
          <w:tcPr>
            <w:tcW w:w="4240" w:type="dxa"/>
            <w:vAlign w:val="center"/>
            <w:hideMark/>
          </w:tcPr>
          <w:p w14:paraId="4232E1CD"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30.7%</w:t>
            </w:r>
          </w:p>
        </w:tc>
      </w:tr>
      <w:tr w:rsidR="009F7A81" w:rsidRPr="00501507" w14:paraId="61D56888" w14:textId="77777777" w:rsidTr="00F82E25">
        <w:trPr>
          <w:trHeight w:val="288"/>
        </w:trPr>
        <w:tc>
          <w:tcPr>
            <w:tcW w:w="4240" w:type="dxa"/>
            <w:vAlign w:val="center"/>
            <w:hideMark/>
          </w:tcPr>
          <w:p w14:paraId="58E815E8"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Bahamas</w:t>
            </w:r>
          </w:p>
        </w:tc>
        <w:tc>
          <w:tcPr>
            <w:tcW w:w="4240" w:type="dxa"/>
            <w:vAlign w:val="center"/>
            <w:hideMark/>
          </w:tcPr>
          <w:p w14:paraId="5A9D5BBE"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29.8%</w:t>
            </w:r>
          </w:p>
        </w:tc>
      </w:tr>
      <w:tr w:rsidR="009F7A81" w:rsidRPr="00501507" w14:paraId="1E7BAEF7" w14:textId="77777777" w:rsidTr="00F82E25">
        <w:trPr>
          <w:trHeight w:val="288"/>
        </w:trPr>
        <w:tc>
          <w:tcPr>
            <w:tcW w:w="4240" w:type="dxa"/>
            <w:vAlign w:val="center"/>
            <w:hideMark/>
          </w:tcPr>
          <w:p w14:paraId="53180172"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Cabo Verde</w:t>
            </w:r>
          </w:p>
        </w:tc>
        <w:tc>
          <w:tcPr>
            <w:tcW w:w="4240" w:type="dxa"/>
            <w:vAlign w:val="center"/>
            <w:hideMark/>
          </w:tcPr>
          <w:p w14:paraId="5AFC5CA9"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29.6%</w:t>
            </w:r>
          </w:p>
        </w:tc>
      </w:tr>
      <w:tr w:rsidR="009F7A81" w:rsidRPr="00501507" w14:paraId="5734F493" w14:textId="77777777" w:rsidTr="00F82E25">
        <w:trPr>
          <w:trHeight w:val="288"/>
        </w:trPr>
        <w:tc>
          <w:tcPr>
            <w:tcW w:w="4240" w:type="dxa"/>
            <w:vAlign w:val="center"/>
            <w:hideMark/>
          </w:tcPr>
          <w:p w14:paraId="09F3FEF8"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Guatemala</w:t>
            </w:r>
          </w:p>
        </w:tc>
        <w:tc>
          <w:tcPr>
            <w:tcW w:w="4240" w:type="dxa"/>
            <w:vAlign w:val="center"/>
            <w:hideMark/>
          </w:tcPr>
          <w:p w14:paraId="70891D46"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29.3%</w:t>
            </w:r>
          </w:p>
        </w:tc>
      </w:tr>
      <w:tr w:rsidR="009F7A81" w:rsidRPr="00501507" w14:paraId="48A03FAE" w14:textId="77777777" w:rsidTr="00F82E25">
        <w:trPr>
          <w:trHeight w:val="288"/>
        </w:trPr>
        <w:tc>
          <w:tcPr>
            <w:tcW w:w="4240" w:type="dxa"/>
            <w:vAlign w:val="center"/>
            <w:hideMark/>
          </w:tcPr>
          <w:p w14:paraId="259785D8"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Sudan</w:t>
            </w:r>
          </w:p>
        </w:tc>
        <w:tc>
          <w:tcPr>
            <w:tcW w:w="4240" w:type="dxa"/>
            <w:vAlign w:val="center"/>
            <w:hideMark/>
          </w:tcPr>
          <w:p w14:paraId="40F66C29"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29.3%</w:t>
            </w:r>
          </w:p>
        </w:tc>
      </w:tr>
      <w:tr w:rsidR="009F7A81" w:rsidRPr="00501507" w14:paraId="01D1EEA9" w14:textId="77777777" w:rsidTr="00F82E25">
        <w:trPr>
          <w:trHeight w:val="288"/>
        </w:trPr>
        <w:tc>
          <w:tcPr>
            <w:tcW w:w="4240" w:type="dxa"/>
            <w:vAlign w:val="center"/>
            <w:hideMark/>
          </w:tcPr>
          <w:p w14:paraId="46B7C76F"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Nicaragua</w:t>
            </w:r>
          </w:p>
        </w:tc>
        <w:tc>
          <w:tcPr>
            <w:tcW w:w="4240" w:type="dxa"/>
            <w:vAlign w:val="center"/>
            <w:hideMark/>
          </w:tcPr>
          <w:p w14:paraId="136AC345"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28.8%</w:t>
            </w:r>
          </w:p>
        </w:tc>
      </w:tr>
      <w:tr w:rsidR="009F7A81" w:rsidRPr="00501507" w14:paraId="023725E2" w14:textId="77777777" w:rsidTr="00F82E25">
        <w:trPr>
          <w:trHeight w:val="288"/>
        </w:trPr>
        <w:tc>
          <w:tcPr>
            <w:tcW w:w="4240" w:type="dxa"/>
            <w:vAlign w:val="center"/>
            <w:hideMark/>
          </w:tcPr>
          <w:p w14:paraId="6DBD6C89"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Maldives</w:t>
            </w:r>
          </w:p>
        </w:tc>
        <w:tc>
          <w:tcPr>
            <w:tcW w:w="4240" w:type="dxa"/>
            <w:vAlign w:val="center"/>
            <w:hideMark/>
          </w:tcPr>
          <w:p w14:paraId="16F9A4E2"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28.3%</w:t>
            </w:r>
          </w:p>
        </w:tc>
      </w:tr>
      <w:tr w:rsidR="009F7A81" w:rsidRPr="00501507" w14:paraId="6CC9EF4D" w14:textId="77777777" w:rsidTr="00F82E25">
        <w:trPr>
          <w:trHeight w:val="288"/>
        </w:trPr>
        <w:tc>
          <w:tcPr>
            <w:tcW w:w="4240" w:type="dxa"/>
            <w:vAlign w:val="center"/>
            <w:hideMark/>
          </w:tcPr>
          <w:p w14:paraId="18B4EFEC"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Bangladesh</w:t>
            </w:r>
          </w:p>
        </w:tc>
        <w:tc>
          <w:tcPr>
            <w:tcW w:w="4240" w:type="dxa"/>
            <w:vAlign w:val="center"/>
            <w:hideMark/>
          </w:tcPr>
          <w:p w14:paraId="7064F9A4"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27.9%</w:t>
            </w:r>
          </w:p>
        </w:tc>
      </w:tr>
      <w:tr w:rsidR="009F7A81" w:rsidRPr="00501507" w14:paraId="76C26C53" w14:textId="77777777" w:rsidTr="00F82E25">
        <w:trPr>
          <w:trHeight w:val="288"/>
        </w:trPr>
        <w:tc>
          <w:tcPr>
            <w:tcW w:w="4240" w:type="dxa"/>
            <w:vAlign w:val="center"/>
            <w:hideMark/>
          </w:tcPr>
          <w:p w14:paraId="19EE5E60"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Syrian Arab Republic</w:t>
            </w:r>
          </w:p>
        </w:tc>
        <w:tc>
          <w:tcPr>
            <w:tcW w:w="4240" w:type="dxa"/>
            <w:vAlign w:val="center"/>
            <w:hideMark/>
          </w:tcPr>
          <w:p w14:paraId="68A75706"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27.9%</w:t>
            </w:r>
          </w:p>
        </w:tc>
      </w:tr>
      <w:tr w:rsidR="009F7A81" w:rsidRPr="00501507" w14:paraId="3A132968" w14:textId="77777777" w:rsidTr="00F82E25">
        <w:trPr>
          <w:trHeight w:val="288"/>
        </w:trPr>
        <w:tc>
          <w:tcPr>
            <w:tcW w:w="4240" w:type="dxa"/>
            <w:vAlign w:val="center"/>
            <w:hideMark/>
          </w:tcPr>
          <w:p w14:paraId="1BC2A29E"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Ecuador</w:t>
            </w:r>
          </w:p>
        </w:tc>
        <w:tc>
          <w:tcPr>
            <w:tcW w:w="4240" w:type="dxa"/>
            <w:vAlign w:val="center"/>
            <w:hideMark/>
          </w:tcPr>
          <w:p w14:paraId="14E5419F"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27.4%</w:t>
            </w:r>
          </w:p>
        </w:tc>
      </w:tr>
      <w:tr w:rsidR="009F7A81" w:rsidRPr="00501507" w14:paraId="0AB536C9" w14:textId="77777777" w:rsidTr="00F82E25">
        <w:trPr>
          <w:trHeight w:val="288"/>
        </w:trPr>
        <w:tc>
          <w:tcPr>
            <w:tcW w:w="4240" w:type="dxa"/>
            <w:vAlign w:val="center"/>
            <w:hideMark/>
          </w:tcPr>
          <w:p w14:paraId="0C2860E9"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Grenada</w:t>
            </w:r>
          </w:p>
        </w:tc>
        <w:tc>
          <w:tcPr>
            <w:tcW w:w="4240" w:type="dxa"/>
            <w:vAlign w:val="center"/>
            <w:hideMark/>
          </w:tcPr>
          <w:p w14:paraId="041A943A"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26.8%</w:t>
            </w:r>
          </w:p>
        </w:tc>
      </w:tr>
      <w:tr w:rsidR="009F7A81" w:rsidRPr="00501507" w14:paraId="016BECDD" w14:textId="77777777" w:rsidTr="00F82E25">
        <w:trPr>
          <w:trHeight w:val="288"/>
        </w:trPr>
        <w:tc>
          <w:tcPr>
            <w:tcW w:w="4240" w:type="dxa"/>
            <w:vAlign w:val="center"/>
            <w:hideMark/>
          </w:tcPr>
          <w:p w14:paraId="65037BF5"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India</w:t>
            </w:r>
          </w:p>
        </w:tc>
        <w:tc>
          <w:tcPr>
            <w:tcW w:w="4240" w:type="dxa"/>
            <w:vAlign w:val="center"/>
            <w:hideMark/>
          </w:tcPr>
          <w:p w14:paraId="51B75605"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26.6%</w:t>
            </w:r>
          </w:p>
        </w:tc>
      </w:tr>
      <w:tr w:rsidR="009F7A81" w:rsidRPr="00501507" w14:paraId="629866C4" w14:textId="77777777" w:rsidTr="00F82E25">
        <w:trPr>
          <w:trHeight w:val="288"/>
        </w:trPr>
        <w:tc>
          <w:tcPr>
            <w:tcW w:w="4240" w:type="dxa"/>
            <w:vAlign w:val="center"/>
            <w:hideMark/>
          </w:tcPr>
          <w:p w14:paraId="246A951B"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Botswana</w:t>
            </w:r>
          </w:p>
        </w:tc>
        <w:tc>
          <w:tcPr>
            <w:tcW w:w="4240" w:type="dxa"/>
            <w:vAlign w:val="center"/>
            <w:hideMark/>
          </w:tcPr>
          <w:p w14:paraId="27E6F6D7"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26.6%</w:t>
            </w:r>
          </w:p>
        </w:tc>
      </w:tr>
      <w:tr w:rsidR="009F7A81" w:rsidRPr="00501507" w14:paraId="230CAA8E" w14:textId="77777777" w:rsidTr="00F82E25">
        <w:trPr>
          <w:trHeight w:val="288"/>
        </w:trPr>
        <w:tc>
          <w:tcPr>
            <w:tcW w:w="4240" w:type="dxa"/>
            <w:vAlign w:val="center"/>
            <w:hideMark/>
          </w:tcPr>
          <w:p w14:paraId="0BAB486F"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Nigeria</w:t>
            </w:r>
          </w:p>
        </w:tc>
        <w:tc>
          <w:tcPr>
            <w:tcW w:w="4240" w:type="dxa"/>
            <w:vAlign w:val="center"/>
            <w:hideMark/>
          </w:tcPr>
          <w:p w14:paraId="4506703D"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26.3%</w:t>
            </w:r>
          </w:p>
        </w:tc>
      </w:tr>
      <w:tr w:rsidR="009F7A81" w:rsidRPr="00501507" w14:paraId="3FA63846" w14:textId="77777777" w:rsidTr="00F82E25">
        <w:trPr>
          <w:trHeight w:val="288"/>
        </w:trPr>
        <w:tc>
          <w:tcPr>
            <w:tcW w:w="4240" w:type="dxa"/>
            <w:vAlign w:val="center"/>
            <w:hideMark/>
          </w:tcPr>
          <w:p w14:paraId="37F7CD9F"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Namibia</w:t>
            </w:r>
          </w:p>
        </w:tc>
        <w:tc>
          <w:tcPr>
            <w:tcW w:w="4240" w:type="dxa"/>
            <w:vAlign w:val="center"/>
            <w:hideMark/>
          </w:tcPr>
          <w:p w14:paraId="389823E7"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26.2%</w:t>
            </w:r>
          </w:p>
        </w:tc>
      </w:tr>
      <w:tr w:rsidR="009F7A81" w:rsidRPr="00501507" w14:paraId="2DB57F24" w14:textId="77777777" w:rsidTr="00F82E25">
        <w:trPr>
          <w:trHeight w:val="288"/>
        </w:trPr>
        <w:tc>
          <w:tcPr>
            <w:tcW w:w="4240" w:type="dxa"/>
            <w:vAlign w:val="center"/>
            <w:hideMark/>
          </w:tcPr>
          <w:p w14:paraId="66C9A9B9"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Eswatini</w:t>
            </w:r>
          </w:p>
        </w:tc>
        <w:tc>
          <w:tcPr>
            <w:tcW w:w="4240" w:type="dxa"/>
            <w:vAlign w:val="center"/>
            <w:hideMark/>
          </w:tcPr>
          <w:p w14:paraId="6181054E"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24.9%</w:t>
            </w:r>
          </w:p>
        </w:tc>
      </w:tr>
      <w:tr w:rsidR="009F7A81" w:rsidRPr="00501507" w14:paraId="5B208CCE" w14:textId="77777777" w:rsidTr="00F82E25">
        <w:trPr>
          <w:trHeight w:val="288"/>
        </w:trPr>
        <w:tc>
          <w:tcPr>
            <w:tcW w:w="4240" w:type="dxa"/>
            <w:vAlign w:val="center"/>
            <w:hideMark/>
          </w:tcPr>
          <w:p w14:paraId="26DB60F2"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Pakistan</w:t>
            </w:r>
          </w:p>
        </w:tc>
        <w:tc>
          <w:tcPr>
            <w:tcW w:w="4240" w:type="dxa"/>
            <w:vAlign w:val="center"/>
            <w:hideMark/>
          </w:tcPr>
          <w:p w14:paraId="4922E7B9"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24.2%</w:t>
            </w:r>
          </w:p>
        </w:tc>
      </w:tr>
      <w:tr w:rsidR="009F7A81" w:rsidRPr="00501507" w14:paraId="7DE6C9C7" w14:textId="77777777" w:rsidTr="00F82E25">
        <w:trPr>
          <w:trHeight w:val="288"/>
        </w:trPr>
        <w:tc>
          <w:tcPr>
            <w:tcW w:w="4240" w:type="dxa"/>
            <w:vAlign w:val="center"/>
            <w:hideMark/>
          </w:tcPr>
          <w:p w14:paraId="0AC6AA8F"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Antigua and Barbuda</w:t>
            </w:r>
          </w:p>
        </w:tc>
        <w:tc>
          <w:tcPr>
            <w:tcW w:w="4240" w:type="dxa"/>
            <w:vAlign w:val="center"/>
            <w:hideMark/>
          </w:tcPr>
          <w:p w14:paraId="0289DCC3"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23.8%</w:t>
            </w:r>
          </w:p>
        </w:tc>
      </w:tr>
      <w:tr w:rsidR="009F7A81" w:rsidRPr="00501507" w14:paraId="3F124E03" w14:textId="77777777" w:rsidTr="00F82E25">
        <w:trPr>
          <w:trHeight w:val="288"/>
        </w:trPr>
        <w:tc>
          <w:tcPr>
            <w:tcW w:w="4240" w:type="dxa"/>
            <w:vAlign w:val="center"/>
            <w:hideMark/>
          </w:tcPr>
          <w:p w14:paraId="19D7C631"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Angola</w:t>
            </w:r>
          </w:p>
        </w:tc>
        <w:tc>
          <w:tcPr>
            <w:tcW w:w="4240" w:type="dxa"/>
            <w:vAlign w:val="center"/>
            <w:hideMark/>
          </w:tcPr>
          <w:p w14:paraId="05DB09C4"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22.6%</w:t>
            </w:r>
          </w:p>
        </w:tc>
      </w:tr>
      <w:tr w:rsidR="009F7A81" w:rsidRPr="00501507" w14:paraId="28FE77D8" w14:textId="77777777" w:rsidTr="00F82E25">
        <w:trPr>
          <w:trHeight w:val="288"/>
        </w:trPr>
        <w:tc>
          <w:tcPr>
            <w:tcW w:w="4240" w:type="dxa"/>
            <w:vAlign w:val="center"/>
            <w:hideMark/>
          </w:tcPr>
          <w:p w14:paraId="3C47B091"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Ethiopia</w:t>
            </w:r>
          </w:p>
        </w:tc>
        <w:tc>
          <w:tcPr>
            <w:tcW w:w="4240" w:type="dxa"/>
            <w:vAlign w:val="center"/>
            <w:hideMark/>
          </w:tcPr>
          <w:p w14:paraId="254D7E99"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22.5%</w:t>
            </w:r>
          </w:p>
        </w:tc>
      </w:tr>
      <w:tr w:rsidR="009F7A81" w:rsidRPr="00501507" w14:paraId="6BCC244F" w14:textId="77777777" w:rsidTr="00F82E25">
        <w:trPr>
          <w:trHeight w:val="288"/>
        </w:trPr>
        <w:tc>
          <w:tcPr>
            <w:tcW w:w="4240" w:type="dxa"/>
            <w:vAlign w:val="center"/>
            <w:hideMark/>
          </w:tcPr>
          <w:p w14:paraId="45485F27"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Gambia</w:t>
            </w:r>
          </w:p>
        </w:tc>
        <w:tc>
          <w:tcPr>
            <w:tcW w:w="4240" w:type="dxa"/>
            <w:vAlign w:val="center"/>
            <w:hideMark/>
          </w:tcPr>
          <w:p w14:paraId="0477322A"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22.1%</w:t>
            </w:r>
          </w:p>
        </w:tc>
      </w:tr>
      <w:tr w:rsidR="009F7A81" w:rsidRPr="00501507" w14:paraId="115D4B2F" w14:textId="77777777" w:rsidTr="00F82E25">
        <w:trPr>
          <w:trHeight w:val="288"/>
        </w:trPr>
        <w:tc>
          <w:tcPr>
            <w:tcW w:w="4240" w:type="dxa"/>
            <w:vAlign w:val="center"/>
            <w:hideMark/>
          </w:tcPr>
          <w:p w14:paraId="1199ED9A"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Solomon Islands</w:t>
            </w:r>
          </w:p>
        </w:tc>
        <w:tc>
          <w:tcPr>
            <w:tcW w:w="4240" w:type="dxa"/>
            <w:vAlign w:val="center"/>
            <w:hideMark/>
          </w:tcPr>
          <w:p w14:paraId="593CED02"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20.7%</w:t>
            </w:r>
          </w:p>
        </w:tc>
      </w:tr>
      <w:tr w:rsidR="009F7A81" w:rsidRPr="00501507" w14:paraId="366050DD" w14:textId="77777777" w:rsidTr="00F82E25">
        <w:trPr>
          <w:trHeight w:val="576"/>
        </w:trPr>
        <w:tc>
          <w:tcPr>
            <w:tcW w:w="4240" w:type="dxa"/>
            <w:vAlign w:val="center"/>
            <w:hideMark/>
          </w:tcPr>
          <w:p w14:paraId="4319FB4D"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Bolivia (Plurinational State of)</w:t>
            </w:r>
          </w:p>
        </w:tc>
        <w:tc>
          <w:tcPr>
            <w:tcW w:w="4240" w:type="dxa"/>
            <w:vAlign w:val="center"/>
            <w:hideMark/>
          </w:tcPr>
          <w:p w14:paraId="56CA9FC6"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19.7%</w:t>
            </w:r>
          </w:p>
        </w:tc>
      </w:tr>
      <w:tr w:rsidR="009F7A81" w:rsidRPr="00501507" w14:paraId="39796559" w14:textId="77777777" w:rsidTr="00F82E25">
        <w:trPr>
          <w:trHeight w:val="288"/>
        </w:trPr>
        <w:tc>
          <w:tcPr>
            <w:tcW w:w="4240" w:type="dxa"/>
            <w:vAlign w:val="center"/>
            <w:hideMark/>
          </w:tcPr>
          <w:p w14:paraId="280AF146"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Togo</w:t>
            </w:r>
          </w:p>
        </w:tc>
        <w:tc>
          <w:tcPr>
            <w:tcW w:w="4240" w:type="dxa"/>
            <w:vAlign w:val="center"/>
            <w:hideMark/>
          </w:tcPr>
          <w:p w14:paraId="46D6CCBE"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18.2%</w:t>
            </w:r>
          </w:p>
        </w:tc>
      </w:tr>
      <w:tr w:rsidR="009F7A81" w:rsidRPr="00501507" w14:paraId="6D74442A" w14:textId="77777777" w:rsidTr="00F82E25">
        <w:trPr>
          <w:trHeight w:val="288"/>
        </w:trPr>
        <w:tc>
          <w:tcPr>
            <w:tcW w:w="4240" w:type="dxa"/>
            <w:vAlign w:val="center"/>
            <w:hideMark/>
          </w:tcPr>
          <w:p w14:paraId="0131D663"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Sao Tome and Principe</w:t>
            </w:r>
          </w:p>
        </w:tc>
        <w:tc>
          <w:tcPr>
            <w:tcW w:w="4240" w:type="dxa"/>
            <w:vAlign w:val="center"/>
            <w:hideMark/>
          </w:tcPr>
          <w:p w14:paraId="6FFA3947"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17.6%</w:t>
            </w:r>
          </w:p>
        </w:tc>
      </w:tr>
      <w:tr w:rsidR="009F7A81" w:rsidRPr="00501507" w14:paraId="5CED1522" w14:textId="77777777" w:rsidTr="00F82E25">
        <w:trPr>
          <w:trHeight w:val="288"/>
        </w:trPr>
        <w:tc>
          <w:tcPr>
            <w:tcW w:w="4240" w:type="dxa"/>
            <w:vAlign w:val="center"/>
            <w:hideMark/>
          </w:tcPr>
          <w:p w14:paraId="2067EFE1"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South Sudan</w:t>
            </w:r>
          </w:p>
        </w:tc>
        <w:tc>
          <w:tcPr>
            <w:tcW w:w="4240" w:type="dxa"/>
            <w:vAlign w:val="center"/>
            <w:hideMark/>
          </w:tcPr>
          <w:p w14:paraId="4E6A3E83"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17.1%</w:t>
            </w:r>
          </w:p>
        </w:tc>
      </w:tr>
      <w:tr w:rsidR="009F7A81" w:rsidRPr="00501507" w14:paraId="08FC9814" w14:textId="77777777" w:rsidTr="00F82E25">
        <w:trPr>
          <w:trHeight w:val="288"/>
        </w:trPr>
        <w:tc>
          <w:tcPr>
            <w:tcW w:w="4240" w:type="dxa"/>
            <w:vAlign w:val="center"/>
            <w:hideMark/>
          </w:tcPr>
          <w:p w14:paraId="0E50A8A0"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Sierra Leone</w:t>
            </w:r>
          </w:p>
        </w:tc>
        <w:tc>
          <w:tcPr>
            <w:tcW w:w="4240" w:type="dxa"/>
            <w:vAlign w:val="center"/>
            <w:hideMark/>
          </w:tcPr>
          <w:p w14:paraId="4761AB7C"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17.0%</w:t>
            </w:r>
          </w:p>
        </w:tc>
      </w:tr>
      <w:tr w:rsidR="009F7A81" w:rsidRPr="00501507" w14:paraId="2898F49D" w14:textId="77777777" w:rsidTr="00F82E25">
        <w:trPr>
          <w:trHeight w:val="288"/>
        </w:trPr>
        <w:tc>
          <w:tcPr>
            <w:tcW w:w="4240" w:type="dxa"/>
            <w:vAlign w:val="center"/>
            <w:hideMark/>
          </w:tcPr>
          <w:p w14:paraId="5D62FD8C"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United Republic of Tanzania</w:t>
            </w:r>
          </w:p>
        </w:tc>
        <w:tc>
          <w:tcPr>
            <w:tcW w:w="4240" w:type="dxa"/>
            <w:vAlign w:val="center"/>
            <w:hideMark/>
          </w:tcPr>
          <w:p w14:paraId="39A5CC3C"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16.8%</w:t>
            </w:r>
          </w:p>
        </w:tc>
      </w:tr>
      <w:tr w:rsidR="009F7A81" w:rsidRPr="00501507" w14:paraId="3DBA686C" w14:textId="77777777" w:rsidTr="00F82E25">
        <w:trPr>
          <w:trHeight w:val="288"/>
        </w:trPr>
        <w:tc>
          <w:tcPr>
            <w:tcW w:w="4240" w:type="dxa"/>
            <w:vAlign w:val="center"/>
            <w:hideMark/>
          </w:tcPr>
          <w:p w14:paraId="0EECE435"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Chad</w:t>
            </w:r>
          </w:p>
        </w:tc>
        <w:tc>
          <w:tcPr>
            <w:tcW w:w="4240" w:type="dxa"/>
            <w:vAlign w:val="center"/>
            <w:hideMark/>
          </w:tcPr>
          <w:p w14:paraId="30FB8F6F"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15.8%</w:t>
            </w:r>
          </w:p>
        </w:tc>
      </w:tr>
      <w:tr w:rsidR="009F7A81" w:rsidRPr="00501507" w14:paraId="2074052C" w14:textId="77777777" w:rsidTr="00F82E25">
        <w:trPr>
          <w:trHeight w:val="288"/>
        </w:trPr>
        <w:tc>
          <w:tcPr>
            <w:tcW w:w="4240" w:type="dxa"/>
            <w:vAlign w:val="center"/>
            <w:hideMark/>
          </w:tcPr>
          <w:p w14:paraId="3344BB92"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Timor-Leste</w:t>
            </w:r>
          </w:p>
        </w:tc>
        <w:tc>
          <w:tcPr>
            <w:tcW w:w="4240" w:type="dxa"/>
            <w:vAlign w:val="center"/>
            <w:hideMark/>
          </w:tcPr>
          <w:p w14:paraId="6EDC9CB0"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13.8%</w:t>
            </w:r>
          </w:p>
        </w:tc>
      </w:tr>
      <w:tr w:rsidR="009F7A81" w:rsidRPr="00501507" w14:paraId="7D6D4939" w14:textId="77777777" w:rsidTr="00F82E25">
        <w:trPr>
          <w:trHeight w:val="288"/>
        </w:trPr>
        <w:tc>
          <w:tcPr>
            <w:tcW w:w="4240" w:type="dxa"/>
            <w:vAlign w:val="center"/>
            <w:hideMark/>
          </w:tcPr>
          <w:p w14:paraId="1DF73EEE"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Guinea-Bissau</w:t>
            </w:r>
          </w:p>
        </w:tc>
        <w:tc>
          <w:tcPr>
            <w:tcW w:w="4240" w:type="dxa"/>
            <w:vAlign w:val="center"/>
            <w:hideMark/>
          </w:tcPr>
          <w:p w14:paraId="3135F10D"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13.8%</w:t>
            </w:r>
          </w:p>
        </w:tc>
      </w:tr>
      <w:tr w:rsidR="009F7A81" w:rsidRPr="00501507" w14:paraId="79FC2F35" w14:textId="77777777" w:rsidTr="00F82E25">
        <w:trPr>
          <w:trHeight w:val="288"/>
        </w:trPr>
        <w:tc>
          <w:tcPr>
            <w:tcW w:w="4240" w:type="dxa"/>
            <w:vAlign w:val="center"/>
            <w:hideMark/>
          </w:tcPr>
          <w:p w14:paraId="649F172D"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Central African Republic</w:t>
            </w:r>
          </w:p>
        </w:tc>
        <w:tc>
          <w:tcPr>
            <w:tcW w:w="4240" w:type="dxa"/>
            <w:vAlign w:val="center"/>
            <w:hideMark/>
          </w:tcPr>
          <w:p w14:paraId="464902C6"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13.7%</w:t>
            </w:r>
          </w:p>
        </w:tc>
      </w:tr>
      <w:tr w:rsidR="009F7A81" w:rsidRPr="00501507" w14:paraId="3C6D0582" w14:textId="77777777" w:rsidTr="00F82E25">
        <w:trPr>
          <w:trHeight w:val="288"/>
        </w:trPr>
        <w:tc>
          <w:tcPr>
            <w:tcW w:w="4240" w:type="dxa"/>
            <w:vAlign w:val="center"/>
            <w:hideMark/>
          </w:tcPr>
          <w:p w14:paraId="5AABF6D1"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Afghanistan</w:t>
            </w:r>
          </w:p>
        </w:tc>
        <w:tc>
          <w:tcPr>
            <w:tcW w:w="4240" w:type="dxa"/>
            <w:vAlign w:val="center"/>
            <w:hideMark/>
          </w:tcPr>
          <w:p w14:paraId="1228A5CB"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13.2%</w:t>
            </w:r>
          </w:p>
        </w:tc>
      </w:tr>
      <w:tr w:rsidR="009F7A81" w:rsidRPr="00501507" w14:paraId="6C5547B7" w14:textId="77777777" w:rsidTr="00F82E25">
        <w:trPr>
          <w:trHeight w:val="288"/>
        </w:trPr>
        <w:tc>
          <w:tcPr>
            <w:tcW w:w="4240" w:type="dxa"/>
            <w:vAlign w:val="center"/>
            <w:hideMark/>
          </w:tcPr>
          <w:p w14:paraId="3D791EDF"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Zambia</w:t>
            </w:r>
          </w:p>
        </w:tc>
        <w:tc>
          <w:tcPr>
            <w:tcW w:w="4240" w:type="dxa"/>
            <w:vAlign w:val="center"/>
            <w:hideMark/>
          </w:tcPr>
          <w:p w14:paraId="6AA23843"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13.1%</w:t>
            </w:r>
          </w:p>
        </w:tc>
      </w:tr>
      <w:tr w:rsidR="009F7A81" w:rsidRPr="00501507" w14:paraId="48AD97B9" w14:textId="77777777" w:rsidTr="00F82E25">
        <w:trPr>
          <w:trHeight w:val="288"/>
        </w:trPr>
        <w:tc>
          <w:tcPr>
            <w:tcW w:w="4240" w:type="dxa"/>
            <w:vAlign w:val="center"/>
            <w:hideMark/>
          </w:tcPr>
          <w:p w14:paraId="1EAD2E78"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Kenya</w:t>
            </w:r>
          </w:p>
        </w:tc>
        <w:tc>
          <w:tcPr>
            <w:tcW w:w="4240" w:type="dxa"/>
            <w:vAlign w:val="center"/>
            <w:hideMark/>
          </w:tcPr>
          <w:p w14:paraId="74DC7626"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11.9%</w:t>
            </w:r>
          </w:p>
        </w:tc>
      </w:tr>
      <w:tr w:rsidR="009F7A81" w:rsidRPr="00501507" w14:paraId="53F9B44E" w14:textId="77777777" w:rsidTr="00F82E25">
        <w:trPr>
          <w:trHeight w:val="288"/>
        </w:trPr>
        <w:tc>
          <w:tcPr>
            <w:tcW w:w="4240" w:type="dxa"/>
            <w:vAlign w:val="center"/>
            <w:hideMark/>
          </w:tcPr>
          <w:p w14:paraId="46A2813A"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Rwanda</w:t>
            </w:r>
          </w:p>
        </w:tc>
        <w:tc>
          <w:tcPr>
            <w:tcW w:w="4240" w:type="dxa"/>
            <w:vAlign w:val="center"/>
            <w:hideMark/>
          </w:tcPr>
          <w:p w14:paraId="634472EC"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9.9%</w:t>
            </w:r>
          </w:p>
        </w:tc>
      </w:tr>
      <w:tr w:rsidR="009F7A81" w:rsidRPr="00501507" w14:paraId="48F78E2A" w14:textId="77777777" w:rsidTr="00F82E25">
        <w:trPr>
          <w:trHeight w:val="288"/>
        </w:trPr>
        <w:tc>
          <w:tcPr>
            <w:tcW w:w="4240" w:type="dxa"/>
            <w:vAlign w:val="center"/>
            <w:hideMark/>
          </w:tcPr>
          <w:p w14:paraId="2D86F5BF"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Papua New Guinea</w:t>
            </w:r>
          </w:p>
        </w:tc>
        <w:tc>
          <w:tcPr>
            <w:tcW w:w="4240" w:type="dxa"/>
            <w:vAlign w:val="center"/>
            <w:hideMark/>
          </w:tcPr>
          <w:p w14:paraId="2D8E58F6"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9.7%</w:t>
            </w:r>
          </w:p>
        </w:tc>
      </w:tr>
      <w:tr w:rsidR="009F7A81" w:rsidRPr="00501507" w14:paraId="7A1DE636" w14:textId="77777777" w:rsidTr="00F82E25">
        <w:trPr>
          <w:trHeight w:val="576"/>
        </w:trPr>
        <w:tc>
          <w:tcPr>
            <w:tcW w:w="4240" w:type="dxa"/>
            <w:vAlign w:val="center"/>
            <w:hideMark/>
          </w:tcPr>
          <w:p w14:paraId="5C15AEF5"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Venezuela (Bolivarian Republic of)</w:t>
            </w:r>
          </w:p>
        </w:tc>
        <w:tc>
          <w:tcPr>
            <w:tcW w:w="4240" w:type="dxa"/>
            <w:vAlign w:val="center"/>
            <w:hideMark/>
          </w:tcPr>
          <w:p w14:paraId="46E5D4B4"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9.7%</w:t>
            </w:r>
          </w:p>
        </w:tc>
      </w:tr>
      <w:tr w:rsidR="009F7A81" w:rsidRPr="00501507" w14:paraId="462DF00C" w14:textId="77777777" w:rsidTr="00F82E25">
        <w:trPr>
          <w:trHeight w:val="288"/>
        </w:trPr>
        <w:tc>
          <w:tcPr>
            <w:tcW w:w="4240" w:type="dxa"/>
            <w:vAlign w:val="center"/>
            <w:hideMark/>
          </w:tcPr>
          <w:p w14:paraId="6815AA3D"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lastRenderedPageBreak/>
              <w:t>Lesotho</w:t>
            </w:r>
          </w:p>
        </w:tc>
        <w:tc>
          <w:tcPr>
            <w:tcW w:w="4240" w:type="dxa"/>
            <w:vAlign w:val="center"/>
            <w:hideMark/>
          </w:tcPr>
          <w:p w14:paraId="2230D37C"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9.1%</w:t>
            </w:r>
          </w:p>
        </w:tc>
      </w:tr>
      <w:tr w:rsidR="009F7A81" w:rsidRPr="00501507" w14:paraId="62BBCAA3" w14:textId="77777777" w:rsidTr="00F82E25">
        <w:trPr>
          <w:trHeight w:val="576"/>
        </w:trPr>
        <w:tc>
          <w:tcPr>
            <w:tcW w:w="4240" w:type="dxa"/>
            <w:vAlign w:val="center"/>
            <w:hideMark/>
          </w:tcPr>
          <w:p w14:paraId="6B5ED872"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Democratic Republic of the Congo</w:t>
            </w:r>
          </w:p>
        </w:tc>
        <w:tc>
          <w:tcPr>
            <w:tcW w:w="4240" w:type="dxa"/>
            <w:vAlign w:val="center"/>
            <w:hideMark/>
          </w:tcPr>
          <w:p w14:paraId="30A27052"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8.6%</w:t>
            </w:r>
          </w:p>
        </w:tc>
      </w:tr>
      <w:tr w:rsidR="009F7A81" w:rsidRPr="00501507" w14:paraId="6F1B8D69" w14:textId="77777777" w:rsidTr="00F82E25">
        <w:trPr>
          <w:trHeight w:val="288"/>
        </w:trPr>
        <w:tc>
          <w:tcPr>
            <w:tcW w:w="4240" w:type="dxa"/>
            <w:vAlign w:val="center"/>
            <w:hideMark/>
          </w:tcPr>
          <w:p w14:paraId="5959A8AE"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Liberia</w:t>
            </w:r>
          </w:p>
        </w:tc>
        <w:tc>
          <w:tcPr>
            <w:tcW w:w="4240" w:type="dxa"/>
            <w:vAlign w:val="center"/>
            <w:hideMark/>
          </w:tcPr>
          <w:p w14:paraId="5FA8F067"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7.1%</w:t>
            </w:r>
          </w:p>
        </w:tc>
      </w:tr>
      <w:tr w:rsidR="009F7A81" w:rsidRPr="00501507" w14:paraId="790B504D" w14:textId="77777777" w:rsidTr="00F82E25">
        <w:trPr>
          <w:trHeight w:val="288"/>
        </w:trPr>
        <w:tc>
          <w:tcPr>
            <w:tcW w:w="4240" w:type="dxa"/>
            <w:vAlign w:val="center"/>
            <w:hideMark/>
          </w:tcPr>
          <w:p w14:paraId="0F0CE7DD"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Uganda</w:t>
            </w:r>
          </w:p>
        </w:tc>
        <w:tc>
          <w:tcPr>
            <w:tcW w:w="4240" w:type="dxa"/>
            <w:vAlign w:val="center"/>
            <w:hideMark/>
          </w:tcPr>
          <w:p w14:paraId="7D27C05B"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7.0%</w:t>
            </w:r>
          </w:p>
        </w:tc>
      </w:tr>
      <w:tr w:rsidR="009F7A81" w:rsidRPr="00501507" w14:paraId="274FF443" w14:textId="77777777" w:rsidTr="00F82E25">
        <w:trPr>
          <w:trHeight w:val="288"/>
        </w:trPr>
        <w:tc>
          <w:tcPr>
            <w:tcW w:w="4240" w:type="dxa"/>
            <w:vAlign w:val="center"/>
            <w:hideMark/>
          </w:tcPr>
          <w:p w14:paraId="421493E2"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Haiti</w:t>
            </w:r>
          </w:p>
        </w:tc>
        <w:tc>
          <w:tcPr>
            <w:tcW w:w="4240" w:type="dxa"/>
            <w:vAlign w:val="center"/>
            <w:hideMark/>
          </w:tcPr>
          <w:p w14:paraId="2A7A0CF6"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6.4%</w:t>
            </w:r>
          </w:p>
        </w:tc>
      </w:tr>
      <w:tr w:rsidR="009F7A81" w:rsidRPr="00501507" w14:paraId="28509FE5" w14:textId="77777777" w:rsidTr="00F82E25">
        <w:trPr>
          <w:trHeight w:val="288"/>
        </w:trPr>
        <w:tc>
          <w:tcPr>
            <w:tcW w:w="4240" w:type="dxa"/>
            <w:vAlign w:val="center"/>
            <w:hideMark/>
          </w:tcPr>
          <w:p w14:paraId="415A7F56"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Congo</w:t>
            </w:r>
          </w:p>
        </w:tc>
        <w:tc>
          <w:tcPr>
            <w:tcW w:w="4240" w:type="dxa"/>
            <w:vAlign w:val="center"/>
            <w:hideMark/>
          </w:tcPr>
          <w:p w14:paraId="47D3EDA5"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5.6%</w:t>
            </w:r>
          </w:p>
        </w:tc>
      </w:tr>
      <w:tr w:rsidR="009F7A81" w:rsidRPr="00501507" w14:paraId="384EF8A2" w14:textId="77777777" w:rsidTr="00F82E25">
        <w:trPr>
          <w:trHeight w:val="288"/>
        </w:trPr>
        <w:tc>
          <w:tcPr>
            <w:tcW w:w="4240" w:type="dxa"/>
            <w:vAlign w:val="center"/>
            <w:hideMark/>
          </w:tcPr>
          <w:p w14:paraId="3812DC93"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Zimbabwe</w:t>
            </w:r>
          </w:p>
        </w:tc>
        <w:tc>
          <w:tcPr>
            <w:tcW w:w="4240" w:type="dxa"/>
            <w:vAlign w:val="center"/>
            <w:hideMark/>
          </w:tcPr>
          <w:p w14:paraId="46A4B8B6"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3.4%</w:t>
            </w:r>
          </w:p>
        </w:tc>
      </w:tr>
      <w:tr w:rsidR="009F7A81" w:rsidRPr="00501507" w14:paraId="1A0D4D36" w14:textId="77777777" w:rsidTr="00F82E25">
        <w:trPr>
          <w:trHeight w:val="288"/>
        </w:trPr>
        <w:tc>
          <w:tcPr>
            <w:tcW w:w="4240" w:type="dxa"/>
            <w:vAlign w:val="center"/>
            <w:hideMark/>
          </w:tcPr>
          <w:p w14:paraId="48A52283"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Mozambique</w:t>
            </w:r>
          </w:p>
        </w:tc>
        <w:tc>
          <w:tcPr>
            <w:tcW w:w="4240" w:type="dxa"/>
            <w:vAlign w:val="center"/>
            <w:hideMark/>
          </w:tcPr>
          <w:p w14:paraId="0229D642"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2.8%</w:t>
            </w:r>
          </w:p>
        </w:tc>
      </w:tr>
      <w:tr w:rsidR="009F7A81" w:rsidRPr="00501507" w14:paraId="3A7688DC" w14:textId="77777777" w:rsidTr="00F82E25">
        <w:trPr>
          <w:trHeight w:val="288"/>
        </w:trPr>
        <w:tc>
          <w:tcPr>
            <w:tcW w:w="4240" w:type="dxa"/>
            <w:vAlign w:val="center"/>
            <w:hideMark/>
          </w:tcPr>
          <w:p w14:paraId="0B57E30B"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Madagascar</w:t>
            </w:r>
          </w:p>
        </w:tc>
        <w:tc>
          <w:tcPr>
            <w:tcW w:w="4240" w:type="dxa"/>
            <w:vAlign w:val="center"/>
            <w:hideMark/>
          </w:tcPr>
          <w:p w14:paraId="45ADDFFB"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1.1%</w:t>
            </w:r>
          </w:p>
        </w:tc>
      </w:tr>
      <w:tr w:rsidR="009F7A81" w:rsidRPr="00501507" w14:paraId="71CA55F0" w14:textId="77777777" w:rsidTr="00F82E25">
        <w:trPr>
          <w:trHeight w:val="288"/>
        </w:trPr>
        <w:tc>
          <w:tcPr>
            <w:tcW w:w="4240" w:type="dxa"/>
            <w:vAlign w:val="center"/>
            <w:hideMark/>
          </w:tcPr>
          <w:p w14:paraId="706D303E"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Yemen</w:t>
            </w:r>
          </w:p>
        </w:tc>
        <w:tc>
          <w:tcPr>
            <w:tcW w:w="4240" w:type="dxa"/>
            <w:vAlign w:val="center"/>
            <w:hideMark/>
          </w:tcPr>
          <w:p w14:paraId="27E0AFF0"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-0.3%</w:t>
            </w:r>
          </w:p>
        </w:tc>
      </w:tr>
      <w:tr w:rsidR="009F7A81" w:rsidRPr="00501507" w14:paraId="07068170" w14:textId="77777777" w:rsidTr="00F82E25">
        <w:trPr>
          <w:trHeight w:val="288"/>
        </w:trPr>
        <w:tc>
          <w:tcPr>
            <w:tcW w:w="4240" w:type="dxa"/>
            <w:vAlign w:val="center"/>
            <w:hideMark/>
          </w:tcPr>
          <w:p w14:paraId="7A4FCA86"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Brunei Darussalam</w:t>
            </w:r>
          </w:p>
        </w:tc>
        <w:tc>
          <w:tcPr>
            <w:tcW w:w="4240" w:type="dxa"/>
            <w:vAlign w:val="center"/>
            <w:hideMark/>
          </w:tcPr>
          <w:p w14:paraId="62197E13"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-2.0%</w:t>
            </w:r>
          </w:p>
        </w:tc>
      </w:tr>
      <w:tr w:rsidR="009F7A81" w:rsidRPr="00501507" w14:paraId="72D05ED4" w14:textId="77777777" w:rsidTr="00F82E25">
        <w:trPr>
          <w:trHeight w:val="288"/>
        </w:trPr>
        <w:tc>
          <w:tcPr>
            <w:tcW w:w="4240" w:type="dxa"/>
            <w:vAlign w:val="center"/>
            <w:hideMark/>
          </w:tcPr>
          <w:p w14:paraId="1FA053B2"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Singapore</w:t>
            </w:r>
          </w:p>
        </w:tc>
        <w:tc>
          <w:tcPr>
            <w:tcW w:w="4240" w:type="dxa"/>
            <w:vAlign w:val="center"/>
            <w:hideMark/>
          </w:tcPr>
          <w:p w14:paraId="64B79B5E"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-6.0%</w:t>
            </w:r>
          </w:p>
        </w:tc>
      </w:tr>
      <w:tr w:rsidR="009F7A81" w:rsidRPr="00501507" w14:paraId="05AF2498" w14:textId="77777777" w:rsidTr="00F82E25">
        <w:trPr>
          <w:trHeight w:val="288"/>
        </w:trPr>
        <w:tc>
          <w:tcPr>
            <w:tcW w:w="4240" w:type="dxa"/>
            <w:vAlign w:val="center"/>
            <w:hideMark/>
          </w:tcPr>
          <w:p w14:paraId="3ED2EA9E"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Burundi</w:t>
            </w:r>
          </w:p>
        </w:tc>
        <w:tc>
          <w:tcPr>
            <w:tcW w:w="4240" w:type="dxa"/>
            <w:vAlign w:val="center"/>
            <w:hideMark/>
          </w:tcPr>
          <w:p w14:paraId="3C7F9620"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-10.7%</w:t>
            </w:r>
          </w:p>
        </w:tc>
      </w:tr>
      <w:tr w:rsidR="009F7A81" w:rsidRPr="00501507" w14:paraId="46DB97F7" w14:textId="77777777" w:rsidTr="00F82E25">
        <w:trPr>
          <w:trHeight w:val="288"/>
        </w:trPr>
        <w:tc>
          <w:tcPr>
            <w:tcW w:w="4240" w:type="dxa"/>
            <w:vAlign w:val="center"/>
            <w:hideMark/>
          </w:tcPr>
          <w:p w14:paraId="2B1B7BF7"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Eritrea</w:t>
            </w:r>
          </w:p>
        </w:tc>
        <w:tc>
          <w:tcPr>
            <w:tcW w:w="4240" w:type="dxa"/>
            <w:vAlign w:val="center"/>
            <w:hideMark/>
          </w:tcPr>
          <w:p w14:paraId="586F74AB" w14:textId="77777777" w:rsidR="009F7A81" w:rsidRPr="00501507" w:rsidRDefault="009F7A81" w:rsidP="00C4257C">
            <w:pPr>
              <w:spacing w:after="0" w:line="240" w:lineRule="auto"/>
              <w:jc w:val="center"/>
              <w:rPr>
                <w:rFonts w:ascii="Aptos Narrow" w:eastAsia="Times New Roman" w:hAnsi="Aptos Narrow" w:cs="Times New Roman"/>
                <w:color w:val="000000"/>
                <w:kern w:val="0"/>
                <w:sz w:val="22"/>
                <w:szCs w:val="22"/>
                <w14:ligatures w14:val="none"/>
              </w:rPr>
            </w:pPr>
            <w:r w:rsidRPr="00501507">
              <w:rPr>
                <w:rFonts w:ascii="Aptos Narrow" w:eastAsia="Times New Roman" w:hAnsi="Aptos Narrow" w:cs="Times New Roman"/>
                <w:color w:val="000000"/>
                <w:kern w:val="0"/>
                <w:sz w:val="22"/>
                <w:szCs w:val="22"/>
                <w14:ligatures w14:val="none"/>
              </w:rPr>
              <w:t>-12.0%</w:t>
            </w:r>
          </w:p>
        </w:tc>
      </w:tr>
    </w:tbl>
    <w:p w14:paraId="7161C262" w14:textId="77777777" w:rsidR="009F7A81" w:rsidRPr="002300A3" w:rsidRDefault="009F7A81" w:rsidP="009F7A81">
      <w:pPr>
        <w:jc w:val="both"/>
        <w:rPr>
          <w:rFonts w:hint="eastAsia"/>
        </w:rPr>
      </w:pPr>
    </w:p>
    <w:p w14:paraId="7F0AB87A" w14:textId="77777777" w:rsidR="009F7A81" w:rsidRPr="00CA7DCF" w:rsidRDefault="009F7A81" w:rsidP="006A563F">
      <w:pPr>
        <w:jc w:val="both"/>
        <w:rPr>
          <w:rFonts w:hint="eastAsia"/>
        </w:rPr>
      </w:pPr>
    </w:p>
    <w:p w14:paraId="53E2FDC4" w14:textId="4F8F98B8" w:rsidR="00CE0B1D" w:rsidRPr="00CE0B1D" w:rsidRDefault="00CE0B1D" w:rsidP="00CE0B1D">
      <w:pPr>
        <w:jc w:val="both"/>
        <w:rPr>
          <w:rFonts w:hint="eastAsia"/>
        </w:rPr>
      </w:pPr>
      <w:r w:rsidRPr="00CE0B1D">
        <w:rPr>
          <w:noProof/>
        </w:rPr>
        <w:lastRenderedPageBreak/>
        <w:drawing>
          <wp:inline distT="0" distB="0" distL="0" distR="0" wp14:anchorId="600C5342" wp14:editId="1A930DD3">
            <wp:extent cx="5582285" cy="8863330"/>
            <wp:effectExtent l="0" t="0" r="0" b="0"/>
            <wp:docPr id="799775492" name="Picture 4" descr="A graph of different colore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775492" name="Picture 4" descr="A graph of different colored lines&#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82285" cy="8863330"/>
                    </a:xfrm>
                    <a:prstGeom prst="rect">
                      <a:avLst/>
                    </a:prstGeom>
                    <a:noFill/>
                    <a:ln>
                      <a:noFill/>
                    </a:ln>
                  </pic:spPr>
                </pic:pic>
              </a:graphicData>
            </a:graphic>
          </wp:inline>
        </w:drawing>
      </w:r>
    </w:p>
    <w:p w14:paraId="661B27A1" w14:textId="4BCBA56E" w:rsidR="0003649C" w:rsidRDefault="0003649C" w:rsidP="6B6B33D6">
      <w:pPr>
        <w:pStyle w:val="Heading1"/>
        <w:jc w:val="both"/>
        <w:rPr>
          <w:b/>
          <w:bCs/>
          <w:color w:val="auto"/>
          <w:sz w:val="32"/>
          <w:szCs w:val="32"/>
        </w:rPr>
      </w:pPr>
      <w:bookmarkStart w:id="12" w:name="_Toc204093439"/>
      <w:r w:rsidRPr="00CA7DCF">
        <w:rPr>
          <w:b/>
          <w:bCs/>
          <w:color w:val="auto"/>
          <w:sz w:val="32"/>
          <w:szCs w:val="32"/>
        </w:rPr>
        <w:lastRenderedPageBreak/>
        <w:t xml:space="preserve">Supplementary </w:t>
      </w:r>
      <w:r w:rsidR="00DE297B">
        <w:rPr>
          <w:rFonts w:hint="eastAsia"/>
          <w:b/>
          <w:bCs/>
          <w:color w:val="auto"/>
          <w:sz w:val="32"/>
          <w:szCs w:val="32"/>
        </w:rPr>
        <w:t>F</w:t>
      </w:r>
      <w:r w:rsidRPr="00CA7DCF">
        <w:rPr>
          <w:b/>
          <w:bCs/>
          <w:color w:val="auto"/>
          <w:sz w:val="32"/>
          <w:szCs w:val="32"/>
        </w:rPr>
        <w:t xml:space="preserve">igure 1. Proportion of dietary GHG emissions, </w:t>
      </w:r>
      <w:r w:rsidR="00B71863">
        <w:rPr>
          <w:rFonts w:hint="eastAsia"/>
          <w:b/>
          <w:bCs/>
          <w:color w:val="auto"/>
          <w:sz w:val="32"/>
          <w:szCs w:val="32"/>
        </w:rPr>
        <w:t>W</w:t>
      </w:r>
      <w:r w:rsidRPr="00CA7DCF">
        <w:rPr>
          <w:b/>
          <w:bCs/>
          <w:color w:val="auto"/>
          <w:sz w:val="32"/>
          <w:szCs w:val="32"/>
        </w:rPr>
        <w:t xml:space="preserve">ater </w:t>
      </w:r>
      <w:r w:rsidR="00B71863">
        <w:rPr>
          <w:rFonts w:hint="eastAsia"/>
          <w:b/>
          <w:bCs/>
          <w:color w:val="auto"/>
          <w:sz w:val="32"/>
          <w:szCs w:val="32"/>
        </w:rPr>
        <w:t>U</w:t>
      </w:r>
      <w:r w:rsidRPr="00CA7DCF">
        <w:rPr>
          <w:b/>
          <w:bCs/>
          <w:color w:val="auto"/>
          <w:sz w:val="32"/>
          <w:szCs w:val="32"/>
        </w:rPr>
        <w:t xml:space="preserve">se, and </w:t>
      </w:r>
      <w:r w:rsidR="00B71863">
        <w:rPr>
          <w:rFonts w:hint="eastAsia"/>
          <w:b/>
          <w:bCs/>
          <w:color w:val="auto"/>
          <w:sz w:val="32"/>
          <w:szCs w:val="32"/>
        </w:rPr>
        <w:t>L</w:t>
      </w:r>
      <w:r w:rsidRPr="00CA7DCF">
        <w:rPr>
          <w:b/>
          <w:bCs/>
          <w:color w:val="auto"/>
          <w:sz w:val="32"/>
          <w:szCs w:val="32"/>
        </w:rPr>
        <w:t xml:space="preserve">and </w:t>
      </w:r>
      <w:r w:rsidR="00B71863">
        <w:rPr>
          <w:rFonts w:hint="eastAsia"/>
          <w:b/>
          <w:bCs/>
          <w:color w:val="auto"/>
          <w:sz w:val="32"/>
          <w:szCs w:val="32"/>
        </w:rPr>
        <w:t>U</w:t>
      </w:r>
      <w:r w:rsidRPr="00CA7DCF">
        <w:rPr>
          <w:b/>
          <w:bCs/>
          <w:color w:val="auto"/>
          <w:sz w:val="32"/>
          <w:szCs w:val="32"/>
        </w:rPr>
        <w:t>se by food group and demographic subgroup</w:t>
      </w:r>
      <w:bookmarkEnd w:id="12"/>
    </w:p>
    <w:p w14:paraId="265C523B" w14:textId="5723AD41" w:rsidR="005411C7" w:rsidRPr="005411C7" w:rsidRDefault="004D20C6" w:rsidP="005411C7">
      <w:pPr>
        <w:rPr>
          <w:rFonts w:hint="eastAsia"/>
          <w:i/>
          <w:sz w:val="22"/>
          <w:szCs w:val="22"/>
        </w:rPr>
      </w:pPr>
      <w:r w:rsidRPr="5E6773A3">
        <w:rPr>
          <w:i/>
          <w:iCs/>
          <w:sz w:val="22"/>
          <w:szCs w:val="22"/>
        </w:rPr>
        <w:t>X-axis labels are for Gender (M = Male, F = Female), Age (15–34 y, 35–54 y, 55+ y), Area (R = Rural, U = Urban), and Education (L = Low, M = Medium, H = High).</w:t>
      </w:r>
    </w:p>
    <w:p w14:paraId="3958189B" w14:textId="1ECD0C92" w:rsidR="00BE4921" w:rsidRPr="00BE4921" w:rsidRDefault="00BE4921" w:rsidP="00BE4921">
      <w:pPr>
        <w:jc w:val="both"/>
        <w:rPr>
          <w:rFonts w:hint="eastAsia"/>
        </w:rPr>
      </w:pPr>
      <w:r w:rsidRPr="00BE4921">
        <w:rPr>
          <w:noProof/>
        </w:rPr>
        <w:drawing>
          <wp:inline distT="0" distB="0" distL="0" distR="0" wp14:anchorId="2F3FB038" wp14:editId="36C2D082">
            <wp:extent cx="5731510" cy="7562850"/>
            <wp:effectExtent l="0" t="0" r="2540" b="0"/>
            <wp:docPr id="1255054560" name="Picture 8" descr="A comparison of a range of dat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5054560" name="Picture 8" descr="A comparison of a range of data&#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1510" cy="7562850"/>
                    </a:xfrm>
                    <a:prstGeom prst="rect">
                      <a:avLst/>
                    </a:prstGeom>
                    <a:noFill/>
                    <a:ln>
                      <a:noFill/>
                    </a:ln>
                  </pic:spPr>
                </pic:pic>
              </a:graphicData>
            </a:graphic>
          </wp:inline>
        </w:drawing>
      </w:r>
    </w:p>
    <w:p w14:paraId="4510A19D" w14:textId="5B025559" w:rsidR="00B44B4D" w:rsidRPr="00CA7DCF" w:rsidRDefault="00B44B4D" w:rsidP="6B6B33D6">
      <w:pPr>
        <w:pStyle w:val="Heading1"/>
        <w:jc w:val="both"/>
        <w:rPr>
          <w:b/>
          <w:bCs/>
          <w:color w:val="auto"/>
          <w:sz w:val="32"/>
          <w:szCs w:val="32"/>
        </w:rPr>
      </w:pPr>
      <w:bookmarkStart w:id="13" w:name="_Toc204093440"/>
      <w:r w:rsidRPr="00CA7DCF">
        <w:rPr>
          <w:b/>
          <w:bCs/>
          <w:color w:val="auto"/>
          <w:sz w:val="32"/>
          <w:szCs w:val="32"/>
        </w:rPr>
        <w:lastRenderedPageBreak/>
        <w:t>S</w:t>
      </w:r>
      <w:r w:rsidRPr="00CA7DCF">
        <w:rPr>
          <w:rFonts w:hint="eastAsia"/>
          <w:b/>
          <w:bCs/>
          <w:color w:val="auto"/>
          <w:sz w:val="32"/>
          <w:szCs w:val="32"/>
        </w:rPr>
        <w:t xml:space="preserve">upplementary </w:t>
      </w:r>
      <w:r w:rsidR="00DE297B">
        <w:rPr>
          <w:rFonts w:hint="eastAsia"/>
          <w:b/>
          <w:bCs/>
          <w:color w:val="auto"/>
          <w:sz w:val="32"/>
          <w:szCs w:val="32"/>
        </w:rPr>
        <w:t>F</w:t>
      </w:r>
      <w:r w:rsidRPr="00CA7DCF">
        <w:rPr>
          <w:rFonts w:hint="eastAsia"/>
          <w:b/>
          <w:bCs/>
          <w:color w:val="auto"/>
          <w:sz w:val="32"/>
          <w:szCs w:val="32"/>
        </w:rPr>
        <w:t xml:space="preserve">igure </w:t>
      </w:r>
      <w:r w:rsidR="0020642A">
        <w:rPr>
          <w:rFonts w:hint="eastAsia"/>
          <w:b/>
          <w:bCs/>
          <w:color w:val="auto"/>
          <w:sz w:val="32"/>
          <w:szCs w:val="32"/>
        </w:rPr>
        <w:t>2</w:t>
      </w:r>
      <w:r w:rsidRPr="00CA7DCF">
        <w:rPr>
          <w:rFonts w:hint="eastAsia"/>
          <w:b/>
          <w:bCs/>
          <w:color w:val="auto"/>
          <w:sz w:val="32"/>
          <w:szCs w:val="32"/>
        </w:rPr>
        <w:t xml:space="preserve">. </w:t>
      </w:r>
      <w:r w:rsidR="00C92E05" w:rsidRPr="00C92E05">
        <w:rPr>
          <w:b/>
          <w:bCs/>
          <w:color w:val="auto"/>
          <w:sz w:val="32"/>
          <w:szCs w:val="32"/>
        </w:rPr>
        <w:t xml:space="preserve">Distribution of </w:t>
      </w:r>
      <w:r w:rsidR="00097C96">
        <w:rPr>
          <w:rFonts w:hint="eastAsia"/>
          <w:b/>
          <w:bCs/>
          <w:color w:val="auto"/>
          <w:sz w:val="32"/>
          <w:szCs w:val="32"/>
        </w:rPr>
        <w:t>W</w:t>
      </w:r>
      <w:r w:rsidR="002F1670">
        <w:rPr>
          <w:rFonts w:hint="eastAsia"/>
          <w:b/>
          <w:bCs/>
          <w:color w:val="auto"/>
          <w:sz w:val="32"/>
          <w:szCs w:val="32"/>
        </w:rPr>
        <w:t xml:space="preserve">ater </w:t>
      </w:r>
      <w:r w:rsidR="00097C96">
        <w:rPr>
          <w:rFonts w:hint="eastAsia"/>
          <w:b/>
          <w:bCs/>
          <w:color w:val="auto"/>
          <w:sz w:val="32"/>
          <w:szCs w:val="32"/>
        </w:rPr>
        <w:t>U</w:t>
      </w:r>
      <w:r w:rsidR="002F1670">
        <w:rPr>
          <w:rFonts w:hint="eastAsia"/>
          <w:b/>
          <w:bCs/>
          <w:color w:val="auto"/>
          <w:sz w:val="32"/>
          <w:szCs w:val="32"/>
        </w:rPr>
        <w:t xml:space="preserve">se, and </w:t>
      </w:r>
      <w:r w:rsidR="00097C96">
        <w:rPr>
          <w:rFonts w:hint="eastAsia"/>
          <w:b/>
          <w:bCs/>
          <w:color w:val="auto"/>
          <w:sz w:val="32"/>
          <w:szCs w:val="32"/>
        </w:rPr>
        <w:t>L</w:t>
      </w:r>
      <w:r w:rsidR="002F1670">
        <w:rPr>
          <w:rFonts w:hint="eastAsia"/>
          <w:b/>
          <w:bCs/>
          <w:color w:val="auto"/>
          <w:sz w:val="32"/>
          <w:szCs w:val="32"/>
        </w:rPr>
        <w:t xml:space="preserve">and </w:t>
      </w:r>
      <w:r w:rsidR="00097C96">
        <w:rPr>
          <w:rFonts w:hint="eastAsia"/>
          <w:b/>
          <w:bCs/>
          <w:color w:val="auto"/>
          <w:sz w:val="32"/>
          <w:szCs w:val="32"/>
        </w:rPr>
        <w:t>U</w:t>
      </w:r>
      <w:r w:rsidR="002F1670">
        <w:rPr>
          <w:rFonts w:hint="eastAsia"/>
          <w:b/>
          <w:bCs/>
          <w:color w:val="auto"/>
          <w:sz w:val="32"/>
          <w:szCs w:val="32"/>
        </w:rPr>
        <w:t xml:space="preserve">se </w:t>
      </w:r>
      <w:r w:rsidR="00C92E05" w:rsidRPr="00C92E05">
        <w:rPr>
          <w:b/>
          <w:bCs/>
          <w:color w:val="auto"/>
          <w:sz w:val="32"/>
          <w:szCs w:val="32"/>
        </w:rPr>
        <w:t xml:space="preserve">across </w:t>
      </w:r>
      <w:proofErr w:type="spellStart"/>
      <w:r w:rsidR="00C92E05" w:rsidRPr="00C92E05">
        <w:rPr>
          <w:b/>
          <w:bCs/>
          <w:color w:val="auto"/>
          <w:sz w:val="32"/>
          <w:szCs w:val="32"/>
        </w:rPr>
        <w:t>AHEI</w:t>
      </w:r>
      <w:proofErr w:type="spellEnd"/>
      <w:r w:rsidR="00C92E05" w:rsidRPr="00C92E05">
        <w:rPr>
          <w:b/>
          <w:bCs/>
          <w:color w:val="auto"/>
          <w:sz w:val="32"/>
          <w:szCs w:val="32"/>
        </w:rPr>
        <w:t xml:space="preserve"> </w:t>
      </w:r>
      <w:r w:rsidR="00097C96">
        <w:rPr>
          <w:rFonts w:hint="eastAsia"/>
          <w:b/>
          <w:bCs/>
          <w:color w:val="auto"/>
          <w:sz w:val="32"/>
          <w:szCs w:val="32"/>
        </w:rPr>
        <w:t xml:space="preserve">score </w:t>
      </w:r>
      <w:r w:rsidR="00C92E05" w:rsidRPr="00C92E05">
        <w:rPr>
          <w:b/>
          <w:bCs/>
          <w:color w:val="auto"/>
          <w:sz w:val="32"/>
          <w:szCs w:val="32"/>
        </w:rPr>
        <w:t>deciles by socio-demographic subgroups</w:t>
      </w:r>
      <w:bookmarkEnd w:id="13"/>
    </w:p>
    <w:p w14:paraId="5E6906A6" w14:textId="19EDFA03" w:rsidR="00C2014F" w:rsidRPr="00C2014F" w:rsidRDefault="001C1682" w:rsidP="00C2014F">
      <w:pPr>
        <w:jc w:val="both"/>
        <w:rPr>
          <w:rFonts w:hint="eastAsia"/>
        </w:rPr>
      </w:pPr>
      <w:r w:rsidRPr="00A67E56">
        <w:rPr>
          <w:i/>
          <w:iCs/>
        </w:rPr>
        <w:t>AHEI scores were stratified into ten deciles from lowest to highest.</w:t>
      </w:r>
      <w:r w:rsidR="00490CFD">
        <w:rPr>
          <w:rFonts w:hint="eastAsia"/>
          <w:i/>
          <w:iCs/>
        </w:rPr>
        <w:t xml:space="preserve"> </w:t>
      </w:r>
    </w:p>
    <w:p w14:paraId="182A67A2" w14:textId="1EE2B8C6" w:rsidR="00A077A1" w:rsidRPr="00A077A1" w:rsidRDefault="00A077A1" w:rsidP="6B6B33D6">
      <w:pPr>
        <w:jc w:val="both"/>
        <w:rPr>
          <w:rFonts w:hint="eastAsia"/>
        </w:rPr>
      </w:pPr>
    </w:p>
    <w:p w14:paraId="01F643A4" w14:textId="77777777" w:rsidR="0020642A" w:rsidRPr="00CA7DCF" w:rsidRDefault="0020642A" w:rsidP="0020642A">
      <w:pPr>
        <w:jc w:val="center"/>
        <w:rPr>
          <w:rFonts w:hint="eastAsia"/>
        </w:rPr>
      </w:pPr>
      <w:r w:rsidRPr="005907C3">
        <w:rPr>
          <w:noProof/>
        </w:rPr>
        <w:drawing>
          <wp:inline distT="0" distB="0" distL="0" distR="0" wp14:anchorId="56DB71EC" wp14:editId="3BAE59DB">
            <wp:extent cx="5408762" cy="6046222"/>
            <wp:effectExtent l="0" t="0" r="1905" b="0"/>
            <wp:docPr id="1425520993" name="Picture 1" descr="A colorful circle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5520993" name="Picture 1" descr="A colorful circle with black text&#10;&#10;AI-generated content may be incorrect."/>
                    <pic:cNvPicPr/>
                  </pic:nvPicPr>
                  <pic:blipFill>
                    <a:blip r:embed="rId14"/>
                    <a:stretch>
                      <a:fillRect/>
                    </a:stretch>
                  </pic:blipFill>
                  <pic:spPr>
                    <a:xfrm>
                      <a:off x="0" y="0"/>
                      <a:ext cx="5422423" cy="6061493"/>
                    </a:xfrm>
                    <a:prstGeom prst="rect">
                      <a:avLst/>
                    </a:prstGeom>
                  </pic:spPr>
                </pic:pic>
              </a:graphicData>
            </a:graphic>
          </wp:inline>
        </w:drawing>
      </w:r>
    </w:p>
    <w:p w14:paraId="5F8D9D61" w14:textId="3913643E" w:rsidR="0020642A" w:rsidRPr="00CA7DCF" w:rsidRDefault="0020642A" w:rsidP="0020642A">
      <w:pPr>
        <w:pStyle w:val="Heading1"/>
        <w:jc w:val="both"/>
        <w:rPr>
          <w:b/>
          <w:bCs/>
          <w:color w:val="auto"/>
          <w:sz w:val="32"/>
          <w:szCs w:val="32"/>
        </w:rPr>
      </w:pPr>
      <w:bookmarkStart w:id="14" w:name="_Toc204093441"/>
      <w:r w:rsidRPr="00CA7DCF">
        <w:rPr>
          <w:b/>
          <w:bCs/>
          <w:color w:val="auto"/>
          <w:sz w:val="32"/>
          <w:szCs w:val="32"/>
        </w:rPr>
        <w:t>S</w:t>
      </w:r>
      <w:r w:rsidRPr="00CA7DCF">
        <w:rPr>
          <w:rFonts w:hint="eastAsia"/>
          <w:b/>
          <w:bCs/>
          <w:color w:val="auto"/>
          <w:sz w:val="32"/>
          <w:szCs w:val="32"/>
        </w:rPr>
        <w:t xml:space="preserve">upplementary </w:t>
      </w:r>
      <w:r>
        <w:rPr>
          <w:rFonts w:hint="eastAsia"/>
          <w:b/>
          <w:bCs/>
          <w:color w:val="auto"/>
          <w:sz w:val="32"/>
          <w:szCs w:val="32"/>
        </w:rPr>
        <w:t>F</w:t>
      </w:r>
      <w:r w:rsidRPr="00CA7DCF">
        <w:rPr>
          <w:rFonts w:hint="eastAsia"/>
          <w:b/>
          <w:bCs/>
          <w:color w:val="auto"/>
          <w:sz w:val="32"/>
          <w:szCs w:val="32"/>
        </w:rPr>
        <w:t xml:space="preserve">igure </w:t>
      </w:r>
      <w:r>
        <w:rPr>
          <w:rFonts w:hint="eastAsia"/>
          <w:b/>
          <w:bCs/>
          <w:color w:val="auto"/>
          <w:sz w:val="32"/>
          <w:szCs w:val="32"/>
        </w:rPr>
        <w:t>3</w:t>
      </w:r>
      <w:r w:rsidRPr="00CA7DCF">
        <w:rPr>
          <w:rFonts w:hint="eastAsia"/>
          <w:b/>
          <w:bCs/>
          <w:color w:val="auto"/>
          <w:sz w:val="32"/>
          <w:szCs w:val="32"/>
        </w:rPr>
        <w:t xml:space="preserve">. </w:t>
      </w:r>
      <w:r w:rsidRPr="00CA7DCF">
        <w:rPr>
          <w:b/>
          <w:bCs/>
          <w:color w:val="auto"/>
          <w:sz w:val="32"/>
          <w:szCs w:val="32"/>
        </w:rPr>
        <w:t>Distribution of total dietary GHG emissions across demographic subgroups, weighted by population size</w:t>
      </w:r>
      <w:bookmarkEnd w:id="14"/>
    </w:p>
    <w:p w14:paraId="519A7137" w14:textId="2EDB2C62" w:rsidR="00DB19E6" w:rsidRPr="00DB19E6" w:rsidRDefault="00DB19E6" w:rsidP="00DB19E6">
      <w:pPr>
        <w:jc w:val="both"/>
        <w:rPr>
          <w:rFonts w:hint="eastAsia"/>
        </w:rPr>
      </w:pPr>
    </w:p>
    <w:p w14:paraId="60E2D5B2" w14:textId="77777777" w:rsidR="0081012D" w:rsidRDefault="0081012D" w:rsidP="6B6B33D6">
      <w:pPr>
        <w:jc w:val="both"/>
        <w:rPr>
          <w:rFonts w:hint="eastAsia"/>
        </w:rPr>
      </w:pPr>
    </w:p>
    <w:sectPr w:rsidR="0081012D">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A247D" w14:textId="77777777" w:rsidR="00AF7F89" w:rsidRDefault="00AF7F89" w:rsidP="006A563F">
      <w:pPr>
        <w:spacing w:after="0" w:line="240" w:lineRule="auto"/>
        <w:rPr>
          <w:rFonts w:hint="eastAsia"/>
        </w:rPr>
      </w:pPr>
      <w:r>
        <w:separator/>
      </w:r>
    </w:p>
  </w:endnote>
  <w:endnote w:type="continuationSeparator" w:id="0">
    <w:p w14:paraId="745A22C2" w14:textId="77777777" w:rsidR="00AF7F89" w:rsidRDefault="00AF7F89" w:rsidP="006A563F">
      <w:pPr>
        <w:spacing w:after="0" w:line="240" w:lineRule="auto"/>
        <w:rPr>
          <w:rFonts w:hint="eastAsia"/>
        </w:rPr>
      </w:pPr>
      <w:r>
        <w:continuationSeparator/>
      </w:r>
    </w:p>
  </w:endnote>
  <w:endnote w:type="continuationNotice" w:id="1">
    <w:p w14:paraId="78DB04E8" w14:textId="77777777" w:rsidR="00AF7F89" w:rsidRDefault="00AF7F89">
      <w:pPr>
        <w:spacing w:after="0" w:line="240" w:lineRule="auto"/>
        <w:rPr>
          <w:rFonts w:hint="eastAsia"/>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Aptos Narrow">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6383883"/>
      <w:docPartObj>
        <w:docPartGallery w:val="Page Numbers (Bottom of Page)"/>
        <w:docPartUnique/>
      </w:docPartObj>
    </w:sdtPr>
    <w:sdtEndPr>
      <w:rPr>
        <w:noProof/>
      </w:rPr>
    </w:sdtEndPr>
    <w:sdtContent>
      <w:p w14:paraId="23F66817" w14:textId="15E5D930" w:rsidR="00BD4816" w:rsidRDefault="00BD4816">
        <w:pPr>
          <w:pStyle w:val="Footer"/>
          <w:jc w:val="center"/>
          <w:rPr>
            <w:rFonts w:hint="eastAsia"/>
          </w:rPr>
        </w:pPr>
        <w:r>
          <w:fldChar w:fldCharType="begin"/>
        </w:r>
        <w:r>
          <w:instrText xml:space="preserve"> PAGE   \* MERGEFORMAT </w:instrText>
        </w:r>
        <w:r>
          <w:fldChar w:fldCharType="separate"/>
        </w:r>
        <w:r>
          <w:rPr>
            <w:noProof/>
          </w:rPr>
          <w:t>2</w:t>
        </w:r>
        <w:r>
          <w:rPr>
            <w:noProof/>
          </w:rPr>
          <w:fldChar w:fldCharType="end"/>
        </w:r>
      </w:p>
    </w:sdtContent>
  </w:sdt>
  <w:p w14:paraId="3BEFB12E" w14:textId="77777777" w:rsidR="00BD4816" w:rsidRDefault="00BD4816">
    <w:pPr>
      <w:pStyle w:val="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F0BC9" w14:textId="77777777" w:rsidR="00AF7F89" w:rsidRDefault="00AF7F89" w:rsidP="006A563F">
      <w:pPr>
        <w:spacing w:after="0" w:line="240" w:lineRule="auto"/>
        <w:rPr>
          <w:rFonts w:hint="eastAsia"/>
        </w:rPr>
      </w:pPr>
      <w:r>
        <w:separator/>
      </w:r>
    </w:p>
  </w:footnote>
  <w:footnote w:type="continuationSeparator" w:id="0">
    <w:p w14:paraId="56E24879" w14:textId="77777777" w:rsidR="00AF7F89" w:rsidRDefault="00AF7F89" w:rsidP="006A563F">
      <w:pPr>
        <w:spacing w:after="0" w:line="240" w:lineRule="auto"/>
        <w:rPr>
          <w:rFonts w:hint="eastAsia"/>
        </w:rPr>
      </w:pPr>
      <w:r>
        <w:continuationSeparator/>
      </w:r>
    </w:p>
  </w:footnote>
  <w:footnote w:type="continuationNotice" w:id="1">
    <w:p w14:paraId="0EB78CD1" w14:textId="77777777" w:rsidR="00AF7F89" w:rsidRDefault="00AF7F89">
      <w:pPr>
        <w:spacing w:after="0" w:line="240" w:lineRule="auto"/>
        <w:rPr>
          <w:rFonts w:hint="eastAsia"/>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54D1"/>
    <w:multiLevelType w:val="multilevel"/>
    <w:tmpl w:val="4DCAA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242618"/>
    <w:multiLevelType w:val="multilevel"/>
    <w:tmpl w:val="21BA1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810890"/>
    <w:multiLevelType w:val="hybridMultilevel"/>
    <w:tmpl w:val="4E42A4DE"/>
    <w:lvl w:ilvl="0" w:tplc="5CB85FCA">
      <w:start w:val="1"/>
      <w:numFmt w:val="bullet"/>
      <w:lvlText w:val=""/>
      <w:lvlJc w:val="left"/>
      <w:pPr>
        <w:ind w:left="720" w:hanging="360"/>
      </w:pPr>
      <w:rPr>
        <w:rFonts w:ascii="Symbol" w:hAnsi="Symbol" w:hint="default"/>
      </w:rPr>
    </w:lvl>
    <w:lvl w:ilvl="1" w:tplc="522A67E8">
      <w:start w:val="1"/>
      <w:numFmt w:val="bullet"/>
      <w:lvlText w:val="o"/>
      <w:lvlJc w:val="left"/>
      <w:pPr>
        <w:ind w:left="1440" w:hanging="360"/>
      </w:pPr>
      <w:rPr>
        <w:rFonts w:ascii="Courier New" w:hAnsi="Courier New" w:hint="default"/>
      </w:rPr>
    </w:lvl>
    <w:lvl w:ilvl="2" w:tplc="88A80728">
      <w:start w:val="1"/>
      <w:numFmt w:val="bullet"/>
      <w:lvlText w:val=""/>
      <w:lvlJc w:val="left"/>
      <w:pPr>
        <w:ind w:left="2160" w:hanging="360"/>
      </w:pPr>
      <w:rPr>
        <w:rFonts w:ascii="Wingdings" w:hAnsi="Wingdings" w:hint="default"/>
      </w:rPr>
    </w:lvl>
    <w:lvl w:ilvl="3" w:tplc="FA986604">
      <w:start w:val="1"/>
      <w:numFmt w:val="bullet"/>
      <w:lvlText w:val=""/>
      <w:lvlJc w:val="left"/>
      <w:pPr>
        <w:ind w:left="2880" w:hanging="360"/>
      </w:pPr>
      <w:rPr>
        <w:rFonts w:ascii="Symbol" w:hAnsi="Symbol" w:hint="default"/>
      </w:rPr>
    </w:lvl>
    <w:lvl w:ilvl="4" w:tplc="3E4EB650">
      <w:start w:val="1"/>
      <w:numFmt w:val="bullet"/>
      <w:lvlText w:val="o"/>
      <w:lvlJc w:val="left"/>
      <w:pPr>
        <w:ind w:left="3600" w:hanging="360"/>
      </w:pPr>
      <w:rPr>
        <w:rFonts w:ascii="Courier New" w:hAnsi="Courier New" w:hint="default"/>
      </w:rPr>
    </w:lvl>
    <w:lvl w:ilvl="5" w:tplc="9BF478FC">
      <w:start w:val="1"/>
      <w:numFmt w:val="bullet"/>
      <w:lvlText w:val=""/>
      <w:lvlJc w:val="left"/>
      <w:pPr>
        <w:ind w:left="4320" w:hanging="360"/>
      </w:pPr>
      <w:rPr>
        <w:rFonts w:ascii="Wingdings" w:hAnsi="Wingdings" w:hint="default"/>
      </w:rPr>
    </w:lvl>
    <w:lvl w:ilvl="6" w:tplc="D8C498E2">
      <w:start w:val="1"/>
      <w:numFmt w:val="bullet"/>
      <w:lvlText w:val=""/>
      <w:lvlJc w:val="left"/>
      <w:pPr>
        <w:ind w:left="5040" w:hanging="360"/>
      </w:pPr>
      <w:rPr>
        <w:rFonts w:ascii="Symbol" w:hAnsi="Symbol" w:hint="default"/>
      </w:rPr>
    </w:lvl>
    <w:lvl w:ilvl="7" w:tplc="97F646CA">
      <w:start w:val="1"/>
      <w:numFmt w:val="bullet"/>
      <w:lvlText w:val="o"/>
      <w:lvlJc w:val="left"/>
      <w:pPr>
        <w:ind w:left="5760" w:hanging="360"/>
      </w:pPr>
      <w:rPr>
        <w:rFonts w:ascii="Courier New" w:hAnsi="Courier New" w:hint="default"/>
      </w:rPr>
    </w:lvl>
    <w:lvl w:ilvl="8" w:tplc="1B4EEE34">
      <w:start w:val="1"/>
      <w:numFmt w:val="bullet"/>
      <w:lvlText w:val=""/>
      <w:lvlJc w:val="left"/>
      <w:pPr>
        <w:ind w:left="6480" w:hanging="360"/>
      </w:pPr>
      <w:rPr>
        <w:rFonts w:ascii="Wingdings" w:hAnsi="Wingdings" w:hint="default"/>
      </w:rPr>
    </w:lvl>
  </w:abstractNum>
  <w:abstractNum w:abstractNumId="3" w15:restartNumberingAfterBreak="0">
    <w:nsid w:val="16200214"/>
    <w:multiLevelType w:val="hybridMultilevel"/>
    <w:tmpl w:val="022A4C7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390B58B1"/>
    <w:multiLevelType w:val="hybridMultilevel"/>
    <w:tmpl w:val="D1A2BFD4"/>
    <w:lvl w:ilvl="0" w:tplc="D19E39EA">
      <w:start w:val="1"/>
      <w:numFmt w:val="bullet"/>
      <w:lvlText w:val=""/>
      <w:lvlJc w:val="left"/>
      <w:pPr>
        <w:ind w:left="720" w:hanging="360"/>
      </w:pPr>
      <w:rPr>
        <w:rFonts w:ascii="Symbol" w:hAnsi="Symbol" w:hint="default"/>
      </w:rPr>
    </w:lvl>
    <w:lvl w:ilvl="1" w:tplc="0F6C0456">
      <w:start w:val="1"/>
      <w:numFmt w:val="bullet"/>
      <w:lvlText w:val="o"/>
      <w:lvlJc w:val="left"/>
      <w:pPr>
        <w:ind w:left="1440" w:hanging="360"/>
      </w:pPr>
      <w:rPr>
        <w:rFonts w:ascii="Courier New" w:hAnsi="Courier New" w:hint="default"/>
      </w:rPr>
    </w:lvl>
    <w:lvl w:ilvl="2" w:tplc="CD98DECA">
      <w:start w:val="1"/>
      <w:numFmt w:val="bullet"/>
      <w:lvlText w:val=""/>
      <w:lvlJc w:val="left"/>
      <w:pPr>
        <w:ind w:left="2160" w:hanging="360"/>
      </w:pPr>
      <w:rPr>
        <w:rFonts w:ascii="Wingdings" w:hAnsi="Wingdings" w:hint="default"/>
      </w:rPr>
    </w:lvl>
    <w:lvl w:ilvl="3" w:tplc="85629274">
      <w:start w:val="1"/>
      <w:numFmt w:val="bullet"/>
      <w:lvlText w:val=""/>
      <w:lvlJc w:val="left"/>
      <w:pPr>
        <w:ind w:left="2880" w:hanging="360"/>
      </w:pPr>
      <w:rPr>
        <w:rFonts w:ascii="Symbol" w:hAnsi="Symbol" w:hint="default"/>
      </w:rPr>
    </w:lvl>
    <w:lvl w:ilvl="4" w:tplc="01E89A42">
      <w:start w:val="1"/>
      <w:numFmt w:val="bullet"/>
      <w:lvlText w:val="o"/>
      <w:lvlJc w:val="left"/>
      <w:pPr>
        <w:ind w:left="3600" w:hanging="360"/>
      </w:pPr>
      <w:rPr>
        <w:rFonts w:ascii="Courier New" w:hAnsi="Courier New" w:hint="default"/>
      </w:rPr>
    </w:lvl>
    <w:lvl w:ilvl="5" w:tplc="79122200">
      <w:start w:val="1"/>
      <w:numFmt w:val="bullet"/>
      <w:lvlText w:val=""/>
      <w:lvlJc w:val="left"/>
      <w:pPr>
        <w:ind w:left="4320" w:hanging="360"/>
      </w:pPr>
      <w:rPr>
        <w:rFonts w:ascii="Wingdings" w:hAnsi="Wingdings" w:hint="default"/>
      </w:rPr>
    </w:lvl>
    <w:lvl w:ilvl="6" w:tplc="C0C0038A">
      <w:start w:val="1"/>
      <w:numFmt w:val="bullet"/>
      <w:lvlText w:val=""/>
      <w:lvlJc w:val="left"/>
      <w:pPr>
        <w:ind w:left="5040" w:hanging="360"/>
      </w:pPr>
      <w:rPr>
        <w:rFonts w:ascii="Symbol" w:hAnsi="Symbol" w:hint="default"/>
      </w:rPr>
    </w:lvl>
    <w:lvl w:ilvl="7" w:tplc="0CAEADEE">
      <w:start w:val="1"/>
      <w:numFmt w:val="bullet"/>
      <w:lvlText w:val="o"/>
      <w:lvlJc w:val="left"/>
      <w:pPr>
        <w:ind w:left="5760" w:hanging="360"/>
      </w:pPr>
      <w:rPr>
        <w:rFonts w:ascii="Courier New" w:hAnsi="Courier New" w:hint="default"/>
      </w:rPr>
    </w:lvl>
    <w:lvl w:ilvl="8" w:tplc="07EC486C">
      <w:start w:val="1"/>
      <w:numFmt w:val="bullet"/>
      <w:lvlText w:val=""/>
      <w:lvlJc w:val="left"/>
      <w:pPr>
        <w:ind w:left="6480" w:hanging="360"/>
      </w:pPr>
      <w:rPr>
        <w:rFonts w:ascii="Wingdings" w:hAnsi="Wingdings" w:hint="default"/>
      </w:rPr>
    </w:lvl>
  </w:abstractNum>
  <w:abstractNum w:abstractNumId="5" w15:restartNumberingAfterBreak="0">
    <w:nsid w:val="43FA20D4"/>
    <w:multiLevelType w:val="multilevel"/>
    <w:tmpl w:val="54442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09358C"/>
    <w:multiLevelType w:val="multilevel"/>
    <w:tmpl w:val="17B25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C005AF7"/>
    <w:multiLevelType w:val="multilevel"/>
    <w:tmpl w:val="F620D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1972787">
    <w:abstractNumId w:val="0"/>
  </w:num>
  <w:num w:numId="2" w16cid:durableId="1414280490">
    <w:abstractNumId w:val="6"/>
  </w:num>
  <w:num w:numId="3" w16cid:durableId="1064259975">
    <w:abstractNumId w:val="5"/>
  </w:num>
  <w:num w:numId="4" w16cid:durableId="1090008153">
    <w:abstractNumId w:val="7"/>
  </w:num>
  <w:num w:numId="5" w16cid:durableId="713042924">
    <w:abstractNumId w:val="1"/>
  </w:num>
  <w:num w:numId="6" w16cid:durableId="51001191">
    <w:abstractNumId w:val="4"/>
  </w:num>
  <w:num w:numId="7" w16cid:durableId="692802355">
    <w:abstractNumId w:val="2"/>
  </w:num>
  <w:num w:numId="8" w16cid:durableId="254953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63F"/>
    <w:rsid w:val="00001C4B"/>
    <w:rsid w:val="00001C84"/>
    <w:rsid w:val="000029B0"/>
    <w:rsid w:val="00002B73"/>
    <w:rsid w:val="00002C26"/>
    <w:rsid w:val="00002D3A"/>
    <w:rsid w:val="00002F40"/>
    <w:rsid w:val="00003564"/>
    <w:rsid w:val="0000374F"/>
    <w:rsid w:val="00005B05"/>
    <w:rsid w:val="000063BD"/>
    <w:rsid w:val="00006D87"/>
    <w:rsid w:val="000077D2"/>
    <w:rsid w:val="00007BC4"/>
    <w:rsid w:val="0001030B"/>
    <w:rsid w:val="00011895"/>
    <w:rsid w:val="00013040"/>
    <w:rsid w:val="00013D42"/>
    <w:rsid w:val="000158DF"/>
    <w:rsid w:val="00017C27"/>
    <w:rsid w:val="00020ABE"/>
    <w:rsid w:val="00020CCE"/>
    <w:rsid w:val="00021EEC"/>
    <w:rsid w:val="00021FBE"/>
    <w:rsid w:val="0002287C"/>
    <w:rsid w:val="00023D70"/>
    <w:rsid w:val="000249DC"/>
    <w:rsid w:val="0002544E"/>
    <w:rsid w:val="000259DE"/>
    <w:rsid w:val="00025EF9"/>
    <w:rsid w:val="000262F5"/>
    <w:rsid w:val="0002BFB3"/>
    <w:rsid w:val="00030CA8"/>
    <w:rsid w:val="00032C67"/>
    <w:rsid w:val="00035462"/>
    <w:rsid w:val="0003649C"/>
    <w:rsid w:val="00036539"/>
    <w:rsid w:val="00036A98"/>
    <w:rsid w:val="00036B88"/>
    <w:rsid w:val="000372E3"/>
    <w:rsid w:val="00037CA7"/>
    <w:rsid w:val="00037F16"/>
    <w:rsid w:val="00040086"/>
    <w:rsid w:val="0004216E"/>
    <w:rsid w:val="00042F8B"/>
    <w:rsid w:val="00043842"/>
    <w:rsid w:val="00044530"/>
    <w:rsid w:val="00045DDD"/>
    <w:rsid w:val="000475D5"/>
    <w:rsid w:val="00047BC6"/>
    <w:rsid w:val="00050152"/>
    <w:rsid w:val="00050418"/>
    <w:rsid w:val="00051E6F"/>
    <w:rsid w:val="000538B6"/>
    <w:rsid w:val="00054EF7"/>
    <w:rsid w:val="0005514C"/>
    <w:rsid w:val="00055CDC"/>
    <w:rsid w:val="00055DDD"/>
    <w:rsid w:val="000570F9"/>
    <w:rsid w:val="000605E7"/>
    <w:rsid w:val="00061B68"/>
    <w:rsid w:val="000629B3"/>
    <w:rsid w:val="00063035"/>
    <w:rsid w:val="00063909"/>
    <w:rsid w:val="00064310"/>
    <w:rsid w:val="00064DDD"/>
    <w:rsid w:val="00064E63"/>
    <w:rsid w:val="00065A32"/>
    <w:rsid w:val="000674DA"/>
    <w:rsid w:val="00070669"/>
    <w:rsid w:val="00071427"/>
    <w:rsid w:val="000733B1"/>
    <w:rsid w:val="0007343B"/>
    <w:rsid w:val="00075668"/>
    <w:rsid w:val="000757C3"/>
    <w:rsid w:val="000800CA"/>
    <w:rsid w:val="0008185B"/>
    <w:rsid w:val="00081B08"/>
    <w:rsid w:val="000821DB"/>
    <w:rsid w:val="00082A90"/>
    <w:rsid w:val="00084481"/>
    <w:rsid w:val="000847D5"/>
    <w:rsid w:val="00084D4C"/>
    <w:rsid w:val="000850C9"/>
    <w:rsid w:val="00085AD9"/>
    <w:rsid w:val="00086A71"/>
    <w:rsid w:val="00087EB5"/>
    <w:rsid w:val="000903AC"/>
    <w:rsid w:val="00091C1D"/>
    <w:rsid w:val="000923F9"/>
    <w:rsid w:val="000927B7"/>
    <w:rsid w:val="000931D9"/>
    <w:rsid w:val="0009507E"/>
    <w:rsid w:val="000964FF"/>
    <w:rsid w:val="00096C63"/>
    <w:rsid w:val="00096DCF"/>
    <w:rsid w:val="00097C96"/>
    <w:rsid w:val="00097FC0"/>
    <w:rsid w:val="000A0D1A"/>
    <w:rsid w:val="000A12C3"/>
    <w:rsid w:val="000A385F"/>
    <w:rsid w:val="000A495D"/>
    <w:rsid w:val="000A5276"/>
    <w:rsid w:val="000A6160"/>
    <w:rsid w:val="000A6F61"/>
    <w:rsid w:val="000A7083"/>
    <w:rsid w:val="000B2B2D"/>
    <w:rsid w:val="000B2B36"/>
    <w:rsid w:val="000B4D96"/>
    <w:rsid w:val="000B5048"/>
    <w:rsid w:val="000B5FD3"/>
    <w:rsid w:val="000B6163"/>
    <w:rsid w:val="000B6230"/>
    <w:rsid w:val="000B623F"/>
    <w:rsid w:val="000B6DBE"/>
    <w:rsid w:val="000C05DD"/>
    <w:rsid w:val="000C36AB"/>
    <w:rsid w:val="000C36FF"/>
    <w:rsid w:val="000C39C5"/>
    <w:rsid w:val="000C3C48"/>
    <w:rsid w:val="000C432E"/>
    <w:rsid w:val="000C4346"/>
    <w:rsid w:val="000C4F61"/>
    <w:rsid w:val="000C4F89"/>
    <w:rsid w:val="000C5042"/>
    <w:rsid w:val="000C6AB0"/>
    <w:rsid w:val="000C6C78"/>
    <w:rsid w:val="000C6EE1"/>
    <w:rsid w:val="000D0E65"/>
    <w:rsid w:val="000D0E7B"/>
    <w:rsid w:val="000D24CF"/>
    <w:rsid w:val="000D2548"/>
    <w:rsid w:val="000D2B49"/>
    <w:rsid w:val="000D2FC6"/>
    <w:rsid w:val="000D3A39"/>
    <w:rsid w:val="000D4121"/>
    <w:rsid w:val="000D6B82"/>
    <w:rsid w:val="000E1F44"/>
    <w:rsid w:val="000E486F"/>
    <w:rsid w:val="000E7E8F"/>
    <w:rsid w:val="000F09A2"/>
    <w:rsid w:val="000F09D5"/>
    <w:rsid w:val="000F0DE2"/>
    <w:rsid w:val="000F2C22"/>
    <w:rsid w:val="000F5CD4"/>
    <w:rsid w:val="000F6C6E"/>
    <w:rsid w:val="000F7C33"/>
    <w:rsid w:val="001012ED"/>
    <w:rsid w:val="0010139E"/>
    <w:rsid w:val="001016AC"/>
    <w:rsid w:val="0010263E"/>
    <w:rsid w:val="00102F2D"/>
    <w:rsid w:val="00103EF0"/>
    <w:rsid w:val="00104011"/>
    <w:rsid w:val="00104DAC"/>
    <w:rsid w:val="001067C2"/>
    <w:rsid w:val="00107546"/>
    <w:rsid w:val="00107596"/>
    <w:rsid w:val="00111107"/>
    <w:rsid w:val="00111154"/>
    <w:rsid w:val="001131B3"/>
    <w:rsid w:val="001145D6"/>
    <w:rsid w:val="00115EC7"/>
    <w:rsid w:val="001166DF"/>
    <w:rsid w:val="001169CE"/>
    <w:rsid w:val="00116CCF"/>
    <w:rsid w:val="00116E38"/>
    <w:rsid w:val="001171FE"/>
    <w:rsid w:val="00117200"/>
    <w:rsid w:val="00117865"/>
    <w:rsid w:val="00119FE2"/>
    <w:rsid w:val="001200E9"/>
    <w:rsid w:val="001215F9"/>
    <w:rsid w:val="00121E07"/>
    <w:rsid w:val="00123FCA"/>
    <w:rsid w:val="00125D9C"/>
    <w:rsid w:val="001275F8"/>
    <w:rsid w:val="0013024D"/>
    <w:rsid w:val="00130B0A"/>
    <w:rsid w:val="0013176C"/>
    <w:rsid w:val="00131C5E"/>
    <w:rsid w:val="00133808"/>
    <w:rsid w:val="0013438E"/>
    <w:rsid w:val="00134A0A"/>
    <w:rsid w:val="00140231"/>
    <w:rsid w:val="00140478"/>
    <w:rsid w:val="00140B7B"/>
    <w:rsid w:val="00141D73"/>
    <w:rsid w:val="00143963"/>
    <w:rsid w:val="00143B0B"/>
    <w:rsid w:val="00144B29"/>
    <w:rsid w:val="00145B5C"/>
    <w:rsid w:val="00146F2D"/>
    <w:rsid w:val="00147FE6"/>
    <w:rsid w:val="00151801"/>
    <w:rsid w:val="00153732"/>
    <w:rsid w:val="00153D99"/>
    <w:rsid w:val="00154274"/>
    <w:rsid w:val="00154D49"/>
    <w:rsid w:val="00154FD6"/>
    <w:rsid w:val="00155360"/>
    <w:rsid w:val="00155EB9"/>
    <w:rsid w:val="00157A76"/>
    <w:rsid w:val="00157A81"/>
    <w:rsid w:val="00160768"/>
    <w:rsid w:val="00160E32"/>
    <w:rsid w:val="00162873"/>
    <w:rsid w:val="00163F3B"/>
    <w:rsid w:val="00166119"/>
    <w:rsid w:val="001663E0"/>
    <w:rsid w:val="00170D35"/>
    <w:rsid w:val="00171DB5"/>
    <w:rsid w:val="00171FAC"/>
    <w:rsid w:val="001726AD"/>
    <w:rsid w:val="00173237"/>
    <w:rsid w:val="001749B9"/>
    <w:rsid w:val="00175C45"/>
    <w:rsid w:val="001761F5"/>
    <w:rsid w:val="0018150E"/>
    <w:rsid w:val="00181D47"/>
    <w:rsid w:val="00182266"/>
    <w:rsid w:val="00182F2C"/>
    <w:rsid w:val="00184033"/>
    <w:rsid w:val="001845DC"/>
    <w:rsid w:val="00185987"/>
    <w:rsid w:val="00185ED7"/>
    <w:rsid w:val="001863C6"/>
    <w:rsid w:val="00186B00"/>
    <w:rsid w:val="00186EC2"/>
    <w:rsid w:val="00187665"/>
    <w:rsid w:val="0019279E"/>
    <w:rsid w:val="00194D55"/>
    <w:rsid w:val="00194F4F"/>
    <w:rsid w:val="00195242"/>
    <w:rsid w:val="00195621"/>
    <w:rsid w:val="00195F19"/>
    <w:rsid w:val="00197ADB"/>
    <w:rsid w:val="001A050F"/>
    <w:rsid w:val="001A0E02"/>
    <w:rsid w:val="001A2E07"/>
    <w:rsid w:val="001A477C"/>
    <w:rsid w:val="001A49FE"/>
    <w:rsid w:val="001A50C1"/>
    <w:rsid w:val="001A7201"/>
    <w:rsid w:val="001A7DA2"/>
    <w:rsid w:val="001A7E72"/>
    <w:rsid w:val="001B2954"/>
    <w:rsid w:val="001B50FC"/>
    <w:rsid w:val="001B6351"/>
    <w:rsid w:val="001B6E2C"/>
    <w:rsid w:val="001C1682"/>
    <w:rsid w:val="001C3B7B"/>
    <w:rsid w:val="001C47FE"/>
    <w:rsid w:val="001C480E"/>
    <w:rsid w:val="001C4D5A"/>
    <w:rsid w:val="001C4DB7"/>
    <w:rsid w:val="001C4E88"/>
    <w:rsid w:val="001C7857"/>
    <w:rsid w:val="001C7C80"/>
    <w:rsid w:val="001D16E8"/>
    <w:rsid w:val="001D19F8"/>
    <w:rsid w:val="001D2236"/>
    <w:rsid w:val="001D2941"/>
    <w:rsid w:val="001D34DD"/>
    <w:rsid w:val="001D4433"/>
    <w:rsid w:val="001D5217"/>
    <w:rsid w:val="001D5220"/>
    <w:rsid w:val="001D5A87"/>
    <w:rsid w:val="001D6113"/>
    <w:rsid w:val="001D61C2"/>
    <w:rsid w:val="001D6C14"/>
    <w:rsid w:val="001E0EB1"/>
    <w:rsid w:val="001E1B4E"/>
    <w:rsid w:val="001E1EEF"/>
    <w:rsid w:val="001E2B91"/>
    <w:rsid w:val="001E31CC"/>
    <w:rsid w:val="001E3CE6"/>
    <w:rsid w:val="001E5B63"/>
    <w:rsid w:val="001F1716"/>
    <w:rsid w:val="001F39C9"/>
    <w:rsid w:val="001F4178"/>
    <w:rsid w:val="001F45AA"/>
    <w:rsid w:val="001F5ED7"/>
    <w:rsid w:val="001F6648"/>
    <w:rsid w:val="001F6A92"/>
    <w:rsid w:val="001F6EB2"/>
    <w:rsid w:val="002003BA"/>
    <w:rsid w:val="002004FD"/>
    <w:rsid w:val="00200AA4"/>
    <w:rsid w:val="002010F5"/>
    <w:rsid w:val="002022E4"/>
    <w:rsid w:val="0020277B"/>
    <w:rsid w:val="002048C4"/>
    <w:rsid w:val="0020511C"/>
    <w:rsid w:val="00205CFE"/>
    <w:rsid w:val="00206197"/>
    <w:rsid w:val="0020642A"/>
    <w:rsid w:val="00212B90"/>
    <w:rsid w:val="00214F3B"/>
    <w:rsid w:val="0021579F"/>
    <w:rsid w:val="002178F7"/>
    <w:rsid w:val="00217C4B"/>
    <w:rsid w:val="00220169"/>
    <w:rsid w:val="00220482"/>
    <w:rsid w:val="00221C45"/>
    <w:rsid w:val="00221EFE"/>
    <w:rsid w:val="002228A7"/>
    <w:rsid w:val="00224557"/>
    <w:rsid w:val="00225137"/>
    <w:rsid w:val="00225430"/>
    <w:rsid w:val="002255FE"/>
    <w:rsid w:val="002279D8"/>
    <w:rsid w:val="002300A3"/>
    <w:rsid w:val="0023067F"/>
    <w:rsid w:val="002307B4"/>
    <w:rsid w:val="00230CC3"/>
    <w:rsid w:val="00230D37"/>
    <w:rsid w:val="00232B4A"/>
    <w:rsid w:val="00232E76"/>
    <w:rsid w:val="002349D7"/>
    <w:rsid w:val="00235D81"/>
    <w:rsid w:val="00236196"/>
    <w:rsid w:val="00237F47"/>
    <w:rsid w:val="00240803"/>
    <w:rsid w:val="00241501"/>
    <w:rsid w:val="00241510"/>
    <w:rsid w:val="00242078"/>
    <w:rsid w:val="00242148"/>
    <w:rsid w:val="0024296D"/>
    <w:rsid w:val="00242CE5"/>
    <w:rsid w:val="00244635"/>
    <w:rsid w:val="00245026"/>
    <w:rsid w:val="0024658C"/>
    <w:rsid w:val="002476E1"/>
    <w:rsid w:val="00247BFA"/>
    <w:rsid w:val="00247C42"/>
    <w:rsid w:val="0025064F"/>
    <w:rsid w:val="0025080D"/>
    <w:rsid w:val="00250FC2"/>
    <w:rsid w:val="0025118C"/>
    <w:rsid w:val="00251D5A"/>
    <w:rsid w:val="00251EE6"/>
    <w:rsid w:val="00253062"/>
    <w:rsid w:val="00253283"/>
    <w:rsid w:val="00253333"/>
    <w:rsid w:val="00256FDC"/>
    <w:rsid w:val="0025719F"/>
    <w:rsid w:val="00257A46"/>
    <w:rsid w:val="002609DE"/>
    <w:rsid w:val="0026375F"/>
    <w:rsid w:val="00264507"/>
    <w:rsid w:val="002650C6"/>
    <w:rsid w:val="00266336"/>
    <w:rsid w:val="002679F2"/>
    <w:rsid w:val="002720CB"/>
    <w:rsid w:val="00272952"/>
    <w:rsid w:val="0027370A"/>
    <w:rsid w:val="0027389E"/>
    <w:rsid w:val="00273AE6"/>
    <w:rsid w:val="0027472B"/>
    <w:rsid w:val="002756E4"/>
    <w:rsid w:val="00275D5F"/>
    <w:rsid w:val="00276362"/>
    <w:rsid w:val="00276A54"/>
    <w:rsid w:val="00277C36"/>
    <w:rsid w:val="002805C1"/>
    <w:rsid w:val="002807A8"/>
    <w:rsid w:val="0028145E"/>
    <w:rsid w:val="00281ADD"/>
    <w:rsid w:val="002829FA"/>
    <w:rsid w:val="002830E7"/>
    <w:rsid w:val="00285CE4"/>
    <w:rsid w:val="00285E96"/>
    <w:rsid w:val="002907FA"/>
    <w:rsid w:val="0029282B"/>
    <w:rsid w:val="002939F2"/>
    <w:rsid w:val="002962C0"/>
    <w:rsid w:val="00296D18"/>
    <w:rsid w:val="002974B2"/>
    <w:rsid w:val="00297FEB"/>
    <w:rsid w:val="002A083A"/>
    <w:rsid w:val="002A091D"/>
    <w:rsid w:val="002A1418"/>
    <w:rsid w:val="002A16E8"/>
    <w:rsid w:val="002A2EB0"/>
    <w:rsid w:val="002A4950"/>
    <w:rsid w:val="002A5A23"/>
    <w:rsid w:val="002A5AA0"/>
    <w:rsid w:val="002A704C"/>
    <w:rsid w:val="002A75FD"/>
    <w:rsid w:val="002B0F9D"/>
    <w:rsid w:val="002B14A5"/>
    <w:rsid w:val="002B1B02"/>
    <w:rsid w:val="002B24BD"/>
    <w:rsid w:val="002B6385"/>
    <w:rsid w:val="002B6C47"/>
    <w:rsid w:val="002B7155"/>
    <w:rsid w:val="002B7586"/>
    <w:rsid w:val="002B79D3"/>
    <w:rsid w:val="002B7E67"/>
    <w:rsid w:val="002C0186"/>
    <w:rsid w:val="002C01DA"/>
    <w:rsid w:val="002C0DA9"/>
    <w:rsid w:val="002C1AA2"/>
    <w:rsid w:val="002C2296"/>
    <w:rsid w:val="002C2528"/>
    <w:rsid w:val="002C27C8"/>
    <w:rsid w:val="002C2A77"/>
    <w:rsid w:val="002C5361"/>
    <w:rsid w:val="002D0AA8"/>
    <w:rsid w:val="002D17FF"/>
    <w:rsid w:val="002D1C09"/>
    <w:rsid w:val="002D2A9C"/>
    <w:rsid w:val="002D324D"/>
    <w:rsid w:val="002D4B9E"/>
    <w:rsid w:val="002D5D2D"/>
    <w:rsid w:val="002E0468"/>
    <w:rsid w:val="002E087B"/>
    <w:rsid w:val="002E13E1"/>
    <w:rsid w:val="002E1C54"/>
    <w:rsid w:val="002E36E7"/>
    <w:rsid w:val="002E5EFB"/>
    <w:rsid w:val="002E6287"/>
    <w:rsid w:val="002E6E62"/>
    <w:rsid w:val="002F041A"/>
    <w:rsid w:val="002F074E"/>
    <w:rsid w:val="002F1670"/>
    <w:rsid w:val="002F3575"/>
    <w:rsid w:val="002F4035"/>
    <w:rsid w:val="002F5BA7"/>
    <w:rsid w:val="002F759D"/>
    <w:rsid w:val="002F7645"/>
    <w:rsid w:val="002F7716"/>
    <w:rsid w:val="002F7CBD"/>
    <w:rsid w:val="00301185"/>
    <w:rsid w:val="003016BF"/>
    <w:rsid w:val="00301C06"/>
    <w:rsid w:val="00301FF4"/>
    <w:rsid w:val="00302042"/>
    <w:rsid w:val="00302E0B"/>
    <w:rsid w:val="00303EAE"/>
    <w:rsid w:val="003040C7"/>
    <w:rsid w:val="003046CF"/>
    <w:rsid w:val="003063A7"/>
    <w:rsid w:val="00307797"/>
    <w:rsid w:val="00307E4E"/>
    <w:rsid w:val="003106D7"/>
    <w:rsid w:val="00310945"/>
    <w:rsid w:val="00311030"/>
    <w:rsid w:val="003117F0"/>
    <w:rsid w:val="003131FF"/>
    <w:rsid w:val="003141FD"/>
    <w:rsid w:val="00315185"/>
    <w:rsid w:val="0032188A"/>
    <w:rsid w:val="00321B03"/>
    <w:rsid w:val="00321EBE"/>
    <w:rsid w:val="0032345C"/>
    <w:rsid w:val="0032382D"/>
    <w:rsid w:val="00325D0B"/>
    <w:rsid w:val="00326DC7"/>
    <w:rsid w:val="00327620"/>
    <w:rsid w:val="00330CAC"/>
    <w:rsid w:val="0033124A"/>
    <w:rsid w:val="00331A3B"/>
    <w:rsid w:val="00331EA7"/>
    <w:rsid w:val="003323D6"/>
    <w:rsid w:val="00334545"/>
    <w:rsid w:val="00334811"/>
    <w:rsid w:val="00334CF0"/>
    <w:rsid w:val="003351E2"/>
    <w:rsid w:val="00336DE1"/>
    <w:rsid w:val="00336FE6"/>
    <w:rsid w:val="003378EB"/>
    <w:rsid w:val="00340E19"/>
    <w:rsid w:val="00340F42"/>
    <w:rsid w:val="00341748"/>
    <w:rsid w:val="00342485"/>
    <w:rsid w:val="00343DB3"/>
    <w:rsid w:val="00344009"/>
    <w:rsid w:val="00344988"/>
    <w:rsid w:val="003451DF"/>
    <w:rsid w:val="00345A20"/>
    <w:rsid w:val="00345BA7"/>
    <w:rsid w:val="003478AD"/>
    <w:rsid w:val="00350160"/>
    <w:rsid w:val="00351D26"/>
    <w:rsid w:val="00351DF4"/>
    <w:rsid w:val="003523E7"/>
    <w:rsid w:val="00352812"/>
    <w:rsid w:val="00353D6C"/>
    <w:rsid w:val="003542DD"/>
    <w:rsid w:val="00354637"/>
    <w:rsid w:val="003546A8"/>
    <w:rsid w:val="00355607"/>
    <w:rsid w:val="00355FA7"/>
    <w:rsid w:val="003560CE"/>
    <w:rsid w:val="003609B5"/>
    <w:rsid w:val="00360B66"/>
    <w:rsid w:val="00361A16"/>
    <w:rsid w:val="00363833"/>
    <w:rsid w:val="003645F7"/>
    <w:rsid w:val="003650AC"/>
    <w:rsid w:val="003668FC"/>
    <w:rsid w:val="00367344"/>
    <w:rsid w:val="0036734A"/>
    <w:rsid w:val="0036756D"/>
    <w:rsid w:val="0037006E"/>
    <w:rsid w:val="0037047F"/>
    <w:rsid w:val="003734A4"/>
    <w:rsid w:val="0037366B"/>
    <w:rsid w:val="00373955"/>
    <w:rsid w:val="00373F3F"/>
    <w:rsid w:val="00374D19"/>
    <w:rsid w:val="00376D0F"/>
    <w:rsid w:val="003774D6"/>
    <w:rsid w:val="00380D49"/>
    <w:rsid w:val="003828D9"/>
    <w:rsid w:val="00382B84"/>
    <w:rsid w:val="0038500D"/>
    <w:rsid w:val="003854F3"/>
    <w:rsid w:val="00385ADB"/>
    <w:rsid w:val="0038630F"/>
    <w:rsid w:val="00387627"/>
    <w:rsid w:val="00387DFD"/>
    <w:rsid w:val="00387E9F"/>
    <w:rsid w:val="0039129B"/>
    <w:rsid w:val="0039179B"/>
    <w:rsid w:val="003924ED"/>
    <w:rsid w:val="00392590"/>
    <w:rsid w:val="00393304"/>
    <w:rsid w:val="00394975"/>
    <w:rsid w:val="00394F70"/>
    <w:rsid w:val="00395E86"/>
    <w:rsid w:val="003A0C5C"/>
    <w:rsid w:val="003A12E7"/>
    <w:rsid w:val="003A18F1"/>
    <w:rsid w:val="003A3430"/>
    <w:rsid w:val="003A3A38"/>
    <w:rsid w:val="003A4224"/>
    <w:rsid w:val="003A52A8"/>
    <w:rsid w:val="003A661A"/>
    <w:rsid w:val="003A6C9E"/>
    <w:rsid w:val="003A7DE4"/>
    <w:rsid w:val="003B0BB7"/>
    <w:rsid w:val="003B2615"/>
    <w:rsid w:val="003B3084"/>
    <w:rsid w:val="003B4ABF"/>
    <w:rsid w:val="003B5573"/>
    <w:rsid w:val="003C1642"/>
    <w:rsid w:val="003C20F1"/>
    <w:rsid w:val="003C2349"/>
    <w:rsid w:val="003C2D77"/>
    <w:rsid w:val="003C40DB"/>
    <w:rsid w:val="003C486D"/>
    <w:rsid w:val="003C4EC2"/>
    <w:rsid w:val="003C569D"/>
    <w:rsid w:val="003C57CF"/>
    <w:rsid w:val="003C7A96"/>
    <w:rsid w:val="003D048B"/>
    <w:rsid w:val="003D04CA"/>
    <w:rsid w:val="003D06FE"/>
    <w:rsid w:val="003D0F75"/>
    <w:rsid w:val="003D11F5"/>
    <w:rsid w:val="003D2B95"/>
    <w:rsid w:val="003D2BC4"/>
    <w:rsid w:val="003D418F"/>
    <w:rsid w:val="003D73BB"/>
    <w:rsid w:val="003E00AB"/>
    <w:rsid w:val="003E07D2"/>
    <w:rsid w:val="003E0E29"/>
    <w:rsid w:val="003E1BEF"/>
    <w:rsid w:val="003E20FE"/>
    <w:rsid w:val="003E2362"/>
    <w:rsid w:val="003E2944"/>
    <w:rsid w:val="003E46F8"/>
    <w:rsid w:val="003E49F1"/>
    <w:rsid w:val="003E4A85"/>
    <w:rsid w:val="003E53E1"/>
    <w:rsid w:val="003E566B"/>
    <w:rsid w:val="003E57E8"/>
    <w:rsid w:val="003E79AC"/>
    <w:rsid w:val="003F30DC"/>
    <w:rsid w:val="003F31F8"/>
    <w:rsid w:val="003F3734"/>
    <w:rsid w:val="003F509D"/>
    <w:rsid w:val="003F6876"/>
    <w:rsid w:val="003F71AC"/>
    <w:rsid w:val="00400074"/>
    <w:rsid w:val="00400A50"/>
    <w:rsid w:val="00404857"/>
    <w:rsid w:val="00404DF2"/>
    <w:rsid w:val="00405A46"/>
    <w:rsid w:val="0040622A"/>
    <w:rsid w:val="00406F2B"/>
    <w:rsid w:val="00410D75"/>
    <w:rsid w:val="004118F8"/>
    <w:rsid w:val="00412E26"/>
    <w:rsid w:val="00412F87"/>
    <w:rsid w:val="00412FB3"/>
    <w:rsid w:val="00413C00"/>
    <w:rsid w:val="004164EB"/>
    <w:rsid w:val="0042094D"/>
    <w:rsid w:val="00420C6B"/>
    <w:rsid w:val="00422660"/>
    <w:rsid w:val="00422F6D"/>
    <w:rsid w:val="004261ED"/>
    <w:rsid w:val="004268B9"/>
    <w:rsid w:val="00426A8C"/>
    <w:rsid w:val="0042783C"/>
    <w:rsid w:val="0042791F"/>
    <w:rsid w:val="004304A5"/>
    <w:rsid w:val="004310F1"/>
    <w:rsid w:val="004315E2"/>
    <w:rsid w:val="00432640"/>
    <w:rsid w:val="004344D2"/>
    <w:rsid w:val="00436AC2"/>
    <w:rsid w:val="00440DE2"/>
    <w:rsid w:val="004420C7"/>
    <w:rsid w:val="00442527"/>
    <w:rsid w:val="004433F3"/>
    <w:rsid w:val="00443619"/>
    <w:rsid w:val="00443DF9"/>
    <w:rsid w:val="00443DFE"/>
    <w:rsid w:val="004455F5"/>
    <w:rsid w:val="00445FFB"/>
    <w:rsid w:val="00446C83"/>
    <w:rsid w:val="00447BF8"/>
    <w:rsid w:val="00450EAD"/>
    <w:rsid w:val="004510D3"/>
    <w:rsid w:val="00453EE7"/>
    <w:rsid w:val="00455E70"/>
    <w:rsid w:val="0045663C"/>
    <w:rsid w:val="00457808"/>
    <w:rsid w:val="0046037D"/>
    <w:rsid w:val="004618EE"/>
    <w:rsid w:val="00461E52"/>
    <w:rsid w:val="00461E58"/>
    <w:rsid w:val="00462317"/>
    <w:rsid w:val="00463699"/>
    <w:rsid w:val="004636C0"/>
    <w:rsid w:val="00463827"/>
    <w:rsid w:val="00463886"/>
    <w:rsid w:val="00463D6C"/>
    <w:rsid w:val="004645F8"/>
    <w:rsid w:val="004647FC"/>
    <w:rsid w:val="00466D6E"/>
    <w:rsid w:val="00466F81"/>
    <w:rsid w:val="00467313"/>
    <w:rsid w:val="004676F0"/>
    <w:rsid w:val="004709D7"/>
    <w:rsid w:val="0047117D"/>
    <w:rsid w:val="004711A3"/>
    <w:rsid w:val="004711EC"/>
    <w:rsid w:val="004722E1"/>
    <w:rsid w:val="0047243E"/>
    <w:rsid w:val="00472B51"/>
    <w:rsid w:val="0047301A"/>
    <w:rsid w:val="00475DDD"/>
    <w:rsid w:val="004775B3"/>
    <w:rsid w:val="0048125C"/>
    <w:rsid w:val="00481FF0"/>
    <w:rsid w:val="00483B70"/>
    <w:rsid w:val="00485408"/>
    <w:rsid w:val="00485700"/>
    <w:rsid w:val="00485EDA"/>
    <w:rsid w:val="00485F92"/>
    <w:rsid w:val="00486702"/>
    <w:rsid w:val="00486720"/>
    <w:rsid w:val="0048677F"/>
    <w:rsid w:val="0048689F"/>
    <w:rsid w:val="004870E9"/>
    <w:rsid w:val="00490CFD"/>
    <w:rsid w:val="00492640"/>
    <w:rsid w:val="00497BD5"/>
    <w:rsid w:val="004A000B"/>
    <w:rsid w:val="004A0DC7"/>
    <w:rsid w:val="004A31BA"/>
    <w:rsid w:val="004A33BA"/>
    <w:rsid w:val="004A4540"/>
    <w:rsid w:val="004A4C2D"/>
    <w:rsid w:val="004A5268"/>
    <w:rsid w:val="004A5694"/>
    <w:rsid w:val="004A5FBA"/>
    <w:rsid w:val="004A6745"/>
    <w:rsid w:val="004A770C"/>
    <w:rsid w:val="004A7D18"/>
    <w:rsid w:val="004A7E73"/>
    <w:rsid w:val="004B1192"/>
    <w:rsid w:val="004B1BAB"/>
    <w:rsid w:val="004B2F83"/>
    <w:rsid w:val="004B3AE7"/>
    <w:rsid w:val="004B7480"/>
    <w:rsid w:val="004C0BA9"/>
    <w:rsid w:val="004C1643"/>
    <w:rsid w:val="004C3DFA"/>
    <w:rsid w:val="004C3E11"/>
    <w:rsid w:val="004C4651"/>
    <w:rsid w:val="004C47FF"/>
    <w:rsid w:val="004C75AA"/>
    <w:rsid w:val="004C765A"/>
    <w:rsid w:val="004C7E3F"/>
    <w:rsid w:val="004D01DD"/>
    <w:rsid w:val="004D0223"/>
    <w:rsid w:val="004D0629"/>
    <w:rsid w:val="004D0E6D"/>
    <w:rsid w:val="004D20C6"/>
    <w:rsid w:val="004D2D4E"/>
    <w:rsid w:val="004D61FB"/>
    <w:rsid w:val="004D6339"/>
    <w:rsid w:val="004D64AA"/>
    <w:rsid w:val="004D6512"/>
    <w:rsid w:val="004D6961"/>
    <w:rsid w:val="004E0C31"/>
    <w:rsid w:val="004E2300"/>
    <w:rsid w:val="004E2BEF"/>
    <w:rsid w:val="004E45C8"/>
    <w:rsid w:val="004E7417"/>
    <w:rsid w:val="004E7610"/>
    <w:rsid w:val="004E7D9C"/>
    <w:rsid w:val="004F38F2"/>
    <w:rsid w:val="004F4187"/>
    <w:rsid w:val="004F4B60"/>
    <w:rsid w:val="004F556C"/>
    <w:rsid w:val="004F592A"/>
    <w:rsid w:val="004F5B04"/>
    <w:rsid w:val="004F5D6C"/>
    <w:rsid w:val="004F7282"/>
    <w:rsid w:val="005000CF"/>
    <w:rsid w:val="0050042C"/>
    <w:rsid w:val="00501507"/>
    <w:rsid w:val="0050279F"/>
    <w:rsid w:val="00503401"/>
    <w:rsid w:val="005037FA"/>
    <w:rsid w:val="00505D32"/>
    <w:rsid w:val="0050629F"/>
    <w:rsid w:val="0050744C"/>
    <w:rsid w:val="00510331"/>
    <w:rsid w:val="005107F9"/>
    <w:rsid w:val="005120C8"/>
    <w:rsid w:val="005136DA"/>
    <w:rsid w:val="0051377F"/>
    <w:rsid w:val="00513A82"/>
    <w:rsid w:val="005157F4"/>
    <w:rsid w:val="00515C59"/>
    <w:rsid w:val="00516177"/>
    <w:rsid w:val="00521B25"/>
    <w:rsid w:val="005224A8"/>
    <w:rsid w:val="00523A21"/>
    <w:rsid w:val="00525D99"/>
    <w:rsid w:val="0052758A"/>
    <w:rsid w:val="005276E9"/>
    <w:rsid w:val="00530782"/>
    <w:rsid w:val="0053345D"/>
    <w:rsid w:val="005349C8"/>
    <w:rsid w:val="00534A17"/>
    <w:rsid w:val="005379A7"/>
    <w:rsid w:val="005411C7"/>
    <w:rsid w:val="00542D48"/>
    <w:rsid w:val="005453D5"/>
    <w:rsid w:val="00545DCA"/>
    <w:rsid w:val="00546AA6"/>
    <w:rsid w:val="00551074"/>
    <w:rsid w:val="005524F4"/>
    <w:rsid w:val="00553565"/>
    <w:rsid w:val="0055532E"/>
    <w:rsid w:val="00555626"/>
    <w:rsid w:val="005602E0"/>
    <w:rsid w:val="00560608"/>
    <w:rsid w:val="00560B87"/>
    <w:rsid w:val="00560D17"/>
    <w:rsid w:val="00561127"/>
    <w:rsid w:val="00563AB2"/>
    <w:rsid w:val="005641D9"/>
    <w:rsid w:val="005653B3"/>
    <w:rsid w:val="00566FA9"/>
    <w:rsid w:val="0056748A"/>
    <w:rsid w:val="005720F8"/>
    <w:rsid w:val="0057224E"/>
    <w:rsid w:val="00572709"/>
    <w:rsid w:val="00572E90"/>
    <w:rsid w:val="0057308E"/>
    <w:rsid w:val="00573C9B"/>
    <w:rsid w:val="005748EB"/>
    <w:rsid w:val="005754BB"/>
    <w:rsid w:val="005762EF"/>
    <w:rsid w:val="00576A9D"/>
    <w:rsid w:val="00576F53"/>
    <w:rsid w:val="005775FE"/>
    <w:rsid w:val="00577A3E"/>
    <w:rsid w:val="005800FA"/>
    <w:rsid w:val="00580B50"/>
    <w:rsid w:val="005810A2"/>
    <w:rsid w:val="00581607"/>
    <w:rsid w:val="0058195A"/>
    <w:rsid w:val="0058445C"/>
    <w:rsid w:val="0058451C"/>
    <w:rsid w:val="005859EE"/>
    <w:rsid w:val="005867EA"/>
    <w:rsid w:val="005873E5"/>
    <w:rsid w:val="005900C7"/>
    <w:rsid w:val="005907C3"/>
    <w:rsid w:val="0059129F"/>
    <w:rsid w:val="0059228E"/>
    <w:rsid w:val="00593663"/>
    <w:rsid w:val="00593EA0"/>
    <w:rsid w:val="00594A0A"/>
    <w:rsid w:val="00597633"/>
    <w:rsid w:val="005A1684"/>
    <w:rsid w:val="005A2909"/>
    <w:rsid w:val="005A29B2"/>
    <w:rsid w:val="005A32A9"/>
    <w:rsid w:val="005A3D19"/>
    <w:rsid w:val="005A4256"/>
    <w:rsid w:val="005A444A"/>
    <w:rsid w:val="005A5336"/>
    <w:rsid w:val="005A62AA"/>
    <w:rsid w:val="005A71C4"/>
    <w:rsid w:val="005A73FC"/>
    <w:rsid w:val="005A7F6A"/>
    <w:rsid w:val="005B000A"/>
    <w:rsid w:val="005B1637"/>
    <w:rsid w:val="005B16F1"/>
    <w:rsid w:val="005B20B5"/>
    <w:rsid w:val="005B3490"/>
    <w:rsid w:val="005B34C7"/>
    <w:rsid w:val="005B3C36"/>
    <w:rsid w:val="005B3F16"/>
    <w:rsid w:val="005B400B"/>
    <w:rsid w:val="005B556F"/>
    <w:rsid w:val="005B613D"/>
    <w:rsid w:val="005B62F6"/>
    <w:rsid w:val="005B72CB"/>
    <w:rsid w:val="005B74CE"/>
    <w:rsid w:val="005C08F6"/>
    <w:rsid w:val="005C14B6"/>
    <w:rsid w:val="005C250D"/>
    <w:rsid w:val="005C2900"/>
    <w:rsid w:val="005C2B82"/>
    <w:rsid w:val="005C2BFC"/>
    <w:rsid w:val="005C35AA"/>
    <w:rsid w:val="005C54C1"/>
    <w:rsid w:val="005C5F28"/>
    <w:rsid w:val="005C6C47"/>
    <w:rsid w:val="005C6DA4"/>
    <w:rsid w:val="005D308A"/>
    <w:rsid w:val="005D3151"/>
    <w:rsid w:val="005D3A0C"/>
    <w:rsid w:val="005D4E14"/>
    <w:rsid w:val="005D4E40"/>
    <w:rsid w:val="005D552A"/>
    <w:rsid w:val="005E01E0"/>
    <w:rsid w:val="005E27BA"/>
    <w:rsid w:val="005E3C22"/>
    <w:rsid w:val="005E3F35"/>
    <w:rsid w:val="005F0DED"/>
    <w:rsid w:val="005F107B"/>
    <w:rsid w:val="005F1838"/>
    <w:rsid w:val="005F395A"/>
    <w:rsid w:val="005F5879"/>
    <w:rsid w:val="005F5DC6"/>
    <w:rsid w:val="005F7D56"/>
    <w:rsid w:val="00605437"/>
    <w:rsid w:val="00605AE3"/>
    <w:rsid w:val="0060699F"/>
    <w:rsid w:val="00606C07"/>
    <w:rsid w:val="00607A0C"/>
    <w:rsid w:val="00607E15"/>
    <w:rsid w:val="00610C46"/>
    <w:rsid w:val="0061233C"/>
    <w:rsid w:val="0061296B"/>
    <w:rsid w:val="006129ED"/>
    <w:rsid w:val="0061328F"/>
    <w:rsid w:val="006139D0"/>
    <w:rsid w:val="00615E79"/>
    <w:rsid w:val="0061664B"/>
    <w:rsid w:val="00616D67"/>
    <w:rsid w:val="0061766F"/>
    <w:rsid w:val="006176FB"/>
    <w:rsid w:val="00620458"/>
    <w:rsid w:val="00620C24"/>
    <w:rsid w:val="00621925"/>
    <w:rsid w:val="0062213C"/>
    <w:rsid w:val="00622155"/>
    <w:rsid w:val="00622A98"/>
    <w:rsid w:val="00622B85"/>
    <w:rsid w:val="00622E60"/>
    <w:rsid w:val="00622EF0"/>
    <w:rsid w:val="0062501F"/>
    <w:rsid w:val="0062534C"/>
    <w:rsid w:val="00625F2A"/>
    <w:rsid w:val="00625F67"/>
    <w:rsid w:val="00626748"/>
    <w:rsid w:val="00626DE0"/>
    <w:rsid w:val="00627239"/>
    <w:rsid w:val="00631B24"/>
    <w:rsid w:val="00631F22"/>
    <w:rsid w:val="00632845"/>
    <w:rsid w:val="0063378C"/>
    <w:rsid w:val="00633CCB"/>
    <w:rsid w:val="00634547"/>
    <w:rsid w:val="0063673C"/>
    <w:rsid w:val="00636D7C"/>
    <w:rsid w:val="0063730D"/>
    <w:rsid w:val="00640F74"/>
    <w:rsid w:val="00641988"/>
    <w:rsid w:val="00641E68"/>
    <w:rsid w:val="006435D5"/>
    <w:rsid w:val="006438F6"/>
    <w:rsid w:val="006449EA"/>
    <w:rsid w:val="00647993"/>
    <w:rsid w:val="006509F1"/>
    <w:rsid w:val="0065134A"/>
    <w:rsid w:val="006515A3"/>
    <w:rsid w:val="00651B19"/>
    <w:rsid w:val="00654662"/>
    <w:rsid w:val="00655DD5"/>
    <w:rsid w:val="00655F38"/>
    <w:rsid w:val="0065713A"/>
    <w:rsid w:val="006575F8"/>
    <w:rsid w:val="00657D3C"/>
    <w:rsid w:val="0066304B"/>
    <w:rsid w:val="0066371F"/>
    <w:rsid w:val="006640C9"/>
    <w:rsid w:val="00664627"/>
    <w:rsid w:val="00665544"/>
    <w:rsid w:val="0067067C"/>
    <w:rsid w:val="00672CD9"/>
    <w:rsid w:val="00674070"/>
    <w:rsid w:val="00676E0C"/>
    <w:rsid w:val="00680F40"/>
    <w:rsid w:val="00682523"/>
    <w:rsid w:val="006829FA"/>
    <w:rsid w:val="006834F5"/>
    <w:rsid w:val="00684B79"/>
    <w:rsid w:val="00684F71"/>
    <w:rsid w:val="0068635B"/>
    <w:rsid w:val="00687222"/>
    <w:rsid w:val="006878CC"/>
    <w:rsid w:val="006928AC"/>
    <w:rsid w:val="006932AF"/>
    <w:rsid w:val="0069737B"/>
    <w:rsid w:val="006A00BC"/>
    <w:rsid w:val="006A1BFF"/>
    <w:rsid w:val="006A262D"/>
    <w:rsid w:val="006A2B5D"/>
    <w:rsid w:val="006A2F00"/>
    <w:rsid w:val="006A432C"/>
    <w:rsid w:val="006A444E"/>
    <w:rsid w:val="006A4978"/>
    <w:rsid w:val="006A4EC2"/>
    <w:rsid w:val="006A5179"/>
    <w:rsid w:val="006A563F"/>
    <w:rsid w:val="006A5E99"/>
    <w:rsid w:val="006A634B"/>
    <w:rsid w:val="006A66DA"/>
    <w:rsid w:val="006A68BC"/>
    <w:rsid w:val="006A7A38"/>
    <w:rsid w:val="006B0C74"/>
    <w:rsid w:val="006B1B7E"/>
    <w:rsid w:val="006B2EEE"/>
    <w:rsid w:val="006B30B3"/>
    <w:rsid w:val="006B3274"/>
    <w:rsid w:val="006B4B74"/>
    <w:rsid w:val="006B572F"/>
    <w:rsid w:val="006B601C"/>
    <w:rsid w:val="006B7480"/>
    <w:rsid w:val="006C0327"/>
    <w:rsid w:val="006C0958"/>
    <w:rsid w:val="006C2243"/>
    <w:rsid w:val="006C261C"/>
    <w:rsid w:val="006C315F"/>
    <w:rsid w:val="006C348B"/>
    <w:rsid w:val="006C4897"/>
    <w:rsid w:val="006C53C2"/>
    <w:rsid w:val="006C701A"/>
    <w:rsid w:val="006D0ECE"/>
    <w:rsid w:val="006D1478"/>
    <w:rsid w:val="006D15D0"/>
    <w:rsid w:val="006D1D7B"/>
    <w:rsid w:val="006D2738"/>
    <w:rsid w:val="006D2D40"/>
    <w:rsid w:val="006D3164"/>
    <w:rsid w:val="006D38B2"/>
    <w:rsid w:val="006D3B2C"/>
    <w:rsid w:val="006E0B5F"/>
    <w:rsid w:val="006E0EC4"/>
    <w:rsid w:val="006E2D3E"/>
    <w:rsid w:val="006E31BC"/>
    <w:rsid w:val="006E45A5"/>
    <w:rsid w:val="006E49A6"/>
    <w:rsid w:val="006E59A0"/>
    <w:rsid w:val="006E5FD2"/>
    <w:rsid w:val="006E7078"/>
    <w:rsid w:val="006F103B"/>
    <w:rsid w:val="006F1091"/>
    <w:rsid w:val="006F1574"/>
    <w:rsid w:val="006F1A10"/>
    <w:rsid w:val="006F3C1B"/>
    <w:rsid w:val="006F54A7"/>
    <w:rsid w:val="006F5CB5"/>
    <w:rsid w:val="006F6A70"/>
    <w:rsid w:val="0070124D"/>
    <w:rsid w:val="00702AF9"/>
    <w:rsid w:val="00703BBC"/>
    <w:rsid w:val="007040DC"/>
    <w:rsid w:val="0070445A"/>
    <w:rsid w:val="00704E72"/>
    <w:rsid w:val="00705919"/>
    <w:rsid w:val="00705C3E"/>
    <w:rsid w:val="00706E89"/>
    <w:rsid w:val="00707594"/>
    <w:rsid w:val="00710497"/>
    <w:rsid w:val="0071073E"/>
    <w:rsid w:val="00710B73"/>
    <w:rsid w:val="00711B9C"/>
    <w:rsid w:val="0071267C"/>
    <w:rsid w:val="00714229"/>
    <w:rsid w:val="00714A6A"/>
    <w:rsid w:val="007153E2"/>
    <w:rsid w:val="0071543F"/>
    <w:rsid w:val="007172D5"/>
    <w:rsid w:val="007222FD"/>
    <w:rsid w:val="0072436E"/>
    <w:rsid w:val="00724B57"/>
    <w:rsid w:val="00724D30"/>
    <w:rsid w:val="00724E3A"/>
    <w:rsid w:val="007253AA"/>
    <w:rsid w:val="00725982"/>
    <w:rsid w:val="00726A1C"/>
    <w:rsid w:val="00727374"/>
    <w:rsid w:val="007309B1"/>
    <w:rsid w:val="00730B6D"/>
    <w:rsid w:val="0073135A"/>
    <w:rsid w:val="00731539"/>
    <w:rsid w:val="00731EAE"/>
    <w:rsid w:val="007320C1"/>
    <w:rsid w:val="007324C1"/>
    <w:rsid w:val="00733A14"/>
    <w:rsid w:val="007361C0"/>
    <w:rsid w:val="007362A9"/>
    <w:rsid w:val="00737BE0"/>
    <w:rsid w:val="00741DE9"/>
    <w:rsid w:val="00742D47"/>
    <w:rsid w:val="007446A8"/>
    <w:rsid w:val="00744AC7"/>
    <w:rsid w:val="0074613D"/>
    <w:rsid w:val="007516D6"/>
    <w:rsid w:val="007516DA"/>
    <w:rsid w:val="00751C49"/>
    <w:rsid w:val="007531AC"/>
    <w:rsid w:val="00753CF2"/>
    <w:rsid w:val="00755398"/>
    <w:rsid w:val="007554BD"/>
    <w:rsid w:val="00756096"/>
    <w:rsid w:val="0075740F"/>
    <w:rsid w:val="00760F96"/>
    <w:rsid w:val="00761846"/>
    <w:rsid w:val="00761C5D"/>
    <w:rsid w:val="0076231B"/>
    <w:rsid w:val="0076362F"/>
    <w:rsid w:val="00764AE4"/>
    <w:rsid w:val="0076575D"/>
    <w:rsid w:val="00770C2F"/>
    <w:rsid w:val="007720D2"/>
    <w:rsid w:val="007748D8"/>
    <w:rsid w:val="00775621"/>
    <w:rsid w:val="007761FA"/>
    <w:rsid w:val="007763A3"/>
    <w:rsid w:val="007771C4"/>
    <w:rsid w:val="0078023C"/>
    <w:rsid w:val="00780BF7"/>
    <w:rsid w:val="007813C9"/>
    <w:rsid w:val="007823F9"/>
    <w:rsid w:val="0078388F"/>
    <w:rsid w:val="00783926"/>
    <w:rsid w:val="00785493"/>
    <w:rsid w:val="0078594E"/>
    <w:rsid w:val="0078618C"/>
    <w:rsid w:val="00786801"/>
    <w:rsid w:val="007868B3"/>
    <w:rsid w:val="00786AE0"/>
    <w:rsid w:val="00787239"/>
    <w:rsid w:val="007875DA"/>
    <w:rsid w:val="007876C3"/>
    <w:rsid w:val="00790260"/>
    <w:rsid w:val="0079254B"/>
    <w:rsid w:val="00792C8B"/>
    <w:rsid w:val="0079318A"/>
    <w:rsid w:val="00793904"/>
    <w:rsid w:val="00795136"/>
    <w:rsid w:val="00796048"/>
    <w:rsid w:val="00796389"/>
    <w:rsid w:val="007A0D6D"/>
    <w:rsid w:val="007A14D4"/>
    <w:rsid w:val="007A2656"/>
    <w:rsid w:val="007A3262"/>
    <w:rsid w:val="007A38CB"/>
    <w:rsid w:val="007A4641"/>
    <w:rsid w:val="007A6E02"/>
    <w:rsid w:val="007A76A8"/>
    <w:rsid w:val="007B0076"/>
    <w:rsid w:val="007B02F9"/>
    <w:rsid w:val="007B0356"/>
    <w:rsid w:val="007B2F23"/>
    <w:rsid w:val="007B59B9"/>
    <w:rsid w:val="007C09F4"/>
    <w:rsid w:val="007C0DDD"/>
    <w:rsid w:val="007C2365"/>
    <w:rsid w:val="007C34DA"/>
    <w:rsid w:val="007C3801"/>
    <w:rsid w:val="007C5244"/>
    <w:rsid w:val="007C57CE"/>
    <w:rsid w:val="007C665F"/>
    <w:rsid w:val="007C6E7A"/>
    <w:rsid w:val="007C6F82"/>
    <w:rsid w:val="007C7C88"/>
    <w:rsid w:val="007D1A54"/>
    <w:rsid w:val="007D2581"/>
    <w:rsid w:val="007D3E36"/>
    <w:rsid w:val="007D504D"/>
    <w:rsid w:val="007D5D10"/>
    <w:rsid w:val="007D78F2"/>
    <w:rsid w:val="007E1208"/>
    <w:rsid w:val="007E2B94"/>
    <w:rsid w:val="007E2D53"/>
    <w:rsid w:val="007E343A"/>
    <w:rsid w:val="007E396C"/>
    <w:rsid w:val="007E4BA8"/>
    <w:rsid w:val="007E51F2"/>
    <w:rsid w:val="007F025C"/>
    <w:rsid w:val="007F13AE"/>
    <w:rsid w:val="007F16FD"/>
    <w:rsid w:val="007F1891"/>
    <w:rsid w:val="007F1922"/>
    <w:rsid w:val="007F3002"/>
    <w:rsid w:val="007F37E9"/>
    <w:rsid w:val="007F42E5"/>
    <w:rsid w:val="007F4AD4"/>
    <w:rsid w:val="007F5EBB"/>
    <w:rsid w:val="007F6068"/>
    <w:rsid w:val="007F68CB"/>
    <w:rsid w:val="007F712F"/>
    <w:rsid w:val="008001CA"/>
    <w:rsid w:val="00800C07"/>
    <w:rsid w:val="0080125A"/>
    <w:rsid w:val="00801A99"/>
    <w:rsid w:val="00802B9D"/>
    <w:rsid w:val="008044FE"/>
    <w:rsid w:val="00806A9F"/>
    <w:rsid w:val="00807558"/>
    <w:rsid w:val="0081012D"/>
    <w:rsid w:val="008104C7"/>
    <w:rsid w:val="00810F6A"/>
    <w:rsid w:val="00811805"/>
    <w:rsid w:val="008131EA"/>
    <w:rsid w:val="00813696"/>
    <w:rsid w:val="0081380A"/>
    <w:rsid w:val="008140DF"/>
    <w:rsid w:val="008153A4"/>
    <w:rsid w:val="008165BE"/>
    <w:rsid w:val="00821BEA"/>
    <w:rsid w:val="0082264E"/>
    <w:rsid w:val="00823E5E"/>
    <w:rsid w:val="00824A87"/>
    <w:rsid w:val="008254DD"/>
    <w:rsid w:val="00825768"/>
    <w:rsid w:val="00826052"/>
    <w:rsid w:val="0082695B"/>
    <w:rsid w:val="00826E48"/>
    <w:rsid w:val="00830342"/>
    <w:rsid w:val="00830E4A"/>
    <w:rsid w:val="008337C7"/>
    <w:rsid w:val="00833EC2"/>
    <w:rsid w:val="00834517"/>
    <w:rsid w:val="008347BC"/>
    <w:rsid w:val="00834882"/>
    <w:rsid w:val="00834CC1"/>
    <w:rsid w:val="00836D12"/>
    <w:rsid w:val="00837216"/>
    <w:rsid w:val="0083752B"/>
    <w:rsid w:val="008377A5"/>
    <w:rsid w:val="00837B7A"/>
    <w:rsid w:val="008424A8"/>
    <w:rsid w:val="008431A5"/>
    <w:rsid w:val="00847520"/>
    <w:rsid w:val="00847FF9"/>
    <w:rsid w:val="00850823"/>
    <w:rsid w:val="0085089A"/>
    <w:rsid w:val="008520CD"/>
    <w:rsid w:val="00853B42"/>
    <w:rsid w:val="00853C49"/>
    <w:rsid w:val="00853CCA"/>
    <w:rsid w:val="008550BA"/>
    <w:rsid w:val="0085589C"/>
    <w:rsid w:val="00856C42"/>
    <w:rsid w:val="00857AB1"/>
    <w:rsid w:val="00860863"/>
    <w:rsid w:val="008608B1"/>
    <w:rsid w:val="00860E38"/>
    <w:rsid w:val="0086180C"/>
    <w:rsid w:val="00862ED3"/>
    <w:rsid w:val="0086340A"/>
    <w:rsid w:val="00863E17"/>
    <w:rsid w:val="00863F2D"/>
    <w:rsid w:val="008643EF"/>
    <w:rsid w:val="00865BA3"/>
    <w:rsid w:val="00867F97"/>
    <w:rsid w:val="00870E53"/>
    <w:rsid w:val="00871A7A"/>
    <w:rsid w:val="00873A9F"/>
    <w:rsid w:val="00874005"/>
    <w:rsid w:val="00875AE5"/>
    <w:rsid w:val="00875C72"/>
    <w:rsid w:val="00876CFD"/>
    <w:rsid w:val="00876E1C"/>
    <w:rsid w:val="00876F79"/>
    <w:rsid w:val="00881A6E"/>
    <w:rsid w:val="00882B66"/>
    <w:rsid w:val="0088415D"/>
    <w:rsid w:val="008843C8"/>
    <w:rsid w:val="008849B1"/>
    <w:rsid w:val="008858C6"/>
    <w:rsid w:val="008913BE"/>
    <w:rsid w:val="00891CC3"/>
    <w:rsid w:val="00892FE2"/>
    <w:rsid w:val="0089355E"/>
    <w:rsid w:val="00893E0A"/>
    <w:rsid w:val="00894882"/>
    <w:rsid w:val="00894DE9"/>
    <w:rsid w:val="0089512B"/>
    <w:rsid w:val="00896EF2"/>
    <w:rsid w:val="00897AAA"/>
    <w:rsid w:val="008A0142"/>
    <w:rsid w:val="008A1F5E"/>
    <w:rsid w:val="008A20F2"/>
    <w:rsid w:val="008A3A90"/>
    <w:rsid w:val="008A4343"/>
    <w:rsid w:val="008A4681"/>
    <w:rsid w:val="008A5938"/>
    <w:rsid w:val="008A5968"/>
    <w:rsid w:val="008A6545"/>
    <w:rsid w:val="008A6F4F"/>
    <w:rsid w:val="008A73EE"/>
    <w:rsid w:val="008B07C0"/>
    <w:rsid w:val="008B07C5"/>
    <w:rsid w:val="008B16A6"/>
    <w:rsid w:val="008B23FD"/>
    <w:rsid w:val="008B308F"/>
    <w:rsid w:val="008B32F0"/>
    <w:rsid w:val="008B3CF3"/>
    <w:rsid w:val="008B427B"/>
    <w:rsid w:val="008B5D67"/>
    <w:rsid w:val="008B5ED6"/>
    <w:rsid w:val="008C0E2C"/>
    <w:rsid w:val="008C141E"/>
    <w:rsid w:val="008C37AE"/>
    <w:rsid w:val="008C50B1"/>
    <w:rsid w:val="008C58E7"/>
    <w:rsid w:val="008C5E0D"/>
    <w:rsid w:val="008C6B52"/>
    <w:rsid w:val="008C761A"/>
    <w:rsid w:val="008C7F87"/>
    <w:rsid w:val="008D0CAE"/>
    <w:rsid w:val="008D0EDD"/>
    <w:rsid w:val="008D2E02"/>
    <w:rsid w:val="008D2F37"/>
    <w:rsid w:val="008D4FA0"/>
    <w:rsid w:val="008D71C7"/>
    <w:rsid w:val="008D7DF8"/>
    <w:rsid w:val="008E10FB"/>
    <w:rsid w:val="008E171A"/>
    <w:rsid w:val="008E20FD"/>
    <w:rsid w:val="008E218D"/>
    <w:rsid w:val="008E2661"/>
    <w:rsid w:val="008E268D"/>
    <w:rsid w:val="008E2C00"/>
    <w:rsid w:val="008E661E"/>
    <w:rsid w:val="008E7230"/>
    <w:rsid w:val="008F1113"/>
    <w:rsid w:val="008F16F9"/>
    <w:rsid w:val="008F2EC3"/>
    <w:rsid w:val="008F32E7"/>
    <w:rsid w:val="008F79BF"/>
    <w:rsid w:val="008F7E7D"/>
    <w:rsid w:val="0090131A"/>
    <w:rsid w:val="009013FF"/>
    <w:rsid w:val="00902535"/>
    <w:rsid w:val="00902CA7"/>
    <w:rsid w:val="00902D5C"/>
    <w:rsid w:val="00903A57"/>
    <w:rsid w:val="00905271"/>
    <w:rsid w:val="009076CD"/>
    <w:rsid w:val="00907A60"/>
    <w:rsid w:val="00910662"/>
    <w:rsid w:val="00911818"/>
    <w:rsid w:val="0091229A"/>
    <w:rsid w:val="009126CF"/>
    <w:rsid w:val="0091385C"/>
    <w:rsid w:val="009145C5"/>
    <w:rsid w:val="00914E21"/>
    <w:rsid w:val="00915D94"/>
    <w:rsid w:val="009168AC"/>
    <w:rsid w:val="00920131"/>
    <w:rsid w:val="00920A39"/>
    <w:rsid w:val="00921898"/>
    <w:rsid w:val="0092199B"/>
    <w:rsid w:val="009226AF"/>
    <w:rsid w:val="00927959"/>
    <w:rsid w:val="009279A0"/>
    <w:rsid w:val="00931131"/>
    <w:rsid w:val="0093141C"/>
    <w:rsid w:val="00932A50"/>
    <w:rsid w:val="0093318D"/>
    <w:rsid w:val="0093337F"/>
    <w:rsid w:val="009339F2"/>
    <w:rsid w:val="00933C91"/>
    <w:rsid w:val="00933CFD"/>
    <w:rsid w:val="00933F06"/>
    <w:rsid w:val="00934F4E"/>
    <w:rsid w:val="0093593E"/>
    <w:rsid w:val="00936CF1"/>
    <w:rsid w:val="009403A4"/>
    <w:rsid w:val="00940484"/>
    <w:rsid w:val="009409CF"/>
    <w:rsid w:val="009410D7"/>
    <w:rsid w:val="009413D6"/>
    <w:rsid w:val="0094356E"/>
    <w:rsid w:val="00944682"/>
    <w:rsid w:val="009450C1"/>
    <w:rsid w:val="00945AA3"/>
    <w:rsid w:val="00947396"/>
    <w:rsid w:val="009501A3"/>
    <w:rsid w:val="00950423"/>
    <w:rsid w:val="00950637"/>
    <w:rsid w:val="009507BD"/>
    <w:rsid w:val="00951256"/>
    <w:rsid w:val="00951946"/>
    <w:rsid w:val="00953EA6"/>
    <w:rsid w:val="009544A3"/>
    <w:rsid w:val="00954776"/>
    <w:rsid w:val="0095567C"/>
    <w:rsid w:val="00955734"/>
    <w:rsid w:val="00955F01"/>
    <w:rsid w:val="0095649A"/>
    <w:rsid w:val="009612D7"/>
    <w:rsid w:val="00962680"/>
    <w:rsid w:val="009638FD"/>
    <w:rsid w:val="00964976"/>
    <w:rsid w:val="00964A5B"/>
    <w:rsid w:val="00966388"/>
    <w:rsid w:val="0097021D"/>
    <w:rsid w:val="009704A8"/>
    <w:rsid w:val="00970B1D"/>
    <w:rsid w:val="00970D0C"/>
    <w:rsid w:val="00972925"/>
    <w:rsid w:val="00972BA8"/>
    <w:rsid w:val="00972E1F"/>
    <w:rsid w:val="00973148"/>
    <w:rsid w:val="00973A1B"/>
    <w:rsid w:val="00973C72"/>
    <w:rsid w:val="00973D01"/>
    <w:rsid w:val="00974612"/>
    <w:rsid w:val="009755FA"/>
    <w:rsid w:val="00975604"/>
    <w:rsid w:val="00976C99"/>
    <w:rsid w:val="00977116"/>
    <w:rsid w:val="00980E56"/>
    <w:rsid w:val="009820EE"/>
    <w:rsid w:val="009823CF"/>
    <w:rsid w:val="00982CF0"/>
    <w:rsid w:val="0098409E"/>
    <w:rsid w:val="00984B4C"/>
    <w:rsid w:val="00986B6F"/>
    <w:rsid w:val="00990403"/>
    <w:rsid w:val="00990B6C"/>
    <w:rsid w:val="009927D4"/>
    <w:rsid w:val="009942C4"/>
    <w:rsid w:val="0099460B"/>
    <w:rsid w:val="00996D05"/>
    <w:rsid w:val="00997CFC"/>
    <w:rsid w:val="009A0085"/>
    <w:rsid w:val="009A0BB9"/>
    <w:rsid w:val="009A24DD"/>
    <w:rsid w:val="009A25EE"/>
    <w:rsid w:val="009A30FC"/>
    <w:rsid w:val="009A32CA"/>
    <w:rsid w:val="009A39E7"/>
    <w:rsid w:val="009A584F"/>
    <w:rsid w:val="009A679C"/>
    <w:rsid w:val="009A7935"/>
    <w:rsid w:val="009A7E74"/>
    <w:rsid w:val="009B19A5"/>
    <w:rsid w:val="009B1D22"/>
    <w:rsid w:val="009B22FE"/>
    <w:rsid w:val="009B33AE"/>
    <w:rsid w:val="009B3A7D"/>
    <w:rsid w:val="009B3D38"/>
    <w:rsid w:val="009B5F77"/>
    <w:rsid w:val="009B6AD3"/>
    <w:rsid w:val="009B717F"/>
    <w:rsid w:val="009C479D"/>
    <w:rsid w:val="009C5D15"/>
    <w:rsid w:val="009C61C2"/>
    <w:rsid w:val="009C6C3D"/>
    <w:rsid w:val="009C7CDB"/>
    <w:rsid w:val="009C7F44"/>
    <w:rsid w:val="009D0A49"/>
    <w:rsid w:val="009D1A9E"/>
    <w:rsid w:val="009D26FE"/>
    <w:rsid w:val="009D44A1"/>
    <w:rsid w:val="009D54E1"/>
    <w:rsid w:val="009D7CD9"/>
    <w:rsid w:val="009D7F31"/>
    <w:rsid w:val="009E0EC5"/>
    <w:rsid w:val="009E173F"/>
    <w:rsid w:val="009E3CD9"/>
    <w:rsid w:val="009E49A9"/>
    <w:rsid w:val="009E4D1B"/>
    <w:rsid w:val="009E4D6C"/>
    <w:rsid w:val="009E5AF8"/>
    <w:rsid w:val="009E5D3E"/>
    <w:rsid w:val="009E603B"/>
    <w:rsid w:val="009E610E"/>
    <w:rsid w:val="009E69BD"/>
    <w:rsid w:val="009E7F80"/>
    <w:rsid w:val="009F0471"/>
    <w:rsid w:val="009F2016"/>
    <w:rsid w:val="009F34E6"/>
    <w:rsid w:val="009F3913"/>
    <w:rsid w:val="009F3940"/>
    <w:rsid w:val="009F53C1"/>
    <w:rsid w:val="009F6349"/>
    <w:rsid w:val="009F718E"/>
    <w:rsid w:val="009F77D3"/>
    <w:rsid w:val="009F7A81"/>
    <w:rsid w:val="00A01C7C"/>
    <w:rsid w:val="00A0259D"/>
    <w:rsid w:val="00A027D3"/>
    <w:rsid w:val="00A02CEB"/>
    <w:rsid w:val="00A03024"/>
    <w:rsid w:val="00A04015"/>
    <w:rsid w:val="00A0500D"/>
    <w:rsid w:val="00A06EAE"/>
    <w:rsid w:val="00A0724A"/>
    <w:rsid w:val="00A077A1"/>
    <w:rsid w:val="00A07F06"/>
    <w:rsid w:val="00A11566"/>
    <w:rsid w:val="00A13BC7"/>
    <w:rsid w:val="00A14410"/>
    <w:rsid w:val="00A15923"/>
    <w:rsid w:val="00A16ED9"/>
    <w:rsid w:val="00A20E72"/>
    <w:rsid w:val="00A22D1B"/>
    <w:rsid w:val="00A23F2B"/>
    <w:rsid w:val="00A244A4"/>
    <w:rsid w:val="00A24B77"/>
    <w:rsid w:val="00A24C1A"/>
    <w:rsid w:val="00A30A7B"/>
    <w:rsid w:val="00A32CE3"/>
    <w:rsid w:val="00A33838"/>
    <w:rsid w:val="00A341D7"/>
    <w:rsid w:val="00A34705"/>
    <w:rsid w:val="00A35722"/>
    <w:rsid w:val="00A358B3"/>
    <w:rsid w:val="00A35F31"/>
    <w:rsid w:val="00A3612A"/>
    <w:rsid w:val="00A365F0"/>
    <w:rsid w:val="00A36680"/>
    <w:rsid w:val="00A37C8F"/>
    <w:rsid w:val="00A40157"/>
    <w:rsid w:val="00A411B9"/>
    <w:rsid w:val="00A41A68"/>
    <w:rsid w:val="00A41AC1"/>
    <w:rsid w:val="00A41CC6"/>
    <w:rsid w:val="00A42103"/>
    <w:rsid w:val="00A43BCD"/>
    <w:rsid w:val="00A43C7C"/>
    <w:rsid w:val="00A44E26"/>
    <w:rsid w:val="00A44E85"/>
    <w:rsid w:val="00A45870"/>
    <w:rsid w:val="00A47027"/>
    <w:rsid w:val="00A471AC"/>
    <w:rsid w:val="00A47489"/>
    <w:rsid w:val="00A50184"/>
    <w:rsid w:val="00A51FD7"/>
    <w:rsid w:val="00A522EE"/>
    <w:rsid w:val="00A543B1"/>
    <w:rsid w:val="00A5495F"/>
    <w:rsid w:val="00A5637C"/>
    <w:rsid w:val="00A600EA"/>
    <w:rsid w:val="00A60B7A"/>
    <w:rsid w:val="00A61DB9"/>
    <w:rsid w:val="00A62968"/>
    <w:rsid w:val="00A63F7F"/>
    <w:rsid w:val="00A65AB2"/>
    <w:rsid w:val="00A65ED5"/>
    <w:rsid w:val="00A670F6"/>
    <w:rsid w:val="00A72386"/>
    <w:rsid w:val="00A72B96"/>
    <w:rsid w:val="00A732F3"/>
    <w:rsid w:val="00A7367A"/>
    <w:rsid w:val="00A74A84"/>
    <w:rsid w:val="00A75287"/>
    <w:rsid w:val="00A75B9D"/>
    <w:rsid w:val="00A7656F"/>
    <w:rsid w:val="00A767AF"/>
    <w:rsid w:val="00A7712A"/>
    <w:rsid w:val="00A77605"/>
    <w:rsid w:val="00A7797B"/>
    <w:rsid w:val="00A82A04"/>
    <w:rsid w:val="00A82E16"/>
    <w:rsid w:val="00A83B73"/>
    <w:rsid w:val="00A84F64"/>
    <w:rsid w:val="00A852B8"/>
    <w:rsid w:val="00A86DBC"/>
    <w:rsid w:val="00A91061"/>
    <w:rsid w:val="00A92CE4"/>
    <w:rsid w:val="00A9345E"/>
    <w:rsid w:val="00A93B9B"/>
    <w:rsid w:val="00A940AC"/>
    <w:rsid w:val="00A94DFB"/>
    <w:rsid w:val="00A95CF0"/>
    <w:rsid w:val="00A96EEB"/>
    <w:rsid w:val="00A96FE3"/>
    <w:rsid w:val="00AA0F7B"/>
    <w:rsid w:val="00AA1809"/>
    <w:rsid w:val="00AB0DC1"/>
    <w:rsid w:val="00AB170D"/>
    <w:rsid w:val="00AB18FC"/>
    <w:rsid w:val="00AB3A35"/>
    <w:rsid w:val="00AB4E58"/>
    <w:rsid w:val="00AB53CC"/>
    <w:rsid w:val="00AB60A7"/>
    <w:rsid w:val="00AB611C"/>
    <w:rsid w:val="00AB6B35"/>
    <w:rsid w:val="00AB6D73"/>
    <w:rsid w:val="00AB77B9"/>
    <w:rsid w:val="00AB7866"/>
    <w:rsid w:val="00AC1535"/>
    <w:rsid w:val="00AC28CB"/>
    <w:rsid w:val="00AC3050"/>
    <w:rsid w:val="00AC39B9"/>
    <w:rsid w:val="00AC41AA"/>
    <w:rsid w:val="00AC4357"/>
    <w:rsid w:val="00AC4A37"/>
    <w:rsid w:val="00AC602E"/>
    <w:rsid w:val="00AC774F"/>
    <w:rsid w:val="00AC7F52"/>
    <w:rsid w:val="00AD08AE"/>
    <w:rsid w:val="00AD090F"/>
    <w:rsid w:val="00AD1423"/>
    <w:rsid w:val="00AD1424"/>
    <w:rsid w:val="00AD31C2"/>
    <w:rsid w:val="00AD3EC2"/>
    <w:rsid w:val="00AD40F7"/>
    <w:rsid w:val="00AD49E6"/>
    <w:rsid w:val="00AD4CA2"/>
    <w:rsid w:val="00AE0648"/>
    <w:rsid w:val="00AE3AF8"/>
    <w:rsid w:val="00AE4417"/>
    <w:rsid w:val="00AE52FE"/>
    <w:rsid w:val="00AE582B"/>
    <w:rsid w:val="00AE63B3"/>
    <w:rsid w:val="00AF0EBD"/>
    <w:rsid w:val="00AF3414"/>
    <w:rsid w:val="00AF57C0"/>
    <w:rsid w:val="00AF689F"/>
    <w:rsid w:val="00AF72B4"/>
    <w:rsid w:val="00AF7F89"/>
    <w:rsid w:val="00B0117B"/>
    <w:rsid w:val="00B016EA"/>
    <w:rsid w:val="00B04EF1"/>
    <w:rsid w:val="00B05F4E"/>
    <w:rsid w:val="00B06802"/>
    <w:rsid w:val="00B0769B"/>
    <w:rsid w:val="00B10B6B"/>
    <w:rsid w:val="00B11CED"/>
    <w:rsid w:val="00B12A8E"/>
    <w:rsid w:val="00B13299"/>
    <w:rsid w:val="00B13349"/>
    <w:rsid w:val="00B13A68"/>
    <w:rsid w:val="00B14BF2"/>
    <w:rsid w:val="00B15095"/>
    <w:rsid w:val="00B15BA6"/>
    <w:rsid w:val="00B17FB7"/>
    <w:rsid w:val="00B21524"/>
    <w:rsid w:val="00B21F63"/>
    <w:rsid w:val="00B222A6"/>
    <w:rsid w:val="00B23F01"/>
    <w:rsid w:val="00B24940"/>
    <w:rsid w:val="00B25281"/>
    <w:rsid w:val="00B264F5"/>
    <w:rsid w:val="00B34D0E"/>
    <w:rsid w:val="00B36599"/>
    <w:rsid w:val="00B37D43"/>
    <w:rsid w:val="00B37EEA"/>
    <w:rsid w:val="00B40162"/>
    <w:rsid w:val="00B42CE0"/>
    <w:rsid w:val="00B44B4D"/>
    <w:rsid w:val="00B45825"/>
    <w:rsid w:val="00B4614D"/>
    <w:rsid w:val="00B4617A"/>
    <w:rsid w:val="00B46387"/>
    <w:rsid w:val="00B476B1"/>
    <w:rsid w:val="00B50752"/>
    <w:rsid w:val="00B50FA6"/>
    <w:rsid w:val="00B50FDA"/>
    <w:rsid w:val="00B51B54"/>
    <w:rsid w:val="00B51E1F"/>
    <w:rsid w:val="00B52AF4"/>
    <w:rsid w:val="00B52E1F"/>
    <w:rsid w:val="00B53155"/>
    <w:rsid w:val="00B54ED1"/>
    <w:rsid w:val="00B57E02"/>
    <w:rsid w:val="00B60667"/>
    <w:rsid w:val="00B6079F"/>
    <w:rsid w:val="00B61268"/>
    <w:rsid w:val="00B61C1B"/>
    <w:rsid w:val="00B62D02"/>
    <w:rsid w:val="00B64FED"/>
    <w:rsid w:val="00B65794"/>
    <w:rsid w:val="00B65B8A"/>
    <w:rsid w:val="00B66963"/>
    <w:rsid w:val="00B71863"/>
    <w:rsid w:val="00B76097"/>
    <w:rsid w:val="00B76A83"/>
    <w:rsid w:val="00B76E37"/>
    <w:rsid w:val="00B77244"/>
    <w:rsid w:val="00B80225"/>
    <w:rsid w:val="00B82817"/>
    <w:rsid w:val="00B828F9"/>
    <w:rsid w:val="00B85068"/>
    <w:rsid w:val="00B8709B"/>
    <w:rsid w:val="00B91141"/>
    <w:rsid w:val="00B91D98"/>
    <w:rsid w:val="00B931C1"/>
    <w:rsid w:val="00B93BB6"/>
    <w:rsid w:val="00B93CEB"/>
    <w:rsid w:val="00B9424C"/>
    <w:rsid w:val="00B95D91"/>
    <w:rsid w:val="00B95FC5"/>
    <w:rsid w:val="00B96AB5"/>
    <w:rsid w:val="00BA088E"/>
    <w:rsid w:val="00BA0A26"/>
    <w:rsid w:val="00BA1660"/>
    <w:rsid w:val="00BA2CE9"/>
    <w:rsid w:val="00BA3EA7"/>
    <w:rsid w:val="00BA76F2"/>
    <w:rsid w:val="00BA7C2F"/>
    <w:rsid w:val="00BA7F86"/>
    <w:rsid w:val="00BB060B"/>
    <w:rsid w:val="00BB197A"/>
    <w:rsid w:val="00BB2031"/>
    <w:rsid w:val="00BB2890"/>
    <w:rsid w:val="00BB3A20"/>
    <w:rsid w:val="00BB41D8"/>
    <w:rsid w:val="00BB4A6B"/>
    <w:rsid w:val="00BB4D07"/>
    <w:rsid w:val="00BB5EA5"/>
    <w:rsid w:val="00BB60B6"/>
    <w:rsid w:val="00BB66B9"/>
    <w:rsid w:val="00BB6C97"/>
    <w:rsid w:val="00BC057F"/>
    <w:rsid w:val="00BC10D7"/>
    <w:rsid w:val="00BC17DD"/>
    <w:rsid w:val="00BC18CB"/>
    <w:rsid w:val="00BC1BB9"/>
    <w:rsid w:val="00BC4A6A"/>
    <w:rsid w:val="00BC606D"/>
    <w:rsid w:val="00BC6306"/>
    <w:rsid w:val="00BD3878"/>
    <w:rsid w:val="00BD4816"/>
    <w:rsid w:val="00BD731C"/>
    <w:rsid w:val="00BE0ECE"/>
    <w:rsid w:val="00BE1985"/>
    <w:rsid w:val="00BE2299"/>
    <w:rsid w:val="00BE297D"/>
    <w:rsid w:val="00BE3334"/>
    <w:rsid w:val="00BE476A"/>
    <w:rsid w:val="00BE4921"/>
    <w:rsid w:val="00BE4D22"/>
    <w:rsid w:val="00BE6BA4"/>
    <w:rsid w:val="00BE6DD8"/>
    <w:rsid w:val="00BF0A65"/>
    <w:rsid w:val="00BF11B7"/>
    <w:rsid w:val="00BF19F0"/>
    <w:rsid w:val="00BF248D"/>
    <w:rsid w:val="00BF2F2B"/>
    <w:rsid w:val="00BF49AC"/>
    <w:rsid w:val="00BF55CE"/>
    <w:rsid w:val="00BF682E"/>
    <w:rsid w:val="00BF770B"/>
    <w:rsid w:val="00C00127"/>
    <w:rsid w:val="00C0077D"/>
    <w:rsid w:val="00C0086A"/>
    <w:rsid w:val="00C00BA0"/>
    <w:rsid w:val="00C013EC"/>
    <w:rsid w:val="00C02325"/>
    <w:rsid w:val="00C02AF8"/>
    <w:rsid w:val="00C02E24"/>
    <w:rsid w:val="00C03290"/>
    <w:rsid w:val="00C036BD"/>
    <w:rsid w:val="00C0389C"/>
    <w:rsid w:val="00C03A36"/>
    <w:rsid w:val="00C03DED"/>
    <w:rsid w:val="00C03FFC"/>
    <w:rsid w:val="00C04082"/>
    <w:rsid w:val="00C0488D"/>
    <w:rsid w:val="00C077D2"/>
    <w:rsid w:val="00C07ED7"/>
    <w:rsid w:val="00C07FC5"/>
    <w:rsid w:val="00C11502"/>
    <w:rsid w:val="00C12C63"/>
    <w:rsid w:val="00C136D3"/>
    <w:rsid w:val="00C13A44"/>
    <w:rsid w:val="00C1485F"/>
    <w:rsid w:val="00C150C7"/>
    <w:rsid w:val="00C151AE"/>
    <w:rsid w:val="00C17A6D"/>
    <w:rsid w:val="00C2014F"/>
    <w:rsid w:val="00C2083F"/>
    <w:rsid w:val="00C2280C"/>
    <w:rsid w:val="00C24A4D"/>
    <w:rsid w:val="00C251E1"/>
    <w:rsid w:val="00C257B3"/>
    <w:rsid w:val="00C26247"/>
    <w:rsid w:val="00C26567"/>
    <w:rsid w:val="00C26A4D"/>
    <w:rsid w:val="00C26C73"/>
    <w:rsid w:val="00C27090"/>
    <w:rsid w:val="00C270FE"/>
    <w:rsid w:val="00C30989"/>
    <w:rsid w:val="00C31246"/>
    <w:rsid w:val="00C321A1"/>
    <w:rsid w:val="00C34106"/>
    <w:rsid w:val="00C341D9"/>
    <w:rsid w:val="00C349C5"/>
    <w:rsid w:val="00C3582B"/>
    <w:rsid w:val="00C37A1A"/>
    <w:rsid w:val="00C40120"/>
    <w:rsid w:val="00C4088B"/>
    <w:rsid w:val="00C40F68"/>
    <w:rsid w:val="00C414E0"/>
    <w:rsid w:val="00C42424"/>
    <w:rsid w:val="00C4257C"/>
    <w:rsid w:val="00C43BC5"/>
    <w:rsid w:val="00C4445E"/>
    <w:rsid w:val="00C445DA"/>
    <w:rsid w:val="00C450B5"/>
    <w:rsid w:val="00C47222"/>
    <w:rsid w:val="00C5004D"/>
    <w:rsid w:val="00C52074"/>
    <w:rsid w:val="00C523DB"/>
    <w:rsid w:val="00C54BA1"/>
    <w:rsid w:val="00C5520E"/>
    <w:rsid w:val="00C5696C"/>
    <w:rsid w:val="00C5754D"/>
    <w:rsid w:val="00C60071"/>
    <w:rsid w:val="00C605BF"/>
    <w:rsid w:val="00C6128F"/>
    <w:rsid w:val="00C62480"/>
    <w:rsid w:val="00C65C59"/>
    <w:rsid w:val="00C66484"/>
    <w:rsid w:val="00C678B5"/>
    <w:rsid w:val="00C71B8D"/>
    <w:rsid w:val="00C72A8C"/>
    <w:rsid w:val="00C77835"/>
    <w:rsid w:val="00C77E45"/>
    <w:rsid w:val="00C8009D"/>
    <w:rsid w:val="00C80385"/>
    <w:rsid w:val="00C80922"/>
    <w:rsid w:val="00C80CE5"/>
    <w:rsid w:val="00C812E5"/>
    <w:rsid w:val="00C82200"/>
    <w:rsid w:val="00C82F95"/>
    <w:rsid w:val="00C8350A"/>
    <w:rsid w:val="00C85E5F"/>
    <w:rsid w:val="00C85E65"/>
    <w:rsid w:val="00C87A79"/>
    <w:rsid w:val="00C87AF0"/>
    <w:rsid w:val="00C90188"/>
    <w:rsid w:val="00C9056E"/>
    <w:rsid w:val="00C90DF3"/>
    <w:rsid w:val="00C9236C"/>
    <w:rsid w:val="00C92E05"/>
    <w:rsid w:val="00C93C67"/>
    <w:rsid w:val="00C94518"/>
    <w:rsid w:val="00C94EFE"/>
    <w:rsid w:val="00C9506E"/>
    <w:rsid w:val="00C95357"/>
    <w:rsid w:val="00C95A8B"/>
    <w:rsid w:val="00CA1B05"/>
    <w:rsid w:val="00CA3330"/>
    <w:rsid w:val="00CA41A0"/>
    <w:rsid w:val="00CA5122"/>
    <w:rsid w:val="00CA5470"/>
    <w:rsid w:val="00CA58CD"/>
    <w:rsid w:val="00CA6E9E"/>
    <w:rsid w:val="00CA7DCF"/>
    <w:rsid w:val="00CB0638"/>
    <w:rsid w:val="00CB0C12"/>
    <w:rsid w:val="00CB17F3"/>
    <w:rsid w:val="00CB34E6"/>
    <w:rsid w:val="00CB43FE"/>
    <w:rsid w:val="00CB4C53"/>
    <w:rsid w:val="00CB4FF6"/>
    <w:rsid w:val="00CB50A2"/>
    <w:rsid w:val="00CB5EE9"/>
    <w:rsid w:val="00CB6B72"/>
    <w:rsid w:val="00CB730C"/>
    <w:rsid w:val="00CB7950"/>
    <w:rsid w:val="00CC083F"/>
    <w:rsid w:val="00CC0CCD"/>
    <w:rsid w:val="00CC20EE"/>
    <w:rsid w:val="00CC4059"/>
    <w:rsid w:val="00CC4412"/>
    <w:rsid w:val="00CC473A"/>
    <w:rsid w:val="00CC481A"/>
    <w:rsid w:val="00CC6CF9"/>
    <w:rsid w:val="00CC7EBE"/>
    <w:rsid w:val="00CD0700"/>
    <w:rsid w:val="00CD1C4F"/>
    <w:rsid w:val="00CD1E0A"/>
    <w:rsid w:val="00CD2F4A"/>
    <w:rsid w:val="00CD536C"/>
    <w:rsid w:val="00CD56BF"/>
    <w:rsid w:val="00CD6CD6"/>
    <w:rsid w:val="00CD7477"/>
    <w:rsid w:val="00CE0990"/>
    <w:rsid w:val="00CE0B1D"/>
    <w:rsid w:val="00CE21E3"/>
    <w:rsid w:val="00CE27A3"/>
    <w:rsid w:val="00CE2C11"/>
    <w:rsid w:val="00CE317B"/>
    <w:rsid w:val="00CE445E"/>
    <w:rsid w:val="00CE5BDF"/>
    <w:rsid w:val="00CE62F7"/>
    <w:rsid w:val="00CE69B6"/>
    <w:rsid w:val="00CE6AC0"/>
    <w:rsid w:val="00CE7A40"/>
    <w:rsid w:val="00CF01B4"/>
    <w:rsid w:val="00CF051A"/>
    <w:rsid w:val="00CF0849"/>
    <w:rsid w:val="00CF0ABE"/>
    <w:rsid w:val="00CF136C"/>
    <w:rsid w:val="00CF2761"/>
    <w:rsid w:val="00CF367B"/>
    <w:rsid w:val="00CF4387"/>
    <w:rsid w:val="00CF5C03"/>
    <w:rsid w:val="00CF67D0"/>
    <w:rsid w:val="00CF6DC7"/>
    <w:rsid w:val="00D00906"/>
    <w:rsid w:val="00D00DD5"/>
    <w:rsid w:val="00D014A1"/>
    <w:rsid w:val="00D019AC"/>
    <w:rsid w:val="00D01C7D"/>
    <w:rsid w:val="00D01FE3"/>
    <w:rsid w:val="00D01FF3"/>
    <w:rsid w:val="00D020BC"/>
    <w:rsid w:val="00D03B5B"/>
    <w:rsid w:val="00D04EBC"/>
    <w:rsid w:val="00D05557"/>
    <w:rsid w:val="00D061BF"/>
    <w:rsid w:val="00D0682D"/>
    <w:rsid w:val="00D069A7"/>
    <w:rsid w:val="00D073FF"/>
    <w:rsid w:val="00D079EA"/>
    <w:rsid w:val="00D07E94"/>
    <w:rsid w:val="00D104DE"/>
    <w:rsid w:val="00D108AA"/>
    <w:rsid w:val="00D10C85"/>
    <w:rsid w:val="00D10FE6"/>
    <w:rsid w:val="00D11E06"/>
    <w:rsid w:val="00D1245F"/>
    <w:rsid w:val="00D125D0"/>
    <w:rsid w:val="00D12DDF"/>
    <w:rsid w:val="00D138B0"/>
    <w:rsid w:val="00D144EA"/>
    <w:rsid w:val="00D144F7"/>
    <w:rsid w:val="00D14545"/>
    <w:rsid w:val="00D154C0"/>
    <w:rsid w:val="00D158DD"/>
    <w:rsid w:val="00D16F7E"/>
    <w:rsid w:val="00D173DC"/>
    <w:rsid w:val="00D1766E"/>
    <w:rsid w:val="00D20CB6"/>
    <w:rsid w:val="00D210E9"/>
    <w:rsid w:val="00D21AF8"/>
    <w:rsid w:val="00D225F8"/>
    <w:rsid w:val="00D2320C"/>
    <w:rsid w:val="00D25021"/>
    <w:rsid w:val="00D253A2"/>
    <w:rsid w:val="00D2569D"/>
    <w:rsid w:val="00D256B8"/>
    <w:rsid w:val="00D25DEA"/>
    <w:rsid w:val="00D27C1D"/>
    <w:rsid w:val="00D27CAB"/>
    <w:rsid w:val="00D30053"/>
    <w:rsid w:val="00D317C1"/>
    <w:rsid w:val="00D33181"/>
    <w:rsid w:val="00D347B5"/>
    <w:rsid w:val="00D34CAC"/>
    <w:rsid w:val="00D35931"/>
    <w:rsid w:val="00D371EF"/>
    <w:rsid w:val="00D37F8B"/>
    <w:rsid w:val="00D4042D"/>
    <w:rsid w:val="00D41B30"/>
    <w:rsid w:val="00D42AEF"/>
    <w:rsid w:val="00D4343F"/>
    <w:rsid w:val="00D434FE"/>
    <w:rsid w:val="00D43660"/>
    <w:rsid w:val="00D45C26"/>
    <w:rsid w:val="00D46939"/>
    <w:rsid w:val="00D46AEB"/>
    <w:rsid w:val="00D474C4"/>
    <w:rsid w:val="00D503F3"/>
    <w:rsid w:val="00D508B1"/>
    <w:rsid w:val="00D5114F"/>
    <w:rsid w:val="00D51D99"/>
    <w:rsid w:val="00D53188"/>
    <w:rsid w:val="00D5349E"/>
    <w:rsid w:val="00D53E72"/>
    <w:rsid w:val="00D54E8B"/>
    <w:rsid w:val="00D5662C"/>
    <w:rsid w:val="00D57254"/>
    <w:rsid w:val="00D57887"/>
    <w:rsid w:val="00D607BB"/>
    <w:rsid w:val="00D6089C"/>
    <w:rsid w:val="00D62033"/>
    <w:rsid w:val="00D6215E"/>
    <w:rsid w:val="00D63790"/>
    <w:rsid w:val="00D63DE7"/>
    <w:rsid w:val="00D650F1"/>
    <w:rsid w:val="00D657EA"/>
    <w:rsid w:val="00D66004"/>
    <w:rsid w:val="00D6619B"/>
    <w:rsid w:val="00D67B41"/>
    <w:rsid w:val="00D702D9"/>
    <w:rsid w:val="00D7063C"/>
    <w:rsid w:val="00D708CC"/>
    <w:rsid w:val="00D7099F"/>
    <w:rsid w:val="00D72756"/>
    <w:rsid w:val="00D738A3"/>
    <w:rsid w:val="00D73AC3"/>
    <w:rsid w:val="00D774E7"/>
    <w:rsid w:val="00D82764"/>
    <w:rsid w:val="00D82B7B"/>
    <w:rsid w:val="00D82C92"/>
    <w:rsid w:val="00D841D9"/>
    <w:rsid w:val="00D849F1"/>
    <w:rsid w:val="00D84D6E"/>
    <w:rsid w:val="00D84E49"/>
    <w:rsid w:val="00D85506"/>
    <w:rsid w:val="00D85DC0"/>
    <w:rsid w:val="00D864CD"/>
    <w:rsid w:val="00D869D0"/>
    <w:rsid w:val="00D870A9"/>
    <w:rsid w:val="00D87BB8"/>
    <w:rsid w:val="00D9095D"/>
    <w:rsid w:val="00D90CD8"/>
    <w:rsid w:val="00D90CF6"/>
    <w:rsid w:val="00D91F8A"/>
    <w:rsid w:val="00D92204"/>
    <w:rsid w:val="00D94EA2"/>
    <w:rsid w:val="00D95845"/>
    <w:rsid w:val="00D95865"/>
    <w:rsid w:val="00D96BDF"/>
    <w:rsid w:val="00D96DB2"/>
    <w:rsid w:val="00DA0836"/>
    <w:rsid w:val="00DA128D"/>
    <w:rsid w:val="00DA1D08"/>
    <w:rsid w:val="00DA2D6F"/>
    <w:rsid w:val="00DA5765"/>
    <w:rsid w:val="00DA7AED"/>
    <w:rsid w:val="00DB02E0"/>
    <w:rsid w:val="00DB11E4"/>
    <w:rsid w:val="00DB1933"/>
    <w:rsid w:val="00DB19E6"/>
    <w:rsid w:val="00DB2B97"/>
    <w:rsid w:val="00DB30E6"/>
    <w:rsid w:val="00DB3825"/>
    <w:rsid w:val="00DB4D85"/>
    <w:rsid w:val="00DB5634"/>
    <w:rsid w:val="00DB798E"/>
    <w:rsid w:val="00DC0074"/>
    <w:rsid w:val="00DC0F6D"/>
    <w:rsid w:val="00DC119E"/>
    <w:rsid w:val="00DC21DD"/>
    <w:rsid w:val="00DC343D"/>
    <w:rsid w:val="00DC3DDA"/>
    <w:rsid w:val="00DC5853"/>
    <w:rsid w:val="00DC5945"/>
    <w:rsid w:val="00DC7519"/>
    <w:rsid w:val="00DC7956"/>
    <w:rsid w:val="00DC7AB5"/>
    <w:rsid w:val="00DC7DDB"/>
    <w:rsid w:val="00DD0F89"/>
    <w:rsid w:val="00DD2BC3"/>
    <w:rsid w:val="00DD3FEF"/>
    <w:rsid w:val="00DD4CCF"/>
    <w:rsid w:val="00DD57A4"/>
    <w:rsid w:val="00DD5FD2"/>
    <w:rsid w:val="00DD6B31"/>
    <w:rsid w:val="00DE05A4"/>
    <w:rsid w:val="00DE0B7B"/>
    <w:rsid w:val="00DE1C14"/>
    <w:rsid w:val="00DE287E"/>
    <w:rsid w:val="00DE297B"/>
    <w:rsid w:val="00DE3270"/>
    <w:rsid w:val="00DE436C"/>
    <w:rsid w:val="00DE5D68"/>
    <w:rsid w:val="00DE6436"/>
    <w:rsid w:val="00DE7484"/>
    <w:rsid w:val="00DE7523"/>
    <w:rsid w:val="00DE763A"/>
    <w:rsid w:val="00DE7FD2"/>
    <w:rsid w:val="00DF0E93"/>
    <w:rsid w:val="00DF0EB9"/>
    <w:rsid w:val="00DF2348"/>
    <w:rsid w:val="00DF26DC"/>
    <w:rsid w:val="00DF2A43"/>
    <w:rsid w:val="00DF2AC1"/>
    <w:rsid w:val="00DF2B50"/>
    <w:rsid w:val="00DF3D6D"/>
    <w:rsid w:val="00DF4346"/>
    <w:rsid w:val="00DF5D9C"/>
    <w:rsid w:val="00E0068B"/>
    <w:rsid w:val="00E007D2"/>
    <w:rsid w:val="00E00ED0"/>
    <w:rsid w:val="00E01BD4"/>
    <w:rsid w:val="00E02274"/>
    <w:rsid w:val="00E036B6"/>
    <w:rsid w:val="00E038E4"/>
    <w:rsid w:val="00E03A26"/>
    <w:rsid w:val="00E04392"/>
    <w:rsid w:val="00E0499C"/>
    <w:rsid w:val="00E06572"/>
    <w:rsid w:val="00E1217C"/>
    <w:rsid w:val="00E1241B"/>
    <w:rsid w:val="00E126AC"/>
    <w:rsid w:val="00E132A6"/>
    <w:rsid w:val="00E13E17"/>
    <w:rsid w:val="00E13FD2"/>
    <w:rsid w:val="00E1492B"/>
    <w:rsid w:val="00E15CF7"/>
    <w:rsid w:val="00E1604A"/>
    <w:rsid w:val="00E1647C"/>
    <w:rsid w:val="00E17A5B"/>
    <w:rsid w:val="00E20549"/>
    <w:rsid w:val="00E2087F"/>
    <w:rsid w:val="00E20D4F"/>
    <w:rsid w:val="00E2104A"/>
    <w:rsid w:val="00E2107A"/>
    <w:rsid w:val="00E22395"/>
    <w:rsid w:val="00E22682"/>
    <w:rsid w:val="00E24FD7"/>
    <w:rsid w:val="00E253F3"/>
    <w:rsid w:val="00E254F8"/>
    <w:rsid w:val="00E25510"/>
    <w:rsid w:val="00E258BD"/>
    <w:rsid w:val="00E2700B"/>
    <w:rsid w:val="00E303FF"/>
    <w:rsid w:val="00E309E9"/>
    <w:rsid w:val="00E32159"/>
    <w:rsid w:val="00E325C6"/>
    <w:rsid w:val="00E32B85"/>
    <w:rsid w:val="00E3332D"/>
    <w:rsid w:val="00E35833"/>
    <w:rsid w:val="00E378BC"/>
    <w:rsid w:val="00E40024"/>
    <w:rsid w:val="00E40E39"/>
    <w:rsid w:val="00E40EC5"/>
    <w:rsid w:val="00E4191E"/>
    <w:rsid w:val="00E41B4E"/>
    <w:rsid w:val="00E43638"/>
    <w:rsid w:val="00E43A1B"/>
    <w:rsid w:val="00E43FE5"/>
    <w:rsid w:val="00E4546A"/>
    <w:rsid w:val="00E50344"/>
    <w:rsid w:val="00E512D4"/>
    <w:rsid w:val="00E51DC4"/>
    <w:rsid w:val="00E52357"/>
    <w:rsid w:val="00E52663"/>
    <w:rsid w:val="00E53E66"/>
    <w:rsid w:val="00E54B7B"/>
    <w:rsid w:val="00E55222"/>
    <w:rsid w:val="00E562F2"/>
    <w:rsid w:val="00E568DF"/>
    <w:rsid w:val="00E56CF5"/>
    <w:rsid w:val="00E5750A"/>
    <w:rsid w:val="00E578E9"/>
    <w:rsid w:val="00E5796C"/>
    <w:rsid w:val="00E6064F"/>
    <w:rsid w:val="00E60CD4"/>
    <w:rsid w:val="00E628C3"/>
    <w:rsid w:val="00E63790"/>
    <w:rsid w:val="00E63F63"/>
    <w:rsid w:val="00E6409C"/>
    <w:rsid w:val="00E65B52"/>
    <w:rsid w:val="00E67E20"/>
    <w:rsid w:val="00E70B7F"/>
    <w:rsid w:val="00E71029"/>
    <w:rsid w:val="00E71D0D"/>
    <w:rsid w:val="00E723F1"/>
    <w:rsid w:val="00E72981"/>
    <w:rsid w:val="00E73894"/>
    <w:rsid w:val="00E73A9E"/>
    <w:rsid w:val="00E743B3"/>
    <w:rsid w:val="00E74B5B"/>
    <w:rsid w:val="00E77D13"/>
    <w:rsid w:val="00E82539"/>
    <w:rsid w:val="00E829AE"/>
    <w:rsid w:val="00E82E31"/>
    <w:rsid w:val="00E8312A"/>
    <w:rsid w:val="00E8338A"/>
    <w:rsid w:val="00E83452"/>
    <w:rsid w:val="00E839BA"/>
    <w:rsid w:val="00E852D8"/>
    <w:rsid w:val="00E85347"/>
    <w:rsid w:val="00E85AF8"/>
    <w:rsid w:val="00E8612D"/>
    <w:rsid w:val="00E8660E"/>
    <w:rsid w:val="00E866E2"/>
    <w:rsid w:val="00E878D2"/>
    <w:rsid w:val="00E90EBB"/>
    <w:rsid w:val="00E90EF3"/>
    <w:rsid w:val="00E91628"/>
    <w:rsid w:val="00E93775"/>
    <w:rsid w:val="00E976AA"/>
    <w:rsid w:val="00EA0CA6"/>
    <w:rsid w:val="00EA1C2D"/>
    <w:rsid w:val="00EA4244"/>
    <w:rsid w:val="00EA43F6"/>
    <w:rsid w:val="00EA78EC"/>
    <w:rsid w:val="00EA7CE9"/>
    <w:rsid w:val="00EB001C"/>
    <w:rsid w:val="00EB0C3D"/>
    <w:rsid w:val="00EB1946"/>
    <w:rsid w:val="00EB19A6"/>
    <w:rsid w:val="00EB1B9A"/>
    <w:rsid w:val="00EB2053"/>
    <w:rsid w:val="00EB2194"/>
    <w:rsid w:val="00EB3067"/>
    <w:rsid w:val="00EB3180"/>
    <w:rsid w:val="00EB45BB"/>
    <w:rsid w:val="00EB4E04"/>
    <w:rsid w:val="00EB528F"/>
    <w:rsid w:val="00EB5397"/>
    <w:rsid w:val="00EB5AB3"/>
    <w:rsid w:val="00EB61D8"/>
    <w:rsid w:val="00EB6AF0"/>
    <w:rsid w:val="00EB6EA3"/>
    <w:rsid w:val="00EC0089"/>
    <w:rsid w:val="00EC0546"/>
    <w:rsid w:val="00EC1F5D"/>
    <w:rsid w:val="00EC20BB"/>
    <w:rsid w:val="00EC35C2"/>
    <w:rsid w:val="00EC3B7D"/>
    <w:rsid w:val="00EC44D1"/>
    <w:rsid w:val="00EC46F4"/>
    <w:rsid w:val="00EC6B28"/>
    <w:rsid w:val="00EC7A8F"/>
    <w:rsid w:val="00EC7C9A"/>
    <w:rsid w:val="00ED0D8C"/>
    <w:rsid w:val="00ED15A6"/>
    <w:rsid w:val="00ED176B"/>
    <w:rsid w:val="00ED18CD"/>
    <w:rsid w:val="00ED2E90"/>
    <w:rsid w:val="00ED41C9"/>
    <w:rsid w:val="00ED4207"/>
    <w:rsid w:val="00ED4A4D"/>
    <w:rsid w:val="00ED6BDA"/>
    <w:rsid w:val="00ED7091"/>
    <w:rsid w:val="00ED744A"/>
    <w:rsid w:val="00ED7CAC"/>
    <w:rsid w:val="00EE04A3"/>
    <w:rsid w:val="00EE0C53"/>
    <w:rsid w:val="00EE2014"/>
    <w:rsid w:val="00EE2F90"/>
    <w:rsid w:val="00EE40FA"/>
    <w:rsid w:val="00EE74F3"/>
    <w:rsid w:val="00EE7554"/>
    <w:rsid w:val="00EF0C37"/>
    <w:rsid w:val="00EF10D5"/>
    <w:rsid w:val="00EF1901"/>
    <w:rsid w:val="00EF35AB"/>
    <w:rsid w:val="00EF437A"/>
    <w:rsid w:val="00EF47DE"/>
    <w:rsid w:val="00EF5B9D"/>
    <w:rsid w:val="00EF609F"/>
    <w:rsid w:val="00EF7336"/>
    <w:rsid w:val="00EF7491"/>
    <w:rsid w:val="00F018DE"/>
    <w:rsid w:val="00F01F61"/>
    <w:rsid w:val="00F01F86"/>
    <w:rsid w:val="00F025C5"/>
    <w:rsid w:val="00F02FF7"/>
    <w:rsid w:val="00F03819"/>
    <w:rsid w:val="00F050EA"/>
    <w:rsid w:val="00F069FE"/>
    <w:rsid w:val="00F07AEC"/>
    <w:rsid w:val="00F1065B"/>
    <w:rsid w:val="00F10F88"/>
    <w:rsid w:val="00F10FB9"/>
    <w:rsid w:val="00F11D49"/>
    <w:rsid w:val="00F12817"/>
    <w:rsid w:val="00F14068"/>
    <w:rsid w:val="00F14315"/>
    <w:rsid w:val="00F143E2"/>
    <w:rsid w:val="00F1478C"/>
    <w:rsid w:val="00F154D0"/>
    <w:rsid w:val="00F15717"/>
    <w:rsid w:val="00F1668B"/>
    <w:rsid w:val="00F21995"/>
    <w:rsid w:val="00F21D77"/>
    <w:rsid w:val="00F22996"/>
    <w:rsid w:val="00F23A7C"/>
    <w:rsid w:val="00F23C0A"/>
    <w:rsid w:val="00F24D5D"/>
    <w:rsid w:val="00F250C2"/>
    <w:rsid w:val="00F2523D"/>
    <w:rsid w:val="00F25B5B"/>
    <w:rsid w:val="00F25D24"/>
    <w:rsid w:val="00F26057"/>
    <w:rsid w:val="00F276FC"/>
    <w:rsid w:val="00F2797C"/>
    <w:rsid w:val="00F317BC"/>
    <w:rsid w:val="00F32ED9"/>
    <w:rsid w:val="00F32FA5"/>
    <w:rsid w:val="00F33048"/>
    <w:rsid w:val="00F3382C"/>
    <w:rsid w:val="00F33EC8"/>
    <w:rsid w:val="00F34791"/>
    <w:rsid w:val="00F34A55"/>
    <w:rsid w:val="00F34B73"/>
    <w:rsid w:val="00F355C6"/>
    <w:rsid w:val="00F358B7"/>
    <w:rsid w:val="00F40BF4"/>
    <w:rsid w:val="00F4111C"/>
    <w:rsid w:val="00F431A6"/>
    <w:rsid w:val="00F43878"/>
    <w:rsid w:val="00F43D39"/>
    <w:rsid w:val="00F45492"/>
    <w:rsid w:val="00F45FD6"/>
    <w:rsid w:val="00F45FF6"/>
    <w:rsid w:val="00F46DAA"/>
    <w:rsid w:val="00F47410"/>
    <w:rsid w:val="00F51B73"/>
    <w:rsid w:val="00F52EB1"/>
    <w:rsid w:val="00F5509B"/>
    <w:rsid w:val="00F564DF"/>
    <w:rsid w:val="00F57ABA"/>
    <w:rsid w:val="00F60ABE"/>
    <w:rsid w:val="00F60D40"/>
    <w:rsid w:val="00F623DD"/>
    <w:rsid w:val="00F62765"/>
    <w:rsid w:val="00F635A5"/>
    <w:rsid w:val="00F6457D"/>
    <w:rsid w:val="00F65C52"/>
    <w:rsid w:val="00F667BA"/>
    <w:rsid w:val="00F70581"/>
    <w:rsid w:val="00F71B13"/>
    <w:rsid w:val="00F75065"/>
    <w:rsid w:val="00F7533C"/>
    <w:rsid w:val="00F757F7"/>
    <w:rsid w:val="00F76244"/>
    <w:rsid w:val="00F77558"/>
    <w:rsid w:val="00F80494"/>
    <w:rsid w:val="00F81856"/>
    <w:rsid w:val="00F81FA4"/>
    <w:rsid w:val="00F82B4D"/>
    <w:rsid w:val="00F82E25"/>
    <w:rsid w:val="00F82FA1"/>
    <w:rsid w:val="00F837F7"/>
    <w:rsid w:val="00F83F63"/>
    <w:rsid w:val="00F85D40"/>
    <w:rsid w:val="00F86139"/>
    <w:rsid w:val="00F86942"/>
    <w:rsid w:val="00F9233E"/>
    <w:rsid w:val="00F9298C"/>
    <w:rsid w:val="00F93121"/>
    <w:rsid w:val="00F931ED"/>
    <w:rsid w:val="00F93EF0"/>
    <w:rsid w:val="00F963B3"/>
    <w:rsid w:val="00F96F67"/>
    <w:rsid w:val="00F97571"/>
    <w:rsid w:val="00F97A08"/>
    <w:rsid w:val="00FA196F"/>
    <w:rsid w:val="00FA28E5"/>
    <w:rsid w:val="00FA2C42"/>
    <w:rsid w:val="00FA2DC8"/>
    <w:rsid w:val="00FA3919"/>
    <w:rsid w:val="00FA3FEE"/>
    <w:rsid w:val="00FA4D65"/>
    <w:rsid w:val="00FA52A3"/>
    <w:rsid w:val="00FA583A"/>
    <w:rsid w:val="00FA6481"/>
    <w:rsid w:val="00FA6840"/>
    <w:rsid w:val="00FA6D22"/>
    <w:rsid w:val="00FA725A"/>
    <w:rsid w:val="00FB0787"/>
    <w:rsid w:val="00FB0B91"/>
    <w:rsid w:val="00FB181D"/>
    <w:rsid w:val="00FB3AAB"/>
    <w:rsid w:val="00FB3EC3"/>
    <w:rsid w:val="00FB424A"/>
    <w:rsid w:val="00FB597D"/>
    <w:rsid w:val="00FB5C86"/>
    <w:rsid w:val="00FB5F3A"/>
    <w:rsid w:val="00FC0290"/>
    <w:rsid w:val="00FC2A36"/>
    <w:rsid w:val="00FC4C2D"/>
    <w:rsid w:val="00FC6545"/>
    <w:rsid w:val="00FC67B5"/>
    <w:rsid w:val="00FC7122"/>
    <w:rsid w:val="00FC76BA"/>
    <w:rsid w:val="00FD0479"/>
    <w:rsid w:val="00FD0651"/>
    <w:rsid w:val="00FD18DE"/>
    <w:rsid w:val="00FD32B3"/>
    <w:rsid w:val="00FD4442"/>
    <w:rsid w:val="00FD6850"/>
    <w:rsid w:val="00FE0314"/>
    <w:rsid w:val="00FE059C"/>
    <w:rsid w:val="00FE15EE"/>
    <w:rsid w:val="00FE1612"/>
    <w:rsid w:val="00FE3BBE"/>
    <w:rsid w:val="00FE3E3F"/>
    <w:rsid w:val="00FE53A8"/>
    <w:rsid w:val="00FE5474"/>
    <w:rsid w:val="00FE5CF4"/>
    <w:rsid w:val="00FE7BF7"/>
    <w:rsid w:val="00FF0C48"/>
    <w:rsid w:val="00FF1D23"/>
    <w:rsid w:val="00FF316F"/>
    <w:rsid w:val="00FF4BAC"/>
    <w:rsid w:val="00FF74E8"/>
    <w:rsid w:val="019ED98B"/>
    <w:rsid w:val="01BA4B10"/>
    <w:rsid w:val="01C69E9C"/>
    <w:rsid w:val="01C8AF69"/>
    <w:rsid w:val="01F336BD"/>
    <w:rsid w:val="021BDF9A"/>
    <w:rsid w:val="0280F8B9"/>
    <w:rsid w:val="029120BF"/>
    <w:rsid w:val="029F6854"/>
    <w:rsid w:val="02D39345"/>
    <w:rsid w:val="02ECAC72"/>
    <w:rsid w:val="030C3662"/>
    <w:rsid w:val="031713DC"/>
    <w:rsid w:val="0361BCDC"/>
    <w:rsid w:val="040BA239"/>
    <w:rsid w:val="0421A260"/>
    <w:rsid w:val="0421D211"/>
    <w:rsid w:val="04288BB2"/>
    <w:rsid w:val="04622E01"/>
    <w:rsid w:val="048F1B23"/>
    <w:rsid w:val="0491AF3F"/>
    <w:rsid w:val="049FF925"/>
    <w:rsid w:val="04B92E34"/>
    <w:rsid w:val="05114277"/>
    <w:rsid w:val="053B7244"/>
    <w:rsid w:val="05615058"/>
    <w:rsid w:val="05C3112F"/>
    <w:rsid w:val="05C3D8C4"/>
    <w:rsid w:val="05FBA8CA"/>
    <w:rsid w:val="0604D78E"/>
    <w:rsid w:val="060886A6"/>
    <w:rsid w:val="067A5E51"/>
    <w:rsid w:val="068823AC"/>
    <w:rsid w:val="06A3A209"/>
    <w:rsid w:val="06B3E884"/>
    <w:rsid w:val="06CD140B"/>
    <w:rsid w:val="06D78E65"/>
    <w:rsid w:val="07584E54"/>
    <w:rsid w:val="07A5FA57"/>
    <w:rsid w:val="07FADE34"/>
    <w:rsid w:val="07FC5902"/>
    <w:rsid w:val="0807B91E"/>
    <w:rsid w:val="08294901"/>
    <w:rsid w:val="082A3BF6"/>
    <w:rsid w:val="08912E77"/>
    <w:rsid w:val="08A6C32E"/>
    <w:rsid w:val="08B95B1E"/>
    <w:rsid w:val="08CD1B5E"/>
    <w:rsid w:val="08DA8DBF"/>
    <w:rsid w:val="08DD43CB"/>
    <w:rsid w:val="08F75CC2"/>
    <w:rsid w:val="08F86094"/>
    <w:rsid w:val="090CAE0D"/>
    <w:rsid w:val="092B370C"/>
    <w:rsid w:val="09368AC6"/>
    <w:rsid w:val="093E71C2"/>
    <w:rsid w:val="09412DAC"/>
    <w:rsid w:val="09462077"/>
    <w:rsid w:val="098F1656"/>
    <w:rsid w:val="09A46AEC"/>
    <w:rsid w:val="09A84AFB"/>
    <w:rsid w:val="09AA5DE2"/>
    <w:rsid w:val="09B73B7D"/>
    <w:rsid w:val="09DB576A"/>
    <w:rsid w:val="09DE75DB"/>
    <w:rsid w:val="0A080821"/>
    <w:rsid w:val="0A31A015"/>
    <w:rsid w:val="0A653FC9"/>
    <w:rsid w:val="0A7C69CB"/>
    <w:rsid w:val="0AB04A90"/>
    <w:rsid w:val="0AB3872A"/>
    <w:rsid w:val="0ACE6254"/>
    <w:rsid w:val="0ACF30E7"/>
    <w:rsid w:val="0ADA2C82"/>
    <w:rsid w:val="0AF4BB44"/>
    <w:rsid w:val="0AF9F3D5"/>
    <w:rsid w:val="0B0EB3FE"/>
    <w:rsid w:val="0B1D92AD"/>
    <w:rsid w:val="0B1DCA0C"/>
    <w:rsid w:val="0B4BA79F"/>
    <w:rsid w:val="0B6945EE"/>
    <w:rsid w:val="0B9D35E2"/>
    <w:rsid w:val="0C032670"/>
    <w:rsid w:val="0C120E25"/>
    <w:rsid w:val="0C14E2FA"/>
    <w:rsid w:val="0C1A12FD"/>
    <w:rsid w:val="0C1D3D05"/>
    <w:rsid w:val="0C5B3EF2"/>
    <w:rsid w:val="0C993C71"/>
    <w:rsid w:val="0CCB71F7"/>
    <w:rsid w:val="0CD1AE4A"/>
    <w:rsid w:val="0CEA1425"/>
    <w:rsid w:val="0D3AD2A0"/>
    <w:rsid w:val="0D579048"/>
    <w:rsid w:val="0D6ABE17"/>
    <w:rsid w:val="0D79CCBE"/>
    <w:rsid w:val="0D9B7D84"/>
    <w:rsid w:val="0DA5CBED"/>
    <w:rsid w:val="0DB21D3C"/>
    <w:rsid w:val="0DC361C2"/>
    <w:rsid w:val="0DDB17DB"/>
    <w:rsid w:val="0E0F9440"/>
    <w:rsid w:val="0E1F4332"/>
    <w:rsid w:val="0E54D158"/>
    <w:rsid w:val="0E59FCB9"/>
    <w:rsid w:val="0E5ACFFF"/>
    <w:rsid w:val="0E61D2DF"/>
    <w:rsid w:val="0E61E5EE"/>
    <w:rsid w:val="0E6897C3"/>
    <w:rsid w:val="0E86A3AF"/>
    <w:rsid w:val="0E88E149"/>
    <w:rsid w:val="0E9C76F5"/>
    <w:rsid w:val="0EBDD24E"/>
    <w:rsid w:val="0EC2F6C7"/>
    <w:rsid w:val="0EC9286F"/>
    <w:rsid w:val="0ECAD014"/>
    <w:rsid w:val="0EDB671F"/>
    <w:rsid w:val="0EDED1E4"/>
    <w:rsid w:val="0EDF5B36"/>
    <w:rsid w:val="0F38CA14"/>
    <w:rsid w:val="0F42DB76"/>
    <w:rsid w:val="0F52B545"/>
    <w:rsid w:val="0F75E0FE"/>
    <w:rsid w:val="0F7A4462"/>
    <w:rsid w:val="0F81E1A0"/>
    <w:rsid w:val="0F8BC9EE"/>
    <w:rsid w:val="0F9995DA"/>
    <w:rsid w:val="0FB5BE82"/>
    <w:rsid w:val="0FB74654"/>
    <w:rsid w:val="0FBE3B5B"/>
    <w:rsid w:val="0FC594A6"/>
    <w:rsid w:val="0FE09E89"/>
    <w:rsid w:val="0FE27DE7"/>
    <w:rsid w:val="0FE71C82"/>
    <w:rsid w:val="0FEAA8ED"/>
    <w:rsid w:val="0FF6B908"/>
    <w:rsid w:val="10029449"/>
    <w:rsid w:val="101A5DF6"/>
    <w:rsid w:val="10307192"/>
    <w:rsid w:val="103FCECC"/>
    <w:rsid w:val="1046C1D1"/>
    <w:rsid w:val="106F8DDE"/>
    <w:rsid w:val="1076BC5F"/>
    <w:rsid w:val="1086716C"/>
    <w:rsid w:val="108B1495"/>
    <w:rsid w:val="10B51619"/>
    <w:rsid w:val="10D43C90"/>
    <w:rsid w:val="10E0DC15"/>
    <w:rsid w:val="10E95EFE"/>
    <w:rsid w:val="113F336F"/>
    <w:rsid w:val="115421A0"/>
    <w:rsid w:val="1168E826"/>
    <w:rsid w:val="1198E194"/>
    <w:rsid w:val="11CE9780"/>
    <w:rsid w:val="11F6C495"/>
    <w:rsid w:val="1216FA3F"/>
    <w:rsid w:val="1226C982"/>
    <w:rsid w:val="1291949D"/>
    <w:rsid w:val="129437BA"/>
    <w:rsid w:val="129E002A"/>
    <w:rsid w:val="12C3E58D"/>
    <w:rsid w:val="12C58A75"/>
    <w:rsid w:val="12F9FA6B"/>
    <w:rsid w:val="1303CF9D"/>
    <w:rsid w:val="1312B42C"/>
    <w:rsid w:val="1319AD82"/>
    <w:rsid w:val="131DB0B3"/>
    <w:rsid w:val="13216D81"/>
    <w:rsid w:val="1325DEAA"/>
    <w:rsid w:val="138CA474"/>
    <w:rsid w:val="1394B9AD"/>
    <w:rsid w:val="13BF8543"/>
    <w:rsid w:val="13C84F9F"/>
    <w:rsid w:val="13E2BF23"/>
    <w:rsid w:val="140405EC"/>
    <w:rsid w:val="1418803B"/>
    <w:rsid w:val="142137E1"/>
    <w:rsid w:val="143D49D8"/>
    <w:rsid w:val="145321EE"/>
    <w:rsid w:val="147F3307"/>
    <w:rsid w:val="14B20EAF"/>
    <w:rsid w:val="14BF29F2"/>
    <w:rsid w:val="14CA64E5"/>
    <w:rsid w:val="14FD964A"/>
    <w:rsid w:val="150AC583"/>
    <w:rsid w:val="150DFD30"/>
    <w:rsid w:val="153C2998"/>
    <w:rsid w:val="154B9DF5"/>
    <w:rsid w:val="15658B73"/>
    <w:rsid w:val="15743B41"/>
    <w:rsid w:val="15A594A8"/>
    <w:rsid w:val="15CBF983"/>
    <w:rsid w:val="163D160B"/>
    <w:rsid w:val="163ED66C"/>
    <w:rsid w:val="1655B471"/>
    <w:rsid w:val="16A695C5"/>
    <w:rsid w:val="16F02D58"/>
    <w:rsid w:val="171DABC5"/>
    <w:rsid w:val="171E8B24"/>
    <w:rsid w:val="1727B0E0"/>
    <w:rsid w:val="17513726"/>
    <w:rsid w:val="175924DD"/>
    <w:rsid w:val="1772A390"/>
    <w:rsid w:val="1812385E"/>
    <w:rsid w:val="18141BB9"/>
    <w:rsid w:val="181E3682"/>
    <w:rsid w:val="1834F245"/>
    <w:rsid w:val="1850EAC1"/>
    <w:rsid w:val="1863D486"/>
    <w:rsid w:val="188AB637"/>
    <w:rsid w:val="18C15212"/>
    <w:rsid w:val="18C9C496"/>
    <w:rsid w:val="18CDE4FC"/>
    <w:rsid w:val="18CFE87F"/>
    <w:rsid w:val="194B2EE0"/>
    <w:rsid w:val="198F2DAD"/>
    <w:rsid w:val="19A9D313"/>
    <w:rsid w:val="19CE1189"/>
    <w:rsid w:val="1A3B9FC6"/>
    <w:rsid w:val="1A438D5F"/>
    <w:rsid w:val="1A718BBE"/>
    <w:rsid w:val="1A7FDF4E"/>
    <w:rsid w:val="1A8F0806"/>
    <w:rsid w:val="1AB50809"/>
    <w:rsid w:val="1ABA0A1D"/>
    <w:rsid w:val="1ADF20FE"/>
    <w:rsid w:val="1AE207AA"/>
    <w:rsid w:val="1B22BB2B"/>
    <w:rsid w:val="1B2588A8"/>
    <w:rsid w:val="1B3FE225"/>
    <w:rsid w:val="1B475593"/>
    <w:rsid w:val="1B5F3FC2"/>
    <w:rsid w:val="1B95B6E8"/>
    <w:rsid w:val="1BCC1597"/>
    <w:rsid w:val="1C220E3F"/>
    <w:rsid w:val="1C3564B3"/>
    <w:rsid w:val="1C508C4F"/>
    <w:rsid w:val="1C75D2A0"/>
    <w:rsid w:val="1CD6C577"/>
    <w:rsid w:val="1D1A5ADC"/>
    <w:rsid w:val="1D23C5AF"/>
    <w:rsid w:val="1D291B33"/>
    <w:rsid w:val="1D5EC0F4"/>
    <w:rsid w:val="1D84ACEA"/>
    <w:rsid w:val="1DA41A05"/>
    <w:rsid w:val="1DD9EC6A"/>
    <w:rsid w:val="1DDD8E4F"/>
    <w:rsid w:val="1DE5F5B2"/>
    <w:rsid w:val="1DFC5A30"/>
    <w:rsid w:val="1E1A1D26"/>
    <w:rsid w:val="1E206E27"/>
    <w:rsid w:val="1E2331F6"/>
    <w:rsid w:val="1E2A10BA"/>
    <w:rsid w:val="1E2E38E8"/>
    <w:rsid w:val="1E4394B0"/>
    <w:rsid w:val="1E47ABFC"/>
    <w:rsid w:val="1E56A20A"/>
    <w:rsid w:val="1E5D1241"/>
    <w:rsid w:val="1E72B287"/>
    <w:rsid w:val="1E73CDB6"/>
    <w:rsid w:val="1EB29E2E"/>
    <w:rsid w:val="1EC1C71F"/>
    <w:rsid w:val="1ED4FB0B"/>
    <w:rsid w:val="1EDF01B7"/>
    <w:rsid w:val="1EF8E06A"/>
    <w:rsid w:val="1F5BD227"/>
    <w:rsid w:val="1F88E6BE"/>
    <w:rsid w:val="1FB3A959"/>
    <w:rsid w:val="1FC0431B"/>
    <w:rsid w:val="20011DD3"/>
    <w:rsid w:val="2018732E"/>
    <w:rsid w:val="20200B99"/>
    <w:rsid w:val="2098E5B4"/>
    <w:rsid w:val="20AB6486"/>
    <w:rsid w:val="20B44343"/>
    <w:rsid w:val="20CCF10D"/>
    <w:rsid w:val="20D90C35"/>
    <w:rsid w:val="20DAFEE4"/>
    <w:rsid w:val="21280093"/>
    <w:rsid w:val="213CCB49"/>
    <w:rsid w:val="214C4F22"/>
    <w:rsid w:val="215AD0F5"/>
    <w:rsid w:val="2163A2E8"/>
    <w:rsid w:val="2191AC52"/>
    <w:rsid w:val="21B6B07C"/>
    <w:rsid w:val="22053CF0"/>
    <w:rsid w:val="221BBD32"/>
    <w:rsid w:val="2225169E"/>
    <w:rsid w:val="2245DDBE"/>
    <w:rsid w:val="22511494"/>
    <w:rsid w:val="225212D7"/>
    <w:rsid w:val="22602362"/>
    <w:rsid w:val="2272D11F"/>
    <w:rsid w:val="227DA838"/>
    <w:rsid w:val="22C77DA1"/>
    <w:rsid w:val="22FB50FB"/>
    <w:rsid w:val="2342D15F"/>
    <w:rsid w:val="23A3D8D9"/>
    <w:rsid w:val="23C83976"/>
    <w:rsid w:val="24127506"/>
    <w:rsid w:val="2426F0E0"/>
    <w:rsid w:val="248B71EB"/>
    <w:rsid w:val="24A3AE74"/>
    <w:rsid w:val="24AEB0C7"/>
    <w:rsid w:val="24DC663B"/>
    <w:rsid w:val="2509713C"/>
    <w:rsid w:val="25193739"/>
    <w:rsid w:val="2529A523"/>
    <w:rsid w:val="25A612C5"/>
    <w:rsid w:val="25BD884C"/>
    <w:rsid w:val="2602B1C2"/>
    <w:rsid w:val="260D18E6"/>
    <w:rsid w:val="26221487"/>
    <w:rsid w:val="262C329B"/>
    <w:rsid w:val="2638CAC3"/>
    <w:rsid w:val="2644C4C8"/>
    <w:rsid w:val="2651A575"/>
    <w:rsid w:val="265C02E2"/>
    <w:rsid w:val="266172A1"/>
    <w:rsid w:val="2683CF34"/>
    <w:rsid w:val="269D76F4"/>
    <w:rsid w:val="26A100CC"/>
    <w:rsid w:val="26A5DBC8"/>
    <w:rsid w:val="26CAE037"/>
    <w:rsid w:val="271B8218"/>
    <w:rsid w:val="274A7395"/>
    <w:rsid w:val="2754DD83"/>
    <w:rsid w:val="276B46A3"/>
    <w:rsid w:val="2774C825"/>
    <w:rsid w:val="277B4BD3"/>
    <w:rsid w:val="28044108"/>
    <w:rsid w:val="2835FE04"/>
    <w:rsid w:val="28524C22"/>
    <w:rsid w:val="2857EA27"/>
    <w:rsid w:val="2864569A"/>
    <w:rsid w:val="288F5192"/>
    <w:rsid w:val="28B513FB"/>
    <w:rsid w:val="28B6599C"/>
    <w:rsid w:val="28B818C6"/>
    <w:rsid w:val="28EF37CC"/>
    <w:rsid w:val="28F5E6ED"/>
    <w:rsid w:val="291BA14B"/>
    <w:rsid w:val="296EA0AF"/>
    <w:rsid w:val="297C645B"/>
    <w:rsid w:val="29ABE04C"/>
    <w:rsid w:val="29B12836"/>
    <w:rsid w:val="29DB4A73"/>
    <w:rsid w:val="2A119B95"/>
    <w:rsid w:val="2A249A2F"/>
    <w:rsid w:val="2A68502B"/>
    <w:rsid w:val="2A69D10A"/>
    <w:rsid w:val="2A89FFF8"/>
    <w:rsid w:val="2AB88EF2"/>
    <w:rsid w:val="2ACD13A2"/>
    <w:rsid w:val="2B3C8734"/>
    <w:rsid w:val="2B4703F5"/>
    <w:rsid w:val="2B4A86FD"/>
    <w:rsid w:val="2B53C8D0"/>
    <w:rsid w:val="2B5F164A"/>
    <w:rsid w:val="2BAA158E"/>
    <w:rsid w:val="2BB1B7E1"/>
    <w:rsid w:val="2BB9171E"/>
    <w:rsid w:val="2BFF5A08"/>
    <w:rsid w:val="2C0AB37C"/>
    <w:rsid w:val="2C17759F"/>
    <w:rsid w:val="2C1CC0B7"/>
    <w:rsid w:val="2C25EA26"/>
    <w:rsid w:val="2C84739F"/>
    <w:rsid w:val="2C8C0634"/>
    <w:rsid w:val="2C90A1E8"/>
    <w:rsid w:val="2C96BDAD"/>
    <w:rsid w:val="2C96C59F"/>
    <w:rsid w:val="2CBEE8F4"/>
    <w:rsid w:val="2CCAF85E"/>
    <w:rsid w:val="2CD7719E"/>
    <w:rsid w:val="2CEC3632"/>
    <w:rsid w:val="2CFE57E2"/>
    <w:rsid w:val="2D17668A"/>
    <w:rsid w:val="2D1A9B90"/>
    <w:rsid w:val="2D5D55CB"/>
    <w:rsid w:val="2D87E113"/>
    <w:rsid w:val="2D8F55A5"/>
    <w:rsid w:val="2DA9F3E1"/>
    <w:rsid w:val="2DC3CDB7"/>
    <w:rsid w:val="2DECEA1A"/>
    <w:rsid w:val="2DFDEADA"/>
    <w:rsid w:val="2E2363CC"/>
    <w:rsid w:val="2E3C7C6F"/>
    <w:rsid w:val="2E7BBCC6"/>
    <w:rsid w:val="2E88C73F"/>
    <w:rsid w:val="2E8ABB1B"/>
    <w:rsid w:val="2E911C6F"/>
    <w:rsid w:val="2ED32A7B"/>
    <w:rsid w:val="2EE175FF"/>
    <w:rsid w:val="2F2079D9"/>
    <w:rsid w:val="2F3B2D6A"/>
    <w:rsid w:val="2F6011AC"/>
    <w:rsid w:val="2F8A181A"/>
    <w:rsid w:val="2F8DBD57"/>
    <w:rsid w:val="2F8DE80E"/>
    <w:rsid w:val="2FA2FEFE"/>
    <w:rsid w:val="2FB6B426"/>
    <w:rsid w:val="2FCF97E0"/>
    <w:rsid w:val="3002F501"/>
    <w:rsid w:val="301C740F"/>
    <w:rsid w:val="30566BEE"/>
    <w:rsid w:val="30828DE9"/>
    <w:rsid w:val="3082B5B7"/>
    <w:rsid w:val="30B3DDC9"/>
    <w:rsid w:val="30B6A3D3"/>
    <w:rsid w:val="30BD5DDB"/>
    <w:rsid w:val="30CEFF08"/>
    <w:rsid w:val="30D0890F"/>
    <w:rsid w:val="30D5987E"/>
    <w:rsid w:val="312A0305"/>
    <w:rsid w:val="313D9F9B"/>
    <w:rsid w:val="314A2F4B"/>
    <w:rsid w:val="31521E73"/>
    <w:rsid w:val="316126B9"/>
    <w:rsid w:val="317073FC"/>
    <w:rsid w:val="31B4E8E4"/>
    <w:rsid w:val="31C2ACC5"/>
    <w:rsid w:val="31C57DAB"/>
    <w:rsid w:val="31CA65FC"/>
    <w:rsid w:val="31DAFEAA"/>
    <w:rsid w:val="3211A64F"/>
    <w:rsid w:val="32487A5C"/>
    <w:rsid w:val="3258C2F4"/>
    <w:rsid w:val="32A9F9C1"/>
    <w:rsid w:val="32AA2214"/>
    <w:rsid w:val="32DD5CED"/>
    <w:rsid w:val="32DF478B"/>
    <w:rsid w:val="32E6FF44"/>
    <w:rsid w:val="32FB8135"/>
    <w:rsid w:val="331FFC81"/>
    <w:rsid w:val="33240ED8"/>
    <w:rsid w:val="3349035B"/>
    <w:rsid w:val="33ACFAAE"/>
    <w:rsid w:val="33B1496A"/>
    <w:rsid w:val="33C0E95C"/>
    <w:rsid w:val="33C0F13C"/>
    <w:rsid w:val="33D1D8AC"/>
    <w:rsid w:val="33E6E758"/>
    <w:rsid w:val="33F2AAF7"/>
    <w:rsid w:val="33F66902"/>
    <w:rsid w:val="34238B17"/>
    <w:rsid w:val="3441202A"/>
    <w:rsid w:val="3463946C"/>
    <w:rsid w:val="34A99588"/>
    <w:rsid w:val="34BB6C15"/>
    <w:rsid w:val="34BE2DEC"/>
    <w:rsid w:val="34E01FE4"/>
    <w:rsid w:val="34E06464"/>
    <w:rsid w:val="34E70AFE"/>
    <w:rsid w:val="34EA2231"/>
    <w:rsid w:val="34F9ECA2"/>
    <w:rsid w:val="3501F5FD"/>
    <w:rsid w:val="3532C4B7"/>
    <w:rsid w:val="35622566"/>
    <w:rsid w:val="3562978C"/>
    <w:rsid w:val="3597C786"/>
    <w:rsid w:val="35E3A8FB"/>
    <w:rsid w:val="35ED0E62"/>
    <w:rsid w:val="3603BF73"/>
    <w:rsid w:val="3613C694"/>
    <w:rsid w:val="361C09D9"/>
    <w:rsid w:val="361D7364"/>
    <w:rsid w:val="36439B59"/>
    <w:rsid w:val="36885DF9"/>
    <w:rsid w:val="36A9F2F0"/>
    <w:rsid w:val="36B4B248"/>
    <w:rsid w:val="36B4E7D3"/>
    <w:rsid w:val="36EA4001"/>
    <w:rsid w:val="372AEE1D"/>
    <w:rsid w:val="373CFF3A"/>
    <w:rsid w:val="3753E723"/>
    <w:rsid w:val="37A8A09F"/>
    <w:rsid w:val="37A9C18E"/>
    <w:rsid w:val="37BFF913"/>
    <w:rsid w:val="37ED810D"/>
    <w:rsid w:val="37F42B9D"/>
    <w:rsid w:val="38149DB3"/>
    <w:rsid w:val="387ECAA0"/>
    <w:rsid w:val="38908553"/>
    <w:rsid w:val="38C6CACE"/>
    <w:rsid w:val="38E95689"/>
    <w:rsid w:val="38F30249"/>
    <w:rsid w:val="38FC5F08"/>
    <w:rsid w:val="38FF94DB"/>
    <w:rsid w:val="39057F31"/>
    <w:rsid w:val="3929F22C"/>
    <w:rsid w:val="39350C6C"/>
    <w:rsid w:val="394AD4B0"/>
    <w:rsid w:val="396D909A"/>
    <w:rsid w:val="39B15D0D"/>
    <w:rsid w:val="39B7CD08"/>
    <w:rsid w:val="3A059286"/>
    <w:rsid w:val="3A0A98DA"/>
    <w:rsid w:val="3A137818"/>
    <w:rsid w:val="3A22AD2F"/>
    <w:rsid w:val="3A75AA62"/>
    <w:rsid w:val="3A7F46B7"/>
    <w:rsid w:val="3AC86E82"/>
    <w:rsid w:val="3ACAEE09"/>
    <w:rsid w:val="3ADDC75D"/>
    <w:rsid w:val="3B24E183"/>
    <w:rsid w:val="3B563A17"/>
    <w:rsid w:val="3B6F3EB0"/>
    <w:rsid w:val="3B6F44EB"/>
    <w:rsid w:val="3B8EA1AC"/>
    <w:rsid w:val="3B980AB3"/>
    <w:rsid w:val="3B9A5B57"/>
    <w:rsid w:val="3BBB2D2B"/>
    <w:rsid w:val="3BC7595E"/>
    <w:rsid w:val="3BD30DDC"/>
    <w:rsid w:val="3BDF5B0F"/>
    <w:rsid w:val="3BEBF510"/>
    <w:rsid w:val="3C1577DE"/>
    <w:rsid w:val="3C1CE817"/>
    <w:rsid w:val="3C228665"/>
    <w:rsid w:val="3C469A07"/>
    <w:rsid w:val="3C4CA14C"/>
    <w:rsid w:val="3C5740E3"/>
    <w:rsid w:val="3C57641D"/>
    <w:rsid w:val="3C624C6A"/>
    <w:rsid w:val="3C791E76"/>
    <w:rsid w:val="3CC9B401"/>
    <w:rsid w:val="3D066DFA"/>
    <w:rsid w:val="3D19F3CB"/>
    <w:rsid w:val="3D29F9B2"/>
    <w:rsid w:val="3D4EA290"/>
    <w:rsid w:val="3D8BD3DE"/>
    <w:rsid w:val="3D9596E5"/>
    <w:rsid w:val="3DA6E5AB"/>
    <w:rsid w:val="3DABAA34"/>
    <w:rsid w:val="3DE988DE"/>
    <w:rsid w:val="3DFB4DEB"/>
    <w:rsid w:val="3E2B6312"/>
    <w:rsid w:val="3E39364C"/>
    <w:rsid w:val="3E53A1F3"/>
    <w:rsid w:val="3E84F6F4"/>
    <w:rsid w:val="3E94090E"/>
    <w:rsid w:val="3EC520DA"/>
    <w:rsid w:val="3ED97D6E"/>
    <w:rsid w:val="3EDFDF6F"/>
    <w:rsid w:val="3EE7E98D"/>
    <w:rsid w:val="3F478459"/>
    <w:rsid w:val="3F8D0EA1"/>
    <w:rsid w:val="3F94F6B8"/>
    <w:rsid w:val="3F9E190C"/>
    <w:rsid w:val="3FA23B18"/>
    <w:rsid w:val="3FB53E76"/>
    <w:rsid w:val="3FE5C9AD"/>
    <w:rsid w:val="404BAB37"/>
    <w:rsid w:val="408211AE"/>
    <w:rsid w:val="4095AFB2"/>
    <w:rsid w:val="40A2E38B"/>
    <w:rsid w:val="40A62833"/>
    <w:rsid w:val="40C87FD8"/>
    <w:rsid w:val="40EAE525"/>
    <w:rsid w:val="40F00D9A"/>
    <w:rsid w:val="40F6DC9C"/>
    <w:rsid w:val="41222287"/>
    <w:rsid w:val="4144A315"/>
    <w:rsid w:val="4166F0AF"/>
    <w:rsid w:val="416CF6EE"/>
    <w:rsid w:val="417E9F24"/>
    <w:rsid w:val="4190C026"/>
    <w:rsid w:val="41A59B80"/>
    <w:rsid w:val="41EE474D"/>
    <w:rsid w:val="42015E3E"/>
    <w:rsid w:val="420C630C"/>
    <w:rsid w:val="421BC1C1"/>
    <w:rsid w:val="4220D2D0"/>
    <w:rsid w:val="4266E480"/>
    <w:rsid w:val="426FF0A4"/>
    <w:rsid w:val="42997175"/>
    <w:rsid w:val="42F313EB"/>
    <w:rsid w:val="43064F7B"/>
    <w:rsid w:val="431FAD70"/>
    <w:rsid w:val="4329398F"/>
    <w:rsid w:val="433124F2"/>
    <w:rsid w:val="4346B732"/>
    <w:rsid w:val="437FBBA8"/>
    <w:rsid w:val="43954270"/>
    <w:rsid w:val="43D8F627"/>
    <w:rsid w:val="43E80FEF"/>
    <w:rsid w:val="43FD99AB"/>
    <w:rsid w:val="4403E359"/>
    <w:rsid w:val="44300A5E"/>
    <w:rsid w:val="44A2A69C"/>
    <w:rsid w:val="44B79E1D"/>
    <w:rsid w:val="44C4FF13"/>
    <w:rsid w:val="44D9FB56"/>
    <w:rsid w:val="44DCAF39"/>
    <w:rsid w:val="45120A36"/>
    <w:rsid w:val="454CA693"/>
    <w:rsid w:val="45B10326"/>
    <w:rsid w:val="45CBBD3F"/>
    <w:rsid w:val="45E95340"/>
    <w:rsid w:val="45EFED15"/>
    <w:rsid w:val="45F1DB05"/>
    <w:rsid w:val="46396A8F"/>
    <w:rsid w:val="4649AD6E"/>
    <w:rsid w:val="466899D0"/>
    <w:rsid w:val="468A9114"/>
    <w:rsid w:val="469A17E2"/>
    <w:rsid w:val="46AF90CC"/>
    <w:rsid w:val="46CCED50"/>
    <w:rsid w:val="46D4E4DE"/>
    <w:rsid w:val="46D8F286"/>
    <w:rsid w:val="46EAA7B7"/>
    <w:rsid w:val="46EF6F69"/>
    <w:rsid w:val="46F538F7"/>
    <w:rsid w:val="46FAB593"/>
    <w:rsid w:val="46FBEBD4"/>
    <w:rsid w:val="47135655"/>
    <w:rsid w:val="47811D12"/>
    <w:rsid w:val="47EE3B47"/>
    <w:rsid w:val="48179C6B"/>
    <w:rsid w:val="483C436F"/>
    <w:rsid w:val="484852FD"/>
    <w:rsid w:val="48825975"/>
    <w:rsid w:val="488A5B41"/>
    <w:rsid w:val="4895DAFC"/>
    <w:rsid w:val="489FC654"/>
    <w:rsid w:val="48BB489E"/>
    <w:rsid w:val="48CE63C2"/>
    <w:rsid w:val="48D67497"/>
    <w:rsid w:val="49216210"/>
    <w:rsid w:val="493D3308"/>
    <w:rsid w:val="496D12B7"/>
    <w:rsid w:val="4977D7F4"/>
    <w:rsid w:val="4995FA41"/>
    <w:rsid w:val="499E585D"/>
    <w:rsid w:val="49B4C6D9"/>
    <w:rsid w:val="49CAA7F5"/>
    <w:rsid w:val="49E6A3A9"/>
    <w:rsid w:val="4A25AB68"/>
    <w:rsid w:val="4A2BA498"/>
    <w:rsid w:val="4A44E8B8"/>
    <w:rsid w:val="4A4A5040"/>
    <w:rsid w:val="4A55A24E"/>
    <w:rsid w:val="4AA27B3B"/>
    <w:rsid w:val="4AF79249"/>
    <w:rsid w:val="4B013FEC"/>
    <w:rsid w:val="4B08C331"/>
    <w:rsid w:val="4B0EC58B"/>
    <w:rsid w:val="4B17F358"/>
    <w:rsid w:val="4B417BB3"/>
    <w:rsid w:val="4B43B470"/>
    <w:rsid w:val="4B4C2EF0"/>
    <w:rsid w:val="4B537C26"/>
    <w:rsid w:val="4B671CE2"/>
    <w:rsid w:val="4B74FA48"/>
    <w:rsid w:val="4B763711"/>
    <w:rsid w:val="4B7BF401"/>
    <w:rsid w:val="4BB75275"/>
    <w:rsid w:val="4BEFF7F1"/>
    <w:rsid w:val="4C3B71D1"/>
    <w:rsid w:val="4C6A3861"/>
    <w:rsid w:val="4CD6A36E"/>
    <w:rsid w:val="4D0FC9B9"/>
    <w:rsid w:val="4D2DC934"/>
    <w:rsid w:val="4D43CDC2"/>
    <w:rsid w:val="4D44A172"/>
    <w:rsid w:val="4D4BB9D4"/>
    <w:rsid w:val="4D56DD2E"/>
    <w:rsid w:val="4D6DC0FC"/>
    <w:rsid w:val="4D840CB4"/>
    <w:rsid w:val="4DCBBF76"/>
    <w:rsid w:val="4DCDAB32"/>
    <w:rsid w:val="4E1A4847"/>
    <w:rsid w:val="4E36A3A8"/>
    <w:rsid w:val="4E51676F"/>
    <w:rsid w:val="4E6D1A66"/>
    <w:rsid w:val="4E8871CD"/>
    <w:rsid w:val="4F16C661"/>
    <w:rsid w:val="4F177028"/>
    <w:rsid w:val="4F2B0CE1"/>
    <w:rsid w:val="4F2C050E"/>
    <w:rsid w:val="4F32421A"/>
    <w:rsid w:val="4F608870"/>
    <w:rsid w:val="4FC8533E"/>
    <w:rsid w:val="4FD91C6E"/>
    <w:rsid w:val="4FE00A05"/>
    <w:rsid w:val="4FE8A3BF"/>
    <w:rsid w:val="4FF5745F"/>
    <w:rsid w:val="4FFE2681"/>
    <w:rsid w:val="501631B8"/>
    <w:rsid w:val="5018B23C"/>
    <w:rsid w:val="5027AB96"/>
    <w:rsid w:val="502E9F5A"/>
    <w:rsid w:val="50449FBA"/>
    <w:rsid w:val="505A1DBB"/>
    <w:rsid w:val="50831650"/>
    <w:rsid w:val="509279B0"/>
    <w:rsid w:val="5092F81F"/>
    <w:rsid w:val="50C6D70F"/>
    <w:rsid w:val="50CF3470"/>
    <w:rsid w:val="50F2A623"/>
    <w:rsid w:val="5138AB83"/>
    <w:rsid w:val="51542064"/>
    <w:rsid w:val="5156F3AD"/>
    <w:rsid w:val="515BCD02"/>
    <w:rsid w:val="51619A36"/>
    <w:rsid w:val="5165378A"/>
    <w:rsid w:val="517CA377"/>
    <w:rsid w:val="51A87063"/>
    <w:rsid w:val="51C42212"/>
    <w:rsid w:val="51C42CE4"/>
    <w:rsid w:val="51C4FD24"/>
    <w:rsid w:val="51DF9133"/>
    <w:rsid w:val="51E0068C"/>
    <w:rsid w:val="51ED6A48"/>
    <w:rsid w:val="52168297"/>
    <w:rsid w:val="52244BAD"/>
    <w:rsid w:val="523E797E"/>
    <w:rsid w:val="5252824B"/>
    <w:rsid w:val="526DC8D6"/>
    <w:rsid w:val="52785933"/>
    <w:rsid w:val="52794E93"/>
    <w:rsid w:val="52B2678E"/>
    <w:rsid w:val="52BEE403"/>
    <w:rsid w:val="52F6B895"/>
    <w:rsid w:val="52FFBDDC"/>
    <w:rsid w:val="53210CEB"/>
    <w:rsid w:val="5345D0EB"/>
    <w:rsid w:val="535B4969"/>
    <w:rsid w:val="536DD80E"/>
    <w:rsid w:val="53C0BB5B"/>
    <w:rsid w:val="53C4CE31"/>
    <w:rsid w:val="53C4F071"/>
    <w:rsid w:val="543F3158"/>
    <w:rsid w:val="545B527D"/>
    <w:rsid w:val="5460DF5D"/>
    <w:rsid w:val="546E3F22"/>
    <w:rsid w:val="546EFE73"/>
    <w:rsid w:val="547A8FFC"/>
    <w:rsid w:val="54EF2C7E"/>
    <w:rsid w:val="5522516E"/>
    <w:rsid w:val="55435C03"/>
    <w:rsid w:val="555DB45C"/>
    <w:rsid w:val="555E840E"/>
    <w:rsid w:val="55679137"/>
    <w:rsid w:val="5586FFB8"/>
    <w:rsid w:val="559E0E8C"/>
    <w:rsid w:val="55B07DB8"/>
    <w:rsid w:val="55C87D15"/>
    <w:rsid w:val="55D8CA90"/>
    <w:rsid w:val="56139ABD"/>
    <w:rsid w:val="5616184E"/>
    <w:rsid w:val="566F2007"/>
    <w:rsid w:val="568D9DD7"/>
    <w:rsid w:val="56AD185E"/>
    <w:rsid w:val="56DEAC09"/>
    <w:rsid w:val="56F1DC5C"/>
    <w:rsid w:val="570543BB"/>
    <w:rsid w:val="57075327"/>
    <w:rsid w:val="572765B5"/>
    <w:rsid w:val="5748CE1B"/>
    <w:rsid w:val="5757C1A2"/>
    <w:rsid w:val="575DB20A"/>
    <w:rsid w:val="57B4EBDE"/>
    <w:rsid w:val="57ECB191"/>
    <w:rsid w:val="57FC147D"/>
    <w:rsid w:val="58406292"/>
    <w:rsid w:val="58668687"/>
    <w:rsid w:val="586C3C6A"/>
    <w:rsid w:val="5877807C"/>
    <w:rsid w:val="58E092A1"/>
    <w:rsid w:val="591F8A1E"/>
    <w:rsid w:val="5949D735"/>
    <w:rsid w:val="595C53A6"/>
    <w:rsid w:val="595DF23A"/>
    <w:rsid w:val="5972DCD2"/>
    <w:rsid w:val="5994C622"/>
    <w:rsid w:val="59BA3E03"/>
    <w:rsid w:val="5A08B77B"/>
    <w:rsid w:val="5A13C41E"/>
    <w:rsid w:val="5A3BDFA4"/>
    <w:rsid w:val="5A57F5AA"/>
    <w:rsid w:val="5A68E636"/>
    <w:rsid w:val="5A7BB706"/>
    <w:rsid w:val="5A88F34A"/>
    <w:rsid w:val="5A92C818"/>
    <w:rsid w:val="5AA25AD3"/>
    <w:rsid w:val="5AA2B6C5"/>
    <w:rsid w:val="5AB9571C"/>
    <w:rsid w:val="5AE4A3DC"/>
    <w:rsid w:val="5AF1B0E1"/>
    <w:rsid w:val="5AFDEE01"/>
    <w:rsid w:val="5B02757D"/>
    <w:rsid w:val="5B5F3F1D"/>
    <w:rsid w:val="5B6C8D35"/>
    <w:rsid w:val="5BF75CE2"/>
    <w:rsid w:val="5C1B96A3"/>
    <w:rsid w:val="5C35EB93"/>
    <w:rsid w:val="5C40DA1F"/>
    <w:rsid w:val="5C438020"/>
    <w:rsid w:val="5C5F7F5C"/>
    <w:rsid w:val="5C757A31"/>
    <w:rsid w:val="5C9CF4C3"/>
    <w:rsid w:val="5CB0B86F"/>
    <w:rsid w:val="5CCBFB77"/>
    <w:rsid w:val="5CF1B456"/>
    <w:rsid w:val="5D445521"/>
    <w:rsid w:val="5D5397FD"/>
    <w:rsid w:val="5D5FD76B"/>
    <w:rsid w:val="5DA010C9"/>
    <w:rsid w:val="5DA69C99"/>
    <w:rsid w:val="5DD89E58"/>
    <w:rsid w:val="5E0C58B7"/>
    <w:rsid w:val="5E22D7C6"/>
    <w:rsid w:val="5E7CB55D"/>
    <w:rsid w:val="5E897EB0"/>
    <w:rsid w:val="5E98E094"/>
    <w:rsid w:val="5EB5D3C2"/>
    <w:rsid w:val="5EBA2135"/>
    <w:rsid w:val="5ECB8EBE"/>
    <w:rsid w:val="5EFB4C65"/>
    <w:rsid w:val="5F2B6D44"/>
    <w:rsid w:val="5F3B388A"/>
    <w:rsid w:val="5F428761"/>
    <w:rsid w:val="5F69F2EB"/>
    <w:rsid w:val="5F6D9FF3"/>
    <w:rsid w:val="5F724A19"/>
    <w:rsid w:val="5F7C7DAD"/>
    <w:rsid w:val="5F8DAEDF"/>
    <w:rsid w:val="5F9371B7"/>
    <w:rsid w:val="5FCAD720"/>
    <w:rsid w:val="5FF25D94"/>
    <w:rsid w:val="5FFF6385"/>
    <w:rsid w:val="602440E7"/>
    <w:rsid w:val="6042D32F"/>
    <w:rsid w:val="606C7962"/>
    <w:rsid w:val="607968D0"/>
    <w:rsid w:val="6081DCEF"/>
    <w:rsid w:val="608F3D24"/>
    <w:rsid w:val="6096390C"/>
    <w:rsid w:val="6096F287"/>
    <w:rsid w:val="609AD6FC"/>
    <w:rsid w:val="60B87A05"/>
    <w:rsid w:val="60DEA5F4"/>
    <w:rsid w:val="61200D2C"/>
    <w:rsid w:val="613288DC"/>
    <w:rsid w:val="614A0FB5"/>
    <w:rsid w:val="6169C23F"/>
    <w:rsid w:val="61F5F8C6"/>
    <w:rsid w:val="623C78C1"/>
    <w:rsid w:val="62443280"/>
    <w:rsid w:val="625751B6"/>
    <w:rsid w:val="625E0C71"/>
    <w:rsid w:val="62631A2B"/>
    <w:rsid w:val="6264FA0E"/>
    <w:rsid w:val="629E2183"/>
    <w:rsid w:val="62C8E6B6"/>
    <w:rsid w:val="62CFC30F"/>
    <w:rsid w:val="62FA9EDD"/>
    <w:rsid w:val="63004D9E"/>
    <w:rsid w:val="63264FD3"/>
    <w:rsid w:val="6350571A"/>
    <w:rsid w:val="63CC572F"/>
    <w:rsid w:val="64078C0E"/>
    <w:rsid w:val="64123549"/>
    <w:rsid w:val="6421F951"/>
    <w:rsid w:val="642C0970"/>
    <w:rsid w:val="6453BD24"/>
    <w:rsid w:val="6458FB9B"/>
    <w:rsid w:val="646372CF"/>
    <w:rsid w:val="646E2BBE"/>
    <w:rsid w:val="647431EA"/>
    <w:rsid w:val="647F63FC"/>
    <w:rsid w:val="6499C48D"/>
    <w:rsid w:val="64C38D48"/>
    <w:rsid w:val="64C58537"/>
    <w:rsid w:val="64C7DFF9"/>
    <w:rsid w:val="64EC5842"/>
    <w:rsid w:val="650C8162"/>
    <w:rsid w:val="65226BF7"/>
    <w:rsid w:val="652486F2"/>
    <w:rsid w:val="6525DE5C"/>
    <w:rsid w:val="6528C8AD"/>
    <w:rsid w:val="652ABB00"/>
    <w:rsid w:val="654863D2"/>
    <w:rsid w:val="655B3E35"/>
    <w:rsid w:val="656519C0"/>
    <w:rsid w:val="657C74C9"/>
    <w:rsid w:val="65805618"/>
    <w:rsid w:val="65F47F99"/>
    <w:rsid w:val="66222961"/>
    <w:rsid w:val="66302043"/>
    <w:rsid w:val="669289DF"/>
    <w:rsid w:val="66C5CAAA"/>
    <w:rsid w:val="66F831A5"/>
    <w:rsid w:val="673B3B20"/>
    <w:rsid w:val="6780E845"/>
    <w:rsid w:val="67952B28"/>
    <w:rsid w:val="67B00F81"/>
    <w:rsid w:val="67DAA0AB"/>
    <w:rsid w:val="681F1947"/>
    <w:rsid w:val="6829BFD2"/>
    <w:rsid w:val="68408B73"/>
    <w:rsid w:val="684D13B4"/>
    <w:rsid w:val="687BFD22"/>
    <w:rsid w:val="68AF6359"/>
    <w:rsid w:val="68B1D9FF"/>
    <w:rsid w:val="68B4897B"/>
    <w:rsid w:val="68FAE049"/>
    <w:rsid w:val="68FC06B6"/>
    <w:rsid w:val="692D364E"/>
    <w:rsid w:val="6963F780"/>
    <w:rsid w:val="696416BB"/>
    <w:rsid w:val="69869820"/>
    <w:rsid w:val="69940876"/>
    <w:rsid w:val="6A97D594"/>
    <w:rsid w:val="6ABFF5B8"/>
    <w:rsid w:val="6B2BD16E"/>
    <w:rsid w:val="6B2F28E4"/>
    <w:rsid w:val="6B40CB8D"/>
    <w:rsid w:val="6B4B4671"/>
    <w:rsid w:val="6B586BF9"/>
    <w:rsid w:val="6B6B33D6"/>
    <w:rsid w:val="6B88F276"/>
    <w:rsid w:val="6B897170"/>
    <w:rsid w:val="6B92C9D5"/>
    <w:rsid w:val="6BB31868"/>
    <w:rsid w:val="6BBCD2BF"/>
    <w:rsid w:val="6BC5DE7D"/>
    <w:rsid w:val="6C32E09C"/>
    <w:rsid w:val="6C51ECD4"/>
    <w:rsid w:val="6CD25364"/>
    <w:rsid w:val="6CE81D1D"/>
    <w:rsid w:val="6CEEED66"/>
    <w:rsid w:val="6D10DACC"/>
    <w:rsid w:val="6D229E9B"/>
    <w:rsid w:val="6D32667E"/>
    <w:rsid w:val="6D4E1484"/>
    <w:rsid w:val="6D4E8F70"/>
    <w:rsid w:val="6D61D2E3"/>
    <w:rsid w:val="6D73A6CA"/>
    <w:rsid w:val="6DAE6849"/>
    <w:rsid w:val="6DBD264A"/>
    <w:rsid w:val="6DBF1EAC"/>
    <w:rsid w:val="6E016E96"/>
    <w:rsid w:val="6E1561B1"/>
    <w:rsid w:val="6E1B28F3"/>
    <w:rsid w:val="6E43D1A8"/>
    <w:rsid w:val="6E49F599"/>
    <w:rsid w:val="6E58557B"/>
    <w:rsid w:val="6E86B890"/>
    <w:rsid w:val="6E95EEDF"/>
    <w:rsid w:val="6E981E2A"/>
    <w:rsid w:val="6E9CA807"/>
    <w:rsid w:val="6EACA466"/>
    <w:rsid w:val="6EC6A89A"/>
    <w:rsid w:val="6ED55B55"/>
    <w:rsid w:val="6EFE1B9F"/>
    <w:rsid w:val="6F010A24"/>
    <w:rsid w:val="6F448EC2"/>
    <w:rsid w:val="6F49624D"/>
    <w:rsid w:val="6F7D086E"/>
    <w:rsid w:val="6FA3B733"/>
    <w:rsid w:val="6FC12568"/>
    <w:rsid w:val="6FF363CC"/>
    <w:rsid w:val="6FF559C0"/>
    <w:rsid w:val="70142366"/>
    <w:rsid w:val="70375358"/>
    <w:rsid w:val="704D0145"/>
    <w:rsid w:val="706B98A1"/>
    <w:rsid w:val="7076F207"/>
    <w:rsid w:val="708564CA"/>
    <w:rsid w:val="70CD61A6"/>
    <w:rsid w:val="70D287E6"/>
    <w:rsid w:val="71246BBB"/>
    <w:rsid w:val="712DA024"/>
    <w:rsid w:val="717B0237"/>
    <w:rsid w:val="71D1238C"/>
    <w:rsid w:val="728AA537"/>
    <w:rsid w:val="728B4B06"/>
    <w:rsid w:val="72C68B32"/>
    <w:rsid w:val="72C6D39B"/>
    <w:rsid w:val="72CF3E80"/>
    <w:rsid w:val="72E6B281"/>
    <w:rsid w:val="730522B3"/>
    <w:rsid w:val="730B7DBD"/>
    <w:rsid w:val="7349F53A"/>
    <w:rsid w:val="736B922E"/>
    <w:rsid w:val="738D8209"/>
    <w:rsid w:val="73E50FA4"/>
    <w:rsid w:val="73E66167"/>
    <w:rsid w:val="7416A1AF"/>
    <w:rsid w:val="744A41CF"/>
    <w:rsid w:val="74BE5088"/>
    <w:rsid w:val="74EBD5A7"/>
    <w:rsid w:val="74F2CC86"/>
    <w:rsid w:val="755CCE26"/>
    <w:rsid w:val="755E0385"/>
    <w:rsid w:val="760A063C"/>
    <w:rsid w:val="767546EB"/>
    <w:rsid w:val="76913CE9"/>
    <w:rsid w:val="769913A4"/>
    <w:rsid w:val="76C9B0A1"/>
    <w:rsid w:val="76E7D464"/>
    <w:rsid w:val="7734C47D"/>
    <w:rsid w:val="77350669"/>
    <w:rsid w:val="7737BC50"/>
    <w:rsid w:val="77887AE0"/>
    <w:rsid w:val="7797A69B"/>
    <w:rsid w:val="77A14629"/>
    <w:rsid w:val="77A5B43F"/>
    <w:rsid w:val="77AE3D66"/>
    <w:rsid w:val="77BDBF2E"/>
    <w:rsid w:val="77ECFA90"/>
    <w:rsid w:val="780B63EF"/>
    <w:rsid w:val="78447F5E"/>
    <w:rsid w:val="784E4EE4"/>
    <w:rsid w:val="786CD073"/>
    <w:rsid w:val="78909709"/>
    <w:rsid w:val="78A68D33"/>
    <w:rsid w:val="78B34245"/>
    <w:rsid w:val="790EFC7E"/>
    <w:rsid w:val="791229D0"/>
    <w:rsid w:val="7932C253"/>
    <w:rsid w:val="7939A118"/>
    <w:rsid w:val="793AD63C"/>
    <w:rsid w:val="7940700D"/>
    <w:rsid w:val="794FE999"/>
    <w:rsid w:val="796631E8"/>
    <w:rsid w:val="7974E80A"/>
    <w:rsid w:val="79A2F179"/>
    <w:rsid w:val="79A32E89"/>
    <w:rsid w:val="79A4BFC2"/>
    <w:rsid w:val="79E1E623"/>
    <w:rsid w:val="7A05EBEF"/>
    <w:rsid w:val="7A06A99F"/>
    <w:rsid w:val="7A1CBA27"/>
    <w:rsid w:val="7A585A96"/>
    <w:rsid w:val="7A67C926"/>
    <w:rsid w:val="7A701FCC"/>
    <w:rsid w:val="7A96E062"/>
    <w:rsid w:val="7A96FFB7"/>
    <w:rsid w:val="7ABAF910"/>
    <w:rsid w:val="7AD4FB4B"/>
    <w:rsid w:val="7B0C1A5B"/>
    <w:rsid w:val="7B43C046"/>
    <w:rsid w:val="7B68AF03"/>
    <w:rsid w:val="7B7C2877"/>
    <w:rsid w:val="7BA3FF9B"/>
    <w:rsid w:val="7BBFF366"/>
    <w:rsid w:val="7C6AFA1F"/>
    <w:rsid w:val="7C9A406C"/>
    <w:rsid w:val="7CF8B066"/>
    <w:rsid w:val="7D2F4627"/>
    <w:rsid w:val="7D4A8AAC"/>
    <w:rsid w:val="7D54E0AE"/>
    <w:rsid w:val="7D59EF2C"/>
    <w:rsid w:val="7D7EC82E"/>
    <w:rsid w:val="7D94BE05"/>
    <w:rsid w:val="7DA0DAEC"/>
    <w:rsid w:val="7DA8FDEE"/>
    <w:rsid w:val="7DBB9403"/>
    <w:rsid w:val="7DD16ADD"/>
    <w:rsid w:val="7DD66ED3"/>
    <w:rsid w:val="7DE0DF9D"/>
    <w:rsid w:val="7DFCD6DF"/>
    <w:rsid w:val="7E07E57F"/>
    <w:rsid w:val="7E1BA71C"/>
    <w:rsid w:val="7E729B2F"/>
    <w:rsid w:val="7E7DD7CE"/>
    <w:rsid w:val="7E7E045E"/>
    <w:rsid w:val="7EDBA3E4"/>
    <w:rsid w:val="7F1FC20C"/>
    <w:rsid w:val="7F2E9F20"/>
    <w:rsid w:val="7F5EB246"/>
    <w:rsid w:val="7F790EAA"/>
    <w:rsid w:val="7FD1496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00668"/>
  <w15:chartTrackingRefBased/>
  <w15:docId w15:val="{E075E393-F03C-4001-BBC5-E1850E854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563F"/>
    <w:rPr>
      <w:lang w:val="en-GB"/>
    </w:rPr>
  </w:style>
  <w:style w:type="paragraph" w:styleId="Heading1">
    <w:name w:val="heading 1"/>
    <w:basedOn w:val="Normal"/>
    <w:next w:val="Normal"/>
    <w:link w:val="Heading1Char"/>
    <w:uiPriority w:val="9"/>
    <w:qFormat/>
    <w:rsid w:val="006A56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56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56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56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56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56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56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56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56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56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56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56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56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56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56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56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56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563F"/>
    <w:rPr>
      <w:rFonts w:eastAsiaTheme="majorEastAsia" w:cstheme="majorBidi"/>
      <w:color w:val="272727" w:themeColor="text1" w:themeTint="D8"/>
    </w:rPr>
  </w:style>
  <w:style w:type="paragraph" w:styleId="Title">
    <w:name w:val="Title"/>
    <w:basedOn w:val="Normal"/>
    <w:next w:val="Normal"/>
    <w:link w:val="TitleChar"/>
    <w:uiPriority w:val="10"/>
    <w:qFormat/>
    <w:rsid w:val="006A56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56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56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56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563F"/>
    <w:pPr>
      <w:spacing w:before="160"/>
      <w:jc w:val="center"/>
    </w:pPr>
    <w:rPr>
      <w:i/>
      <w:iCs/>
      <w:color w:val="404040" w:themeColor="text1" w:themeTint="BF"/>
    </w:rPr>
  </w:style>
  <w:style w:type="character" w:customStyle="1" w:styleId="QuoteChar">
    <w:name w:val="Quote Char"/>
    <w:basedOn w:val="DefaultParagraphFont"/>
    <w:link w:val="Quote"/>
    <w:uiPriority w:val="29"/>
    <w:rsid w:val="006A563F"/>
    <w:rPr>
      <w:i/>
      <w:iCs/>
      <w:color w:val="404040" w:themeColor="text1" w:themeTint="BF"/>
    </w:rPr>
  </w:style>
  <w:style w:type="paragraph" w:styleId="ListParagraph">
    <w:name w:val="List Paragraph"/>
    <w:basedOn w:val="Normal"/>
    <w:uiPriority w:val="34"/>
    <w:qFormat/>
    <w:rsid w:val="006A563F"/>
    <w:pPr>
      <w:ind w:left="720"/>
      <w:contextualSpacing/>
    </w:pPr>
  </w:style>
  <w:style w:type="character" w:styleId="IntenseEmphasis">
    <w:name w:val="Intense Emphasis"/>
    <w:basedOn w:val="DefaultParagraphFont"/>
    <w:uiPriority w:val="21"/>
    <w:qFormat/>
    <w:rsid w:val="006A563F"/>
    <w:rPr>
      <w:i/>
      <w:iCs/>
      <w:color w:val="0F4761" w:themeColor="accent1" w:themeShade="BF"/>
    </w:rPr>
  </w:style>
  <w:style w:type="paragraph" w:styleId="IntenseQuote">
    <w:name w:val="Intense Quote"/>
    <w:basedOn w:val="Normal"/>
    <w:next w:val="Normal"/>
    <w:link w:val="IntenseQuoteChar"/>
    <w:uiPriority w:val="30"/>
    <w:qFormat/>
    <w:rsid w:val="006A56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563F"/>
    <w:rPr>
      <w:i/>
      <w:iCs/>
      <w:color w:val="0F4761" w:themeColor="accent1" w:themeShade="BF"/>
    </w:rPr>
  </w:style>
  <w:style w:type="character" w:styleId="IntenseReference">
    <w:name w:val="Intense Reference"/>
    <w:basedOn w:val="DefaultParagraphFont"/>
    <w:uiPriority w:val="32"/>
    <w:qFormat/>
    <w:rsid w:val="006A563F"/>
    <w:rPr>
      <w:b/>
      <w:bCs/>
      <w:smallCaps/>
      <w:color w:val="0F4761" w:themeColor="accent1" w:themeShade="BF"/>
      <w:spacing w:val="5"/>
    </w:rPr>
  </w:style>
  <w:style w:type="paragraph" w:styleId="CommentText">
    <w:name w:val="annotation text"/>
    <w:basedOn w:val="Normal"/>
    <w:link w:val="CommentTextChar"/>
    <w:uiPriority w:val="99"/>
    <w:unhideWhenUsed/>
    <w:rsid w:val="006A563F"/>
    <w:pPr>
      <w:spacing w:line="240" w:lineRule="auto"/>
    </w:pPr>
    <w:rPr>
      <w:sz w:val="20"/>
      <w:szCs w:val="20"/>
    </w:rPr>
  </w:style>
  <w:style w:type="character" w:customStyle="1" w:styleId="CommentTextChar">
    <w:name w:val="Comment Text Char"/>
    <w:basedOn w:val="DefaultParagraphFont"/>
    <w:link w:val="CommentText"/>
    <w:uiPriority w:val="99"/>
    <w:rsid w:val="006A563F"/>
    <w:rPr>
      <w:sz w:val="20"/>
      <w:szCs w:val="20"/>
      <w:lang w:val="en-GB"/>
    </w:rPr>
  </w:style>
  <w:style w:type="character" w:styleId="CommentReference">
    <w:name w:val="annotation reference"/>
    <w:basedOn w:val="DefaultParagraphFont"/>
    <w:uiPriority w:val="99"/>
    <w:semiHidden/>
    <w:unhideWhenUsed/>
    <w:rsid w:val="006A563F"/>
    <w:rPr>
      <w:sz w:val="16"/>
      <w:szCs w:val="16"/>
    </w:rPr>
  </w:style>
  <w:style w:type="table" w:styleId="TableGrid">
    <w:name w:val="Table Grid"/>
    <w:basedOn w:val="TableNormal"/>
    <w:uiPriority w:val="39"/>
    <w:rsid w:val="006A56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A563F"/>
    <w:pPr>
      <w:spacing w:after="0" w:line="240" w:lineRule="auto"/>
    </w:pPr>
    <w:rPr>
      <w:rFonts w:ascii="SimSun" w:eastAsia="SimSun" w:hAnsi="SimSun" w:cs="SimSun"/>
      <w:sz w:val="20"/>
      <w:szCs w:val="20"/>
      <w:lang w:val="en-US"/>
    </w:rPr>
  </w:style>
  <w:style w:type="character" w:customStyle="1" w:styleId="FootnoteTextChar">
    <w:name w:val="Footnote Text Char"/>
    <w:basedOn w:val="DefaultParagraphFont"/>
    <w:link w:val="FootnoteText"/>
    <w:uiPriority w:val="99"/>
    <w:semiHidden/>
    <w:rsid w:val="006A563F"/>
    <w:rPr>
      <w:rFonts w:ascii="SimSun" w:eastAsia="SimSun" w:hAnsi="SimSun" w:cs="SimSun"/>
      <w:sz w:val="20"/>
      <w:szCs w:val="20"/>
      <w:lang w:val="en-US"/>
    </w:rPr>
  </w:style>
  <w:style w:type="character" w:styleId="FootnoteReference">
    <w:name w:val="footnote reference"/>
    <w:basedOn w:val="DefaultParagraphFont"/>
    <w:uiPriority w:val="99"/>
    <w:semiHidden/>
    <w:unhideWhenUsed/>
    <w:rsid w:val="006A563F"/>
    <w:rPr>
      <w:vertAlign w:val="superscript"/>
    </w:rPr>
  </w:style>
  <w:style w:type="paragraph" w:styleId="HTMLPreformatted">
    <w:name w:val="HTML Preformatted"/>
    <w:basedOn w:val="Normal"/>
    <w:link w:val="HTMLPreformattedChar"/>
    <w:uiPriority w:val="99"/>
    <w:semiHidden/>
    <w:unhideWhenUsed/>
    <w:rsid w:val="00B50FA6"/>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50FA6"/>
    <w:rPr>
      <w:rFonts w:ascii="Consolas" w:hAnsi="Consolas"/>
      <w:sz w:val="20"/>
      <w:szCs w:val="20"/>
      <w:lang w:val="en-GB"/>
    </w:rPr>
  </w:style>
  <w:style w:type="paragraph" w:styleId="TOCHeading">
    <w:name w:val="TOC Heading"/>
    <w:basedOn w:val="Heading1"/>
    <w:next w:val="Normal"/>
    <w:uiPriority w:val="39"/>
    <w:unhideWhenUsed/>
    <w:qFormat/>
    <w:rsid w:val="00E6409C"/>
    <w:pPr>
      <w:spacing w:before="240" w:after="0" w:line="259" w:lineRule="auto"/>
      <w:outlineLvl w:val="9"/>
    </w:pPr>
    <w:rPr>
      <w:kern w:val="0"/>
      <w:sz w:val="32"/>
      <w:szCs w:val="32"/>
      <w:lang w:val="en-US" w:eastAsia="en-US"/>
      <w14:ligatures w14:val="none"/>
    </w:rPr>
  </w:style>
  <w:style w:type="paragraph" w:styleId="TOC1">
    <w:name w:val="toc 1"/>
    <w:basedOn w:val="Normal"/>
    <w:next w:val="Normal"/>
    <w:autoRedefine/>
    <w:uiPriority w:val="39"/>
    <w:unhideWhenUsed/>
    <w:rsid w:val="00E6409C"/>
    <w:pPr>
      <w:spacing w:after="100"/>
    </w:pPr>
  </w:style>
  <w:style w:type="character" w:styleId="Hyperlink">
    <w:name w:val="Hyperlink"/>
    <w:basedOn w:val="DefaultParagraphFont"/>
    <w:uiPriority w:val="99"/>
    <w:unhideWhenUsed/>
    <w:rsid w:val="00E6409C"/>
    <w:rPr>
      <w:color w:val="467886" w:themeColor="hyperlink"/>
      <w:u w:val="single"/>
    </w:rPr>
  </w:style>
  <w:style w:type="paragraph" w:styleId="Header">
    <w:name w:val="header"/>
    <w:basedOn w:val="Normal"/>
    <w:link w:val="HeaderChar"/>
    <w:uiPriority w:val="99"/>
    <w:unhideWhenUsed/>
    <w:rsid w:val="00BD48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4816"/>
    <w:rPr>
      <w:lang w:val="en-GB"/>
    </w:rPr>
  </w:style>
  <w:style w:type="paragraph" w:styleId="Footer">
    <w:name w:val="footer"/>
    <w:basedOn w:val="Normal"/>
    <w:link w:val="FooterChar"/>
    <w:uiPriority w:val="99"/>
    <w:unhideWhenUsed/>
    <w:rsid w:val="00BD48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4816"/>
    <w:rPr>
      <w:lang w:val="en-GB"/>
    </w:rPr>
  </w:style>
  <w:style w:type="character" w:styleId="UnresolvedMention">
    <w:name w:val="Unresolved Mention"/>
    <w:basedOn w:val="DefaultParagraphFont"/>
    <w:uiPriority w:val="99"/>
    <w:semiHidden/>
    <w:unhideWhenUsed/>
    <w:rsid w:val="00A43BCD"/>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D14545"/>
    <w:rPr>
      <w:b/>
      <w:bCs/>
    </w:rPr>
  </w:style>
  <w:style w:type="character" w:customStyle="1" w:styleId="CommentSubjectChar">
    <w:name w:val="Comment Subject Char"/>
    <w:basedOn w:val="CommentTextChar"/>
    <w:link w:val="CommentSubject"/>
    <w:uiPriority w:val="99"/>
    <w:semiHidden/>
    <w:rsid w:val="00D14545"/>
    <w:rPr>
      <w:b/>
      <w:bCs/>
      <w:sz w:val="20"/>
      <w:szCs w:val="20"/>
      <w:lang w:val="en-GB"/>
    </w:rPr>
  </w:style>
  <w:style w:type="character" w:styleId="Mention">
    <w:name w:val="Mention"/>
    <w:basedOn w:val="DefaultParagraphFont"/>
    <w:uiPriority w:val="99"/>
    <w:unhideWhenUsed/>
    <w:rsid w:val="00D14545"/>
    <w:rPr>
      <w:color w:val="2B579A"/>
      <w:shd w:val="clear" w:color="auto" w:fill="E1DFDD"/>
    </w:rPr>
  </w:style>
  <w:style w:type="paragraph" w:styleId="Bibliography">
    <w:name w:val="Bibliography"/>
    <w:basedOn w:val="Normal"/>
    <w:next w:val="Normal"/>
    <w:uiPriority w:val="37"/>
    <w:unhideWhenUsed/>
    <w:rsid w:val="00BE0ECE"/>
    <w:pPr>
      <w:tabs>
        <w:tab w:val="left" w:pos="264"/>
      </w:tabs>
      <w:spacing w:after="0" w:line="480" w:lineRule="auto"/>
      <w:ind w:left="264" w:hanging="264"/>
    </w:pPr>
  </w:style>
  <w:style w:type="paragraph" w:styleId="TOC3">
    <w:name w:val="toc 3"/>
    <w:basedOn w:val="Normal"/>
    <w:next w:val="Normal"/>
    <w:autoRedefine/>
    <w:uiPriority w:val="39"/>
    <w:unhideWhenUsed/>
    <w:rsid w:val="008E268D"/>
    <w:pPr>
      <w:spacing w:after="100"/>
      <w:ind w:left="480"/>
    </w:pPr>
  </w:style>
  <w:style w:type="paragraph" w:styleId="NormalWeb">
    <w:name w:val="Normal (Web)"/>
    <w:basedOn w:val="Normal"/>
    <w:uiPriority w:val="99"/>
    <w:semiHidden/>
    <w:unhideWhenUsed/>
    <w:rsid w:val="007D78F2"/>
    <w:rPr>
      <w:rFonts w:ascii="Times New Roman" w:hAnsi="Times New Roman" w:cs="Times New Roman"/>
    </w:rPr>
  </w:style>
  <w:style w:type="paragraph" w:styleId="NoSpacing">
    <w:name w:val="No Spacing"/>
    <w:uiPriority w:val="1"/>
    <w:qFormat/>
    <w:rsid w:val="009501A3"/>
    <w:pPr>
      <w:spacing w:after="0"/>
    </w:pPr>
  </w:style>
  <w:style w:type="character" w:styleId="FollowedHyperlink">
    <w:name w:val="FollowedHyperlink"/>
    <w:basedOn w:val="DefaultParagraphFont"/>
    <w:uiPriority w:val="99"/>
    <w:semiHidden/>
    <w:unhideWhenUsed/>
    <w:rsid w:val="00DE297B"/>
    <w:rPr>
      <w:color w:val="96607D" w:themeColor="followedHyperlink"/>
      <w:u w:val="single"/>
    </w:rPr>
  </w:style>
  <w:style w:type="character" w:styleId="EndnoteReference">
    <w:name w:val="endnote reference"/>
    <w:basedOn w:val="DefaultParagraphFont"/>
    <w:uiPriority w:val="99"/>
    <w:semiHidden/>
    <w:unhideWhenUsed/>
    <w:rsid w:val="007F712F"/>
    <w:rPr>
      <w:vertAlign w:val="superscript"/>
    </w:rPr>
  </w:style>
  <w:style w:type="paragraph" w:styleId="Revision">
    <w:name w:val="Revision"/>
    <w:hidden/>
    <w:uiPriority w:val="99"/>
    <w:semiHidden/>
    <w:rsid w:val="007F712F"/>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6790">
      <w:bodyDiv w:val="1"/>
      <w:marLeft w:val="0"/>
      <w:marRight w:val="0"/>
      <w:marTop w:val="0"/>
      <w:marBottom w:val="0"/>
      <w:divBdr>
        <w:top w:val="none" w:sz="0" w:space="0" w:color="auto"/>
        <w:left w:val="none" w:sz="0" w:space="0" w:color="auto"/>
        <w:bottom w:val="none" w:sz="0" w:space="0" w:color="auto"/>
        <w:right w:val="none" w:sz="0" w:space="0" w:color="auto"/>
      </w:divBdr>
    </w:div>
    <w:div w:id="13702029">
      <w:bodyDiv w:val="1"/>
      <w:marLeft w:val="0"/>
      <w:marRight w:val="0"/>
      <w:marTop w:val="0"/>
      <w:marBottom w:val="0"/>
      <w:divBdr>
        <w:top w:val="none" w:sz="0" w:space="0" w:color="auto"/>
        <w:left w:val="none" w:sz="0" w:space="0" w:color="auto"/>
        <w:bottom w:val="none" w:sz="0" w:space="0" w:color="auto"/>
        <w:right w:val="none" w:sz="0" w:space="0" w:color="auto"/>
      </w:divBdr>
    </w:div>
    <w:div w:id="14503766">
      <w:bodyDiv w:val="1"/>
      <w:marLeft w:val="0"/>
      <w:marRight w:val="0"/>
      <w:marTop w:val="0"/>
      <w:marBottom w:val="0"/>
      <w:divBdr>
        <w:top w:val="none" w:sz="0" w:space="0" w:color="auto"/>
        <w:left w:val="none" w:sz="0" w:space="0" w:color="auto"/>
        <w:bottom w:val="none" w:sz="0" w:space="0" w:color="auto"/>
        <w:right w:val="none" w:sz="0" w:space="0" w:color="auto"/>
      </w:divBdr>
    </w:div>
    <w:div w:id="18940425">
      <w:bodyDiv w:val="1"/>
      <w:marLeft w:val="0"/>
      <w:marRight w:val="0"/>
      <w:marTop w:val="0"/>
      <w:marBottom w:val="0"/>
      <w:divBdr>
        <w:top w:val="none" w:sz="0" w:space="0" w:color="auto"/>
        <w:left w:val="none" w:sz="0" w:space="0" w:color="auto"/>
        <w:bottom w:val="none" w:sz="0" w:space="0" w:color="auto"/>
        <w:right w:val="none" w:sz="0" w:space="0" w:color="auto"/>
      </w:divBdr>
    </w:div>
    <w:div w:id="45564750">
      <w:bodyDiv w:val="1"/>
      <w:marLeft w:val="0"/>
      <w:marRight w:val="0"/>
      <w:marTop w:val="0"/>
      <w:marBottom w:val="0"/>
      <w:divBdr>
        <w:top w:val="none" w:sz="0" w:space="0" w:color="auto"/>
        <w:left w:val="none" w:sz="0" w:space="0" w:color="auto"/>
        <w:bottom w:val="none" w:sz="0" w:space="0" w:color="auto"/>
        <w:right w:val="none" w:sz="0" w:space="0" w:color="auto"/>
      </w:divBdr>
    </w:div>
    <w:div w:id="66466400">
      <w:bodyDiv w:val="1"/>
      <w:marLeft w:val="0"/>
      <w:marRight w:val="0"/>
      <w:marTop w:val="0"/>
      <w:marBottom w:val="0"/>
      <w:divBdr>
        <w:top w:val="none" w:sz="0" w:space="0" w:color="auto"/>
        <w:left w:val="none" w:sz="0" w:space="0" w:color="auto"/>
        <w:bottom w:val="none" w:sz="0" w:space="0" w:color="auto"/>
        <w:right w:val="none" w:sz="0" w:space="0" w:color="auto"/>
      </w:divBdr>
    </w:div>
    <w:div w:id="111094449">
      <w:bodyDiv w:val="1"/>
      <w:marLeft w:val="0"/>
      <w:marRight w:val="0"/>
      <w:marTop w:val="0"/>
      <w:marBottom w:val="0"/>
      <w:divBdr>
        <w:top w:val="none" w:sz="0" w:space="0" w:color="auto"/>
        <w:left w:val="none" w:sz="0" w:space="0" w:color="auto"/>
        <w:bottom w:val="none" w:sz="0" w:space="0" w:color="auto"/>
        <w:right w:val="none" w:sz="0" w:space="0" w:color="auto"/>
      </w:divBdr>
      <w:divsChild>
        <w:div w:id="11931529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906223">
      <w:bodyDiv w:val="1"/>
      <w:marLeft w:val="0"/>
      <w:marRight w:val="0"/>
      <w:marTop w:val="0"/>
      <w:marBottom w:val="0"/>
      <w:divBdr>
        <w:top w:val="none" w:sz="0" w:space="0" w:color="auto"/>
        <w:left w:val="none" w:sz="0" w:space="0" w:color="auto"/>
        <w:bottom w:val="none" w:sz="0" w:space="0" w:color="auto"/>
        <w:right w:val="none" w:sz="0" w:space="0" w:color="auto"/>
      </w:divBdr>
    </w:div>
    <w:div w:id="168181755">
      <w:bodyDiv w:val="1"/>
      <w:marLeft w:val="0"/>
      <w:marRight w:val="0"/>
      <w:marTop w:val="0"/>
      <w:marBottom w:val="0"/>
      <w:divBdr>
        <w:top w:val="none" w:sz="0" w:space="0" w:color="auto"/>
        <w:left w:val="none" w:sz="0" w:space="0" w:color="auto"/>
        <w:bottom w:val="none" w:sz="0" w:space="0" w:color="auto"/>
        <w:right w:val="none" w:sz="0" w:space="0" w:color="auto"/>
      </w:divBdr>
    </w:div>
    <w:div w:id="168839594">
      <w:bodyDiv w:val="1"/>
      <w:marLeft w:val="0"/>
      <w:marRight w:val="0"/>
      <w:marTop w:val="0"/>
      <w:marBottom w:val="0"/>
      <w:divBdr>
        <w:top w:val="none" w:sz="0" w:space="0" w:color="auto"/>
        <w:left w:val="none" w:sz="0" w:space="0" w:color="auto"/>
        <w:bottom w:val="none" w:sz="0" w:space="0" w:color="auto"/>
        <w:right w:val="none" w:sz="0" w:space="0" w:color="auto"/>
      </w:divBdr>
    </w:div>
    <w:div w:id="235357635">
      <w:bodyDiv w:val="1"/>
      <w:marLeft w:val="0"/>
      <w:marRight w:val="0"/>
      <w:marTop w:val="0"/>
      <w:marBottom w:val="0"/>
      <w:divBdr>
        <w:top w:val="none" w:sz="0" w:space="0" w:color="auto"/>
        <w:left w:val="none" w:sz="0" w:space="0" w:color="auto"/>
        <w:bottom w:val="none" w:sz="0" w:space="0" w:color="auto"/>
        <w:right w:val="none" w:sz="0" w:space="0" w:color="auto"/>
      </w:divBdr>
      <w:divsChild>
        <w:div w:id="1771464822">
          <w:marLeft w:val="0"/>
          <w:marRight w:val="0"/>
          <w:marTop w:val="0"/>
          <w:marBottom w:val="0"/>
          <w:divBdr>
            <w:top w:val="none" w:sz="0" w:space="0" w:color="auto"/>
            <w:left w:val="none" w:sz="0" w:space="0" w:color="auto"/>
            <w:bottom w:val="none" w:sz="0" w:space="0" w:color="auto"/>
            <w:right w:val="none" w:sz="0" w:space="0" w:color="auto"/>
          </w:divBdr>
          <w:divsChild>
            <w:div w:id="1079445317">
              <w:marLeft w:val="0"/>
              <w:marRight w:val="0"/>
              <w:marTop w:val="0"/>
              <w:marBottom w:val="0"/>
              <w:divBdr>
                <w:top w:val="none" w:sz="0" w:space="0" w:color="auto"/>
                <w:left w:val="none" w:sz="0" w:space="0" w:color="auto"/>
                <w:bottom w:val="none" w:sz="0" w:space="0" w:color="auto"/>
                <w:right w:val="none" w:sz="0" w:space="0" w:color="auto"/>
              </w:divBdr>
              <w:divsChild>
                <w:div w:id="813135775">
                  <w:marLeft w:val="0"/>
                  <w:marRight w:val="0"/>
                  <w:marTop w:val="0"/>
                  <w:marBottom w:val="0"/>
                  <w:divBdr>
                    <w:top w:val="none" w:sz="0" w:space="0" w:color="auto"/>
                    <w:left w:val="none" w:sz="0" w:space="0" w:color="auto"/>
                    <w:bottom w:val="none" w:sz="0" w:space="0" w:color="auto"/>
                    <w:right w:val="none" w:sz="0" w:space="0" w:color="auto"/>
                  </w:divBdr>
                  <w:divsChild>
                    <w:div w:id="1585456649">
                      <w:marLeft w:val="0"/>
                      <w:marRight w:val="0"/>
                      <w:marTop w:val="0"/>
                      <w:marBottom w:val="0"/>
                      <w:divBdr>
                        <w:top w:val="none" w:sz="0" w:space="0" w:color="auto"/>
                        <w:left w:val="none" w:sz="0" w:space="0" w:color="auto"/>
                        <w:bottom w:val="none" w:sz="0" w:space="0" w:color="auto"/>
                        <w:right w:val="none" w:sz="0" w:space="0" w:color="auto"/>
                      </w:divBdr>
                      <w:divsChild>
                        <w:div w:id="564688237">
                          <w:marLeft w:val="0"/>
                          <w:marRight w:val="0"/>
                          <w:marTop w:val="0"/>
                          <w:marBottom w:val="0"/>
                          <w:divBdr>
                            <w:top w:val="none" w:sz="0" w:space="0" w:color="auto"/>
                            <w:left w:val="none" w:sz="0" w:space="0" w:color="auto"/>
                            <w:bottom w:val="none" w:sz="0" w:space="0" w:color="auto"/>
                            <w:right w:val="none" w:sz="0" w:space="0" w:color="auto"/>
                          </w:divBdr>
                          <w:divsChild>
                            <w:div w:id="515071624">
                              <w:marLeft w:val="0"/>
                              <w:marRight w:val="0"/>
                              <w:marTop w:val="0"/>
                              <w:marBottom w:val="0"/>
                              <w:divBdr>
                                <w:top w:val="none" w:sz="0" w:space="0" w:color="auto"/>
                                <w:left w:val="none" w:sz="0" w:space="0" w:color="auto"/>
                                <w:bottom w:val="none" w:sz="0" w:space="0" w:color="auto"/>
                                <w:right w:val="none" w:sz="0" w:space="0" w:color="auto"/>
                              </w:divBdr>
                              <w:divsChild>
                                <w:div w:id="659775002">
                                  <w:marLeft w:val="0"/>
                                  <w:marRight w:val="0"/>
                                  <w:marTop w:val="0"/>
                                  <w:marBottom w:val="0"/>
                                  <w:divBdr>
                                    <w:top w:val="none" w:sz="0" w:space="0" w:color="auto"/>
                                    <w:left w:val="none" w:sz="0" w:space="0" w:color="auto"/>
                                    <w:bottom w:val="none" w:sz="0" w:space="0" w:color="auto"/>
                                    <w:right w:val="none" w:sz="0" w:space="0" w:color="auto"/>
                                  </w:divBdr>
                                  <w:divsChild>
                                    <w:div w:id="210537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727908">
                          <w:marLeft w:val="0"/>
                          <w:marRight w:val="0"/>
                          <w:marTop w:val="0"/>
                          <w:marBottom w:val="0"/>
                          <w:divBdr>
                            <w:top w:val="none" w:sz="0" w:space="0" w:color="auto"/>
                            <w:left w:val="none" w:sz="0" w:space="0" w:color="auto"/>
                            <w:bottom w:val="none" w:sz="0" w:space="0" w:color="auto"/>
                            <w:right w:val="none" w:sz="0" w:space="0" w:color="auto"/>
                          </w:divBdr>
                          <w:divsChild>
                            <w:div w:id="392046194">
                              <w:marLeft w:val="0"/>
                              <w:marRight w:val="0"/>
                              <w:marTop w:val="0"/>
                              <w:marBottom w:val="0"/>
                              <w:divBdr>
                                <w:top w:val="none" w:sz="0" w:space="0" w:color="auto"/>
                                <w:left w:val="none" w:sz="0" w:space="0" w:color="auto"/>
                                <w:bottom w:val="none" w:sz="0" w:space="0" w:color="auto"/>
                                <w:right w:val="none" w:sz="0" w:space="0" w:color="auto"/>
                              </w:divBdr>
                              <w:divsChild>
                                <w:div w:id="25270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4804876">
      <w:bodyDiv w:val="1"/>
      <w:marLeft w:val="0"/>
      <w:marRight w:val="0"/>
      <w:marTop w:val="0"/>
      <w:marBottom w:val="0"/>
      <w:divBdr>
        <w:top w:val="none" w:sz="0" w:space="0" w:color="auto"/>
        <w:left w:val="none" w:sz="0" w:space="0" w:color="auto"/>
        <w:bottom w:val="none" w:sz="0" w:space="0" w:color="auto"/>
        <w:right w:val="none" w:sz="0" w:space="0" w:color="auto"/>
      </w:divBdr>
      <w:divsChild>
        <w:div w:id="8961617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3366059">
      <w:bodyDiv w:val="1"/>
      <w:marLeft w:val="0"/>
      <w:marRight w:val="0"/>
      <w:marTop w:val="0"/>
      <w:marBottom w:val="0"/>
      <w:divBdr>
        <w:top w:val="none" w:sz="0" w:space="0" w:color="auto"/>
        <w:left w:val="none" w:sz="0" w:space="0" w:color="auto"/>
        <w:bottom w:val="none" w:sz="0" w:space="0" w:color="auto"/>
        <w:right w:val="none" w:sz="0" w:space="0" w:color="auto"/>
      </w:divBdr>
    </w:div>
    <w:div w:id="272904654">
      <w:bodyDiv w:val="1"/>
      <w:marLeft w:val="0"/>
      <w:marRight w:val="0"/>
      <w:marTop w:val="0"/>
      <w:marBottom w:val="0"/>
      <w:divBdr>
        <w:top w:val="none" w:sz="0" w:space="0" w:color="auto"/>
        <w:left w:val="none" w:sz="0" w:space="0" w:color="auto"/>
        <w:bottom w:val="none" w:sz="0" w:space="0" w:color="auto"/>
        <w:right w:val="none" w:sz="0" w:space="0" w:color="auto"/>
      </w:divBdr>
    </w:div>
    <w:div w:id="280766606">
      <w:bodyDiv w:val="1"/>
      <w:marLeft w:val="0"/>
      <w:marRight w:val="0"/>
      <w:marTop w:val="0"/>
      <w:marBottom w:val="0"/>
      <w:divBdr>
        <w:top w:val="none" w:sz="0" w:space="0" w:color="auto"/>
        <w:left w:val="none" w:sz="0" w:space="0" w:color="auto"/>
        <w:bottom w:val="none" w:sz="0" w:space="0" w:color="auto"/>
        <w:right w:val="none" w:sz="0" w:space="0" w:color="auto"/>
      </w:divBdr>
      <w:divsChild>
        <w:div w:id="1320386459">
          <w:marLeft w:val="0"/>
          <w:marRight w:val="0"/>
          <w:marTop w:val="0"/>
          <w:marBottom w:val="0"/>
          <w:divBdr>
            <w:top w:val="none" w:sz="0" w:space="0" w:color="auto"/>
            <w:left w:val="none" w:sz="0" w:space="0" w:color="auto"/>
            <w:bottom w:val="none" w:sz="0" w:space="0" w:color="auto"/>
            <w:right w:val="none" w:sz="0" w:space="0" w:color="auto"/>
          </w:divBdr>
          <w:divsChild>
            <w:div w:id="2123648845">
              <w:marLeft w:val="0"/>
              <w:marRight w:val="0"/>
              <w:marTop w:val="0"/>
              <w:marBottom w:val="0"/>
              <w:divBdr>
                <w:top w:val="none" w:sz="0" w:space="0" w:color="auto"/>
                <w:left w:val="none" w:sz="0" w:space="0" w:color="auto"/>
                <w:bottom w:val="none" w:sz="0" w:space="0" w:color="auto"/>
                <w:right w:val="none" w:sz="0" w:space="0" w:color="auto"/>
              </w:divBdr>
              <w:divsChild>
                <w:div w:id="303706475">
                  <w:marLeft w:val="0"/>
                  <w:marRight w:val="0"/>
                  <w:marTop w:val="0"/>
                  <w:marBottom w:val="0"/>
                  <w:divBdr>
                    <w:top w:val="none" w:sz="0" w:space="0" w:color="auto"/>
                    <w:left w:val="none" w:sz="0" w:space="0" w:color="auto"/>
                    <w:bottom w:val="none" w:sz="0" w:space="0" w:color="auto"/>
                    <w:right w:val="none" w:sz="0" w:space="0" w:color="auto"/>
                  </w:divBdr>
                  <w:divsChild>
                    <w:div w:id="796684416">
                      <w:marLeft w:val="0"/>
                      <w:marRight w:val="0"/>
                      <w:marTop w:val="0"/>
                      <w:marBottom w:val="0"/>
                      <w:divBdr>
                        <w:top w:val="none" w:sz="0" w:space="0" w:color="auto"/>
                        <w:left w:val="none" w:sz="0" w:space="0" w:color="auto"/>
                        <w:bottom w:val="none" w:sz="0" w:space="0" w:color="auto"/>
                        <w:right w:val="none" w:sz="0" w:space="0" w:color="auto"/>
                      </w:divBdr>
                      <w:divsChild>
                        <w:div w:id="653024344">
                          <w:marLeft w:val="0"/>
                          <w:marRight w:val="0"/>
                          <w:marTop w:val="0"/>
                          <w:marBottom w:val="0"/>
                          <w:divBdr>
                            <w:top w:val="none" w:sz="0" w:space="0" w:color="auto"/>
                            <w:left w:val="none" w:sz="0" w:space="0" w:color="auto"/>
                            <w:bottom w:val="none" w:sz="0" w:space="0" w:color="auto"/>
                            <w:right w:val="none" w:sz="0" w:space="0" w:color="auto"/>
                          </w:divBdr>
                          <w:divsChild>
                            <w:div w:id="1537280805">
                              <w:marLeft w:val="0"/>
                              <w:marRight w:val="0"/>
                              <w:marTop w:val="0"/>
                              <w:marBottom w:val="0"/>
                              <w:divBdr>
                                <w:top w:val="none" w:sz="0" w:space="0" w:color="auto"/>
                                <w:left w:val="none" w:sz="0" w:space="0" w:color="auto"/>
                                <w:bottom w:val="none" w:sz="0" w:space="0" w:color="auto"/>
                                <w:right w:val="none" w:sz="0" w:space="0" w:color="auto"/>
                              </w:divBdr>
                              <w:divsChild>
                                <w:div w:id="55936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193754">
                          <w:marLeft w:val="0"/>
                          <w:marRight w:val="0"/>
                          <w:marTop w:val="0"/>
                          <w:marBottom w:val="0"/>
                          <w:divBdr>
                            <w:top w:val="none" w:sz="0" w:space="0" w:color="auto"/>
                            <w:left w:val="none" w:sz="0" w:space="0" w:color="auto"/>
                            <w:bottom w:val="none" w:sz="0" w:space="0" w:color="auto"/>
                            <w:right w:val="none" w:sz="0" w:space="0" w:color="auto"/>
                          </w:divBdr>
                          <w:divsChild>
                            <w:div w:id="62990584">
                              <w:marLeft w:val="0"/>
                              <w:marRight w:val="0"/>
                              <w:marTop w:val="0"/>
                              <w:marBottom w:val="0"/>
                              <w:divBdr>
                                <w:top w:val="none" w:sz="0" w:space="0" w:color="auto"/>
                                <w:left w:val="none" w:sz="0" w:space="0" w:color="auto"/>
                                <w:bottom w:val="none" w:sz="0" w:space="0" w:color="auto"/>
                                <w:right w:val="none" w:sz="0" w:space="0" w:color="auto"/>
                              </w:divBdr>
                              <w:divsChild>
                                <w:div w:id="337198962">
                                  <w:marLeft w:val="0"/>
                                  <w:marRight w:val="0"/>
                                  <w:marTop w:val="0"/>
                                  <w:marBottom w:val="0"/>
                                  <w:divBdr>
                                    <w:top w:val="none" w:sz="0" w:space="0" w:color="auto"/>
                                    <w:left w:val="none" w:sz="0" w:space="0" w:color="auto"/>
                                    <w:bottom w:val="none" w:sz="0" w:space="0" w:color="auto"/>
                                    <w:right w:val="none" w:sz="0" w:space="0" w:color="auto"/>
                                  </w:divBdr>
                                  <w:divsChild>
                                    <w:div w:id="146276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5913795">
      <w:bodyDiv w:val="1"/>
      <w:marLeft w:val="0"/>
      <w:marRight w:val="0"/>
      <w:marTop w:val="0"/>
      <w:marBottom w:val="0"/>
      <w:divBdr>
        <w:top w:val="none" w:sz="0" w:space="0" w:color="auto"/>
        <w:left w:val="none" w:sz="0" w:space="0" w:color="auto"/>
        <w:bottom w:val="none" w:sz="0" w:space="0" w:color="auto"/>
        <w:right w:val="none" w:sz="0" w:space="0" w:color="auto"/>
      </w:divBdr>
    </w:div>
    <w:div w:id="297885316">
      <w:bodyDiv w:val="1"/>
      <w:marLeft w:val="0"/>
      <w:marRight w:val="0"/>
      <w:marTop w:val="0"/>
      <w:marBottom w:val="0"/>
      <w:divBdr>
        <w:top w:val="none" w:sz="0" w:space="0" w:color="auto"/>
        <w:left w:val="none" w:sz="0" w:space="0" w:color="auto"/>
        <w:bottom w:val="none" w:sz="0" w:space="0" w:color="auto"/>
        <w:right w:val="none" w:sz="0" w:space="0" w:color="auto"/>
      </w:divBdr>
    </w:div>
    <w:div w:id="318467263">
      <w:bodyDiv w:val="1"/>
      <w:marLeft w:val="0"/>
      <w:marRight w:val="0"/>
      <w:marTop w:val="0"/>
      <w:marBottom w:val="0"/>
      <w:divBdr>
        <w:top w:val="none" w:sz="0" w:space="0" w:color="auto"/>
        <w:left w:val="none" w:sz="0" w:space="0" w:color="auto"/>
        <w:bottom w:val="none" w:sz="0" w:space="0" w:color="auto"/>
        <w:right w:val="none" w:sz="0" w:space="0" w:color="auto"/>
      </w:divBdr>
    </w:div>
    <w:div w:id="324207848">
      <w:bodyDiv w:val="1"/>
      <w:marLeft w:val="0"/>
      <w:marRight w:val="0"/>
      <w:marTop w:val="0"/>
      <w:marBottom w:val="0"/>
      <w:divBdr>
        <w:top w:val="none" w:sz="0" w:space="0" w:color="auto"/>
        <w:left w:val="none" w:sz="0" w:space="0" w:color="auto"/>
        <w:bottom w:val="none" w:sz="0" w:space="0" w:color="auto"/>
        <w:right w:val="none" w:sz="0" w:space="0" w:color="auto"/>
      </w:divBdr>
    </w:div>
    <w:div w:id="356465772">
      <w:bodyDiv w:val="1"/>
      <w:marLeft w:val="0"/>
      <w:marRight w:val="0"/>
      <w:marTop w:val="0"/>
      <w:marBottom w:val="0"/>
      <w:divBdr>
        <w:top w:val="none" w:sz="0" w:space="0" w:color="auto"/>
        <w:left w:val="none" w:sz="0" w:space="0" w:color="auto"/>
        <w:bottom w:val="none" w:sz="0" w:space="0" w:color="auto"/>
        <w:right w:val="none" w:sz="0" w:space="0" w:color="auto"/>
      </w:divBdr>
    </w:div>
    <w:div w:id="366177710">
      <w:bodyDiv w:val="1"/>
      <w:marLeft w:val="0"/>
      <w:marRight w:val="0"/>
      <w:marTop w:val="0"/>
      <w:marBottom w:val="0"/>
      <w:divBdr>
        <w:top w:val="none" w:sz="0" w:space="0" w:color="auto"/>
        <w:left w:val="none" w:sz="0" w:space="0" w:color="auto"/>
        <w:bottom w:val="none" w:sz="0" w:space="0" w:color="auto"/>
        <w:right w:val="none" w:sz="0" w:space="0" w:color="auto"/>
      </w:divBdr>
    </w:div>
    <w:div w:id="376391848">
      <w:bodyDiv w:val="1"/>
      <w:marLeft w:val="0"/>
      <w:marRight w:val="0"/>
      <w:marTop w:val="0"/>
      <w:marBottom w:val="0"/>
      <w:divBdr>
        <w:top w:val="none" w:sz="0" w:space="0" w:color="auto"/>
        <w:left w:val="none" w:sz="0" w:space="0" w:color="auto"/>
        <w:bottom w:val="none" w:sz="0" w:space="0" w:color="auto"/>
        <w:right w:val="none" w:sz="0" w:space="0" w:color="auto"/>
      </w:divBdr>
    </w:div>
    <w:div w:id="380249898">
      <w:bodyDiv w:val="1"/>
      <w:marLeft w:val="0"/>
      <w:marRight w:val="0"/>
      <w:marTop w:val="0"/>
      <w:marBottom w:val="0"/>
      <w:divBdr>
        <w:top w:val="none" w:sz="0" w:space="0" w:color="auto"/>
        <w:left w:val="none" w:sz="0" w:space="0" w:color="auto"/>
        <w:bottom w:val="none" w:sz="0" w:space="0" w:color="auto"/>
        <w:right w:val="none" w:sz="0" w:space="0" w:color="auto"/>
      </w:divBdr>
    </w:div>
    <w:div w:id="388774219">
      <w:bodyDiv w:val="1"/>
      <w:marLeft w:val="0"/>
      <w:marRight w:val="0"/>
      <w:marTop w:val="0"/>
      <w:marBottom w:val="0"/>
      <w:divBdr>
        <w:top w:val="none" w:sz="0" w:space="0" w:color="auto"/>
        <w:left w:val="none" w:sz="0" w:space="0" w:color="auto"/>
        <w:bottom w:val="none" w:sz="0" w:space="0" w:color="auto"/>
        <w:right w:val="none" w:sz="0" w:space="0" w:color="auto"/>
      </w:divBdr>
    </w:div>
    <w:div w:id="417675276">
      <w:bodyDiv w:val="1"/>
      <w:marLeft w:val="0"/>
      <w:marRight w:val="0"/>
      <w:marTop w:val="0"/>
      <w:marBottom w:val="0"/>
      <w:divBdr>
        <w:top w:val="none" w:sz="0" w:space="0" w:color="auto"/>
        <w:left w:val="none" w:sz="0" w:space="0" w:color="auto"/>
        <w:bottom w:val="none" w:sz="0" w:space="0" w:color="auto"/>
        <w:right w:val="none" w:sz="0" w:space="0" w:color="auto"/>
      </w:divBdr>
    </w:div>
    <w:div w:id="418254000">
      <w:bodyDiv w:val="1"/>
      <w:marLeft w:val="0"/>
      <w:marRight w:val="0"/>
      <w:marTop w:val="0"/>
      <w:marBottom w:val="0"/>
      <w:divBdr>
        <w:top w:val="none" w:sz="0" w:space="0" w:color="auto"/>
        <w:left w:val="none" w:sz="0" w:space="0" w:color="auto"/>
        <w:bottom w:val="none" w:sz="0" w:space="0" w:color="auto"/>
        <w:right w:val="none" w:sz="0" w:space="0" w:color="auto"/>
      </w:divBdr>
    </w:div>
    <w:div w:id="421221710">
      <w:bodyDiv w:val="1"/>
      <w:marLeft w:val="0"/>
      <w:marRight w:val="0"/>
      <w:marTop w:val="0"/>
      <w:marBottom w:val="0"/>
      <w:divBdr>
        <w:top w:val="none" w:sz="0" w:space="0" w:color="auto"/>
        <w:left w:val="none" w:sz="0" w:space="0" w:color="auto"/>
        <w:bottom w:val="none" w:sz="0" w:space="0" w:color="auto"/>
        <w:right w:val="none" w:sz="0" w:space="0" w:color="auto"/>
      </w:divBdr>
      <w:divsChild>
        <w:div w:id="17777478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6582715">
      <w:bodyDiv w:val="1"/>
      <w:marLeft w:val="0"/>
      <w:marRight w:val="0"/>
      <w:marTop w:val="0"/>
      <w:marBottom w:val="0"/>
      <w:divBdr>
        <w:top w:val="none" w:sz="0" w:space="0" w:color="auto"/>
        <w:left w:val="none" w:sz="0" w:space="0" w:color="auto"/>
        <w:bottom w:val="none" w:sz="0" w:space="0" w:color="auto"/>
        <w:right w:val="none" w:sz="0" w:space="0" w:color="auto"/>
      </w:divBdr>
    </w:div>
    <w:div w:id="485974965">
      <w:bodyDiv w:val="1"/>
      <w:marLeft w:val="0"/>
      <w:marRight w:val="0"/>
      <w:marTop w:val="0"/>
      <w:marBottom w:val="0"/>
      <w:divBdr>
        <w:top w:val="none" w:sz="0" w:space="0" w:color="auto"/>
        <w:left w:val="none" w:sz="0" w:space="0" w:color="auto"/>
        <w:bottom w:val="none" w:sz="0" w:space="0" w:color="auto"/>
        <w:right w:val="none" w:sz="0" w:space="0" w:color="auto"/>
      </w:divBdr>
    </w:div>
    <w:div w:id="494956280">
      <w:bodyDiv w:val="1"/>
      <w:marLeft w:val="0"/>
      <w:marRight w:val="0"/>
      <w:marTop w:val="0"/>
      <w:marBottom w:val="0"/>
      <w:divBdr>
        <w:top w:val="none" w:sz="0" w:space="0" w:color="auto"/>
        <w:left w:val="none" w:sz="0" w:space="0" w:color="auto"/>
        <w:bottom w:val="none" w:sz="0" w:space="0" w:color="auto"/>
        <w:right w:val="none" w:sz="0" w:space="0" w:color="auto"/>
      </w:divBdr>
    </w:div>
    <w:div w:id="495343536">
      <w:bodyDiv w:val="1"/>
      <w:marLeft w:val="0"/>
      <w:marRight w:val="0"/>
      <w:marTop w:val="0"/>
      <w:marBottom w:val="0"/>
      <w:divBdr>
        <w:top w:val="none" w:sz="0" w:space="0" w:color="auto"/>
        <w:left w:val="none" w:sz="0" w:space="0" w:color="auto"/>
        <w:bottom w:val="none" w:sz="0" w:space="0" w:color="auto"/>
        <w:right w:val="none" w:sz="0" w:space="0" w:color="auto"/>
      </w:divBdr>
    </w:div>
    <w:div w:id="526912192">
      <w:bodyDiv w:val="1"/>
      <w:marLeft w:val="0"/>
      <w:marRight w:val="0"/>
      <w:marTop w:val="0"/>
      <w:marBottom w:val="0"/>
      <w:divBdr>
        <w:top w:val="none" w:sz="0" w:space="0" w:color="auto"/>
        <w:left w:val="none" w:sz="0" w:space="0" w:color="auto"/>
        <w:bottom w:val="none" w:sz="0" w:space="0" w:color="auto"/>
        <w:right w:val="none" w:sz="0" w:space="0" w:color="auto"/>
      </w:divBdr>
    </w:div>
    <w:div w:id="555631370">
      <w:bodyDiv w:val="1"/>
      <w:marLeft w:val="0"/>
      <w:marRight w:val="0"/>
      <w:marTop w:val="0"/>
      <w:marBottom w:val="0"/>
      <w:divBdr>
        <w:top w:val="none" w:sz="0" w:space="0" w:color="auto"/>
        <w:left w:val="none" w:sz="0" w:space="0" w:color="auto"/>
        <w:bottom w:val="none" w:sz="0" w:space="0" w:color="auto"/>
        <w:right w:val="none" w:sz="0" w:space="0" w:color="auto"/>
      </w:divBdr>
    </w:div>
    <w:div w:id="559289017">
      <w:bodyDiv w:val="1"/>
      <w:marLeft w:val="0"/>
      <w:marRight w:val="0"/>
      <w:marTop w:val="0"/>
      <w:marBottom w:val="0"/>
      <w:divBdr>
        <w:top w:val="none" w:sz="0" w:space="0" w:color="auto"/>
        <w:left w:val="none" w:sz="0" w:space="0" w:color="auto"/>
        <w:bottom w:val="none" w:sz="0" w:space="0" w:color="auto"/>
        <w:right w:val="none" w:sz="0" w:space="0" w:color="auto"/>
      </w:divBdr>
    </w:div>
    <w:div w:id="579412096">
      <w:bodyDiv w:val="1"/>
      <w:marLeft w:val="0"/>
      <w:marRight w:val="0"/>
      <w:marTop w:val="0"/>
      <w:marBottom w:val="0"/>
      <w:divBdr>
        <w:top w:val="none" w:sz="0" w:space="0" w:color="auto"/>
        <w:left w:val="none" w:sz="0" w:space="0" w:color="auto"/>
        <w:bottom w:val="none" w:sz="0" w:space="0" w:color="auto"/>
        <w:right w:val="none" w:sz="0" w:space="0" w:color="auto"/>
      </w:divBdr>
    </w:div>
    <w:div w:id="599530281">
      <w:bodyDiv w:val="1"/>
      <w:marLeft w:val="0"/>
      <w:marRight w:val="0"/>
      <w:marTop w:val="0"/>
      <w:marBottom w:val="0"/>
      <w:divBdr>
        <w:top w:val="none" w:sz="0" w:space="0" w:color="auto"/>
        <w:left w:val="none" w:sz="0" w:space="0" w:color="auto"/>
        <w:bottom w:val="none" w:sz="0" w:space="0" w:color="auto"/>
        <w:right w:val="none" w:sz="0" w:space="0" w:color="auto"/>
      </w:divBdr>
    </w:div>
    <w:div w:id="616521994">
      <w:bodyDiv w:val="1"/>
      <w:marLeft w:val="0"/>
      <w:marRight w:val="0"/>
      <w:marTop w:val="0"/>
      <w:marBottom w:val="0"/>
      <w:divBdr>
        <w:top w:val="none" w:sz="0" w:space="0" w:color="auto"/>
        <w:left w:val="none" w:sz="0" w:space="0" w:color="auto"/>
        <w:bottom w:val="none" w:sz="0" w:space="0" w:color="auto"/>
        <w:right w:val="none" w:sz="0" w:space="0" w:color="auto"/>
      </w:divBdr>
    </w:div>
    <w:div w:id="626546841">
      <w:bodyDiv w:val="1"/>
      <w:marLeft w:val="0"/>
      <w:marRight w:val="0"/>
      <w:marTop w:val="0"/>
      <w:marBottom w:val="0"/>
      <w:divBdr>
        <w:top w:val="none" w:sz="0" w:space="0" w:color="auto"/>
        <w:left w:val="none" w:sz="0" w:space="0" w:color="auto"/>
        <w:bottom w:val="none" w:sz="0" w:space="0" w:color="auto"/>
        <w:right w:val="none" w:sz="0" w:space="0" w:color="auto"/>
      </w:divBdr>
    </w:div>
    <w:div w:id="646133053">
      <w:bodyDiv w:val="1"/>
      <w:marLeft w:val="0"/>
      <w:marRight w:val="0"/>
      <w:marTop w:val="0"/>
      <w:marBottom w:val="0"/>
      <w:divBdr>
        <w:top w:val="none" w:sz="0" w:space="0" w:color="auto"/>
        <w:left w:val="none" w:sz="0" w:space="0" w:color="auto"/>
        <w:bottom w:val="none" w:sz="0" w:space="0" w:color="auto"/>
        <w:right w:val="none" w:sz="0" w:space="0" w:color="auto"/>
      </w:divBdr>
    </w:div>
    <w:div w:id="652686755">
      <w:bodyDiv w:val="1"/>
      <w:marLeft w:val="0"/>
      <w:marRight w:val="0"/>
      <w:marTop w:val="0"/>
      <w:marBottom w:val="0"/>
      <w:divBdr>
        <w:top w:val="none" w:sz="0" w:space="0" w:color="auto"/>
        <w:left w:val="none" w:sz="0" w:space="0" w:color="auto"/>
        <w:bottom w:val="none" w:sz="0" w:space="0" w:color="auto"/>
        <w:right w:val="none" w:sz="0" w:space="0" w:color="auto"/>
      </w:divBdr>
    </w:div>
    <w:div w:id="662126769">
      <w:bodyDiv w:val="1"/>
      <w:marLeft w:val="0"/>
      <w:marRight w:val="0"/>
      <w:marTop w:val="0"/>
      <w:marBottom w:val="0"/>
      <w:divBdr>
        <w:top w:val="none" w:sz="0" w:space="0" w:color="auto"/>
        <w:left w:val="none" w:sz="0" w:space="0" w:color="auto"/>
        <w:bottom w:val="none" w:sz="0" w:space="0" w:color="auto"/>
        <w:right w:val="none" w:sz="0" w:space="0" w:color="auto"/>
      </w:divBdr>
    </w:div>
    <w:div w:id="706569938">
      <w:bodyDiv w:val="1"/>
      <w:marLeft w:val="0"/>
      <w:marRight w:val="0"/>
      <w:marTop w:val="0"/>
      <w:marBottom w:val="0"/>
      <w:divBdr>
        <w:top w:val="none" w:sz="0" w:space="0" w:color="auto"/>
        <w:left w:val="none" w:sz="0" w:space="0" w:color="auto"/>
        <w:bottom w:val="none" w:sz="0" w:space="0" w:color="auto"/>
        <w:right w:val="none" w:sz="0" w:space="0" w:color="auto"/>
      </w:divBdr>
    </w:div>
    <w:div w:id="709375586">
      <w:bodyDiv w:val="1"/>
      <w:marLeft w:val="0"/>
      <w:marRight w:val="0"/>
      <w:marTop w:val="0"/>
      <w:marBottom w:val="0"/>
      <w:divBdr>
        <w:top w:val="none" w:sz="0" w:space="0" w:color="auto"/>
        <w:left w:val="none" w:sz="0" w:space="0" w:color="auto"/>
        <w:bottom w:val="none" w:sz="0" w:space="0" w:color="auto"/>
        <w:right w:val="none" w:sz="0" w:space="0" w:color="auto"/>
      </w:divBdr>
    </w:div>
    <w:div w:id="734090014">
      <w:bodyDiv w:val="1"/>
      <w:marLeft w:val="0"/>
      <w:marRight w:val="0"/>
      <w:marTop w:val="0"/>
      <w:marBottom w:val="0"/>
      <w:divBdr>
        <w:top w:val="none" w:sz="0" w:space="0" w:color="auto"/>
        <w:left w:val="none" w:sz="0" w:space="0" w:color="auto"/>
        <w:bottom w:val="none" w:sz="0" w:space="0" w:color="auto"/>
        <w:right w:val="none" w:sz="0" w:space="0" w:color="auto"/>
      </w:divBdr>
    </w:div>
    <w:div w:id="744306501">
      <w:bodyDiv w:val="1"/>
      <w:marLeft w:val="0"/>
      <w:marRight w:val="0"/>
      <w:marTop w:val="0"/>
      <w:marBottom w:val="0"/>
      <w:divBdr>
        <w:top w:val="none" w:sz="0" w:space="0" w:color="auto"/>
        <w:left w:val="none" w:sz="0" w:space="0" w:color="auto"/>
        <w:bottom w:val="none" w:sz="0" w:space="0" w:color="auto"/>
        <w:right w:val="none" w:sz="0" w:space="0" w:color="auto"/>
      </w:divBdr>
    </w:div>
    <w:div w:id="745616189">
      <w:bodyDiv w:val="1"/>
      <w:marLeft w:val="0"/>
      <w:marRight w:val="0"/>
      <w:marTop w:val="0"/>
      <w:marBottom w:val="0"/>
      <w:divBdr>
        <w:top w:val="none" w:sz="0" w:space="0" w:color="auto"/>
        <w:left w:val="none" w:sz="0" w:space="0" w:color="auto"/>
        <w:bottom w:val="none" w:sz="0" w:space="0" w:color="auto"/>
        <w:right w:val="none" w:sz="0" w:space="0" w:color="auto"/>
      </w:divBdr>
    </w:div>
    <w:div w:id="764497348">
      <w:bodyDiv w:val="1"/>
      <w:marLeft w:val="0"/>
      <w:marRight w:val="0"/>
      <w:marTop w:val="0"/>
      <w:marBottom w:val="0"/>
      <w:divBdr>
        <w:top w:val="none" w:sz="0" w:space="0" w:color="auto"/>
        <w:left w:val="none" w:sz="0" w:space="0" w:color="auto"/>
        <w:bottom w:val="none" w:sz="0" w:space="0" w:color="auto"/>
        <w:right w:val="none" w:sz="0" w:space="0" w:color="auto"/>
      </w:divBdr>
    </w:div>
    <w:div w:id="773206185">
      <w:bodyDiv w:val="1"/>
      <w:marLeft w:val="0"/>
      <w:marRight w:val="0"/>
      <w:marTop w:val="0"/>
      <w:marBottom w:val="0"/>
      <w:divBdr>
        <w:top w:val="none" w:sz="0" w:space="0" w:color="auto"/>
        <w:left w:val="none" w:sz="0" w:space="0" w:color="auto"/>
        <w:bottom w:val="none" w:sz="0" w:space="0" w:color="auto"/>
        <w:right w:val="none" w:sz="0" w:space="0" w:color="auto"/>
      </w:divBdr>
    </w:div>
    <w:div w:id="780731217">
      <w:bodyDiv w:val="1"/>
      <w:marLeft w:val="0"/>
      <w:marRight w:val="0"/>
      <w:marTop w:val="0"/>
      <w:marBottom w:val="0"/>
      <w:divBdr>
        <w:top w:val="none" w:sz="0" w:space="0" w:color="auto"/>
        <w:left w:val="none" w:sz="0" w:space="0" w:color="auto"/>
        <w:bottom w:val="none" w:sz="0" w:space="0" w:color="auto"/>
        <w:right w:val="none" w:sz="0" w:space="0" w:color="auto"/>
      </w:divBdr>
    </w:div>
    <w:div w:id="788856978">
      <w:bodyDiv w:val="1"/>
      <w:marLeft w:val="0"/>
      <w:marRight w:val="0"/>
      <w:marTop w:val="0"/>
      <w:marBottom w:val="0"/>
      <w:divBdr>
        <w:top w:val="none" w:sz="0" w:space="0" w:color="auto"/>
        <w:left w:val="none" w:sz="0" w:space="0" w:color="auto"/>
        <w:bottom w:val="none" w:sz="0" w:space="0" w:color="auto"/>
        <w:right w:val="none" w:sz="0" w:space="0" w:color="auto"/>
      </w:divBdr>
    </w:div>
    <w:div w:id="800685824">
      <w:bodyDiv w:val="1"/>
      <w:marLeft w:val="0"/>
      <w:marRight w:val="0"/>
      <w:marTop w:val="0"/>
      <w:marBottom w:val="0"/>
      <w:divBdr>
        <w:top w:val="none" w:sz="0" w:space="0" w:color="auto"/>
        <w:left w:val="none" w:sz="0" w:space="0" w:color="auto"/>
        <w:bottom w:val="none" w:sz="0" w:space="0" w:color="auto"/>
        <w:right w:val="none" w:sz="0" w:space="0" w:color="auto"/>
      </w:divBdr>
    </w:div>
    <w:div w:id="836575148">
      <w:bodyDiv w:val="1"/>
      <w:marLeft w:val="0"/>
      <w:marRight w:val="0"/>
      <w:marTop w:val="0"/>
      <w:marBottom w:val="0"/>
      <w:divBdr>
        <w:top w:val="none" w:sz="0" w:space="0" w:color="auto"/>
        <w:left w:val="none" w:sz="0" w:space="0" w:color="auto"/>
        <w:bottom w:val="none" w:sz="0" w:space="0" w:color="auto"/>
        <w:right w:val="none" w:sz="0" w:space="0" w:color="auto"/>
      </w:divBdr>
    </w:div>
    <w:div w:id="850603684">
      <w:bodyDiv w:val="1"/>
      <w:marLeft w:val="0"/>
      <w:marRight w:val="0"/>
      <w:marTop w:val="0"/>
      <w:marBottom w:val="0"/>
      <w:divBdr>
        <w:top w:val="none" w:sz="0" w:space="0" w:color="auto"/>
        <w:left w:val="none" w:sz="0" w:space="0" w:color="auto"/>
        <w:bottom w:val="none" w:sz="0" w:space="0" w:color="auto"/>
        <w:right w:val="none" w:sz="0" w:space="0" w:color="auto"/>
      </w:divBdr>
    </w:div>
    <w:div w:id="860901264">
      <w:bodyDiv w:val="1"/>
      <w:marLeft w:val="0"/>
      <w:marRight w:val="0"/>
      <w:marTop w:val="0"/>
      <w:marBottom w:val="0"/>
      <w:divBdr>
        <w:top w:val="none" w:sz="0" w:space="0" w:color="auto"/>
        <w:left w:val="none" w:sz="0" w:space="0" w:color="auto"/>
        <w:bottom w:val="none" w:sz="0" w:space="0" w:color="auto"/>
        <w:right w:val="none" w:sz="0" w:space="0" w:color="auto"/>
      </w:divBdr>
      <w:divsChild>
        <w:div w:id="4435482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5480337">
      <w:bodyDiv w:val="1"/>
      <w:marLeft w:val="0"/>
      <w:marRight w:val="0"/>
      <w:marTop w:val="0"/>
      <w:marBottom w:val="0"/>
      <w:divBdr>
        <w:top w:val="none" w:sz="0" w:space="0" w:color="auto"/>
        <w:left w:val="none" w:sz="0" w:space="0" w:color="auto"/>
        <w:bottom w:val="none" w:sz="0" w:space="0" w:color="auto"/>
        <w:right w:val="none" w:sz="0" w:space="0" w:color="auto"/>
      </w:divBdr>
      <w:divsChild>
        <w:div w:id="592057910">
          <w:marLeft w:val="0"/>
          <w:marRight w:val="0"/>
          <w:marTop w:val="0"/>
          <w:marBottom w:val="0"/>
          <w:divBdr>
            <w:top w:val="none" w:sz="0" w:space="0" w:color="auto"/>
            <w:left w:val="none" w:sz="0" w:space="0" w:color="auto"/>
            <w:bottom w:val="none" w:sz="0" w:space="0" w:color="auto"/>
            <w:right w:val="none" w:sz="0" w:space="0" w:color="auto"/>
          </w:divBdr>
        </w:div>
        <w:div w:id="1502889166">
          <w:marLeft w:val="0"/>
          <w:marRight w:val="0"/>
          <w:marTop w:val="0"/>
          <w:marBottom w:val="0"/>
          <w:divBdr>
            <w:top w:val="none" w:sz="0" w:space="0" w:color="auto"/>
            <w:left w:val="none" w:sz="0" w:space="0" w:color="auto"/>
            <w:bottom w:val="none" w:sz="0" w:space="0" w:color="auto"/>
            <w:right w:val="none" w:sz="0" w:space="0" w:color="auto"/>
          </w:divBdr>
        </w:div>
      </w:divsChild>
    </w:div>
    <w:div w:id="882641484">
      <w:bodyDiv w:val="1"/>
      <w:marLeft w:val="0"/>
      <w:marRight w:val="0"/>
      <w:marTop w:val="0"/>
      <w:marBottom w:val="0"/>
      <w:divBdr>
        <w:top w:val="none" w:sz="0" w:space="0" w:color="auto"/>
        <w:left w:val="none" w:sz="0" w:space="0" w:color="auto"/>
        <w:bottom w:val="none" w:sz="0" w:space="0" w:color="auto"/>
        <w:right w:val="none" w:sz="0" w:space="0" w:color="auto"/>
      </w:divBdr>
    </w:div>
    <w:div w:id="889927209">
      <w:bodyDiv w:val="1"/>
      <w:marLeft w:val="0"/>
      <w:marRight w:val="0"/>
      <w:marTop w:val="0"/>
      <w:marBottom w:val="0"/>
      <w:divBdr>
        <w:top w:val="none" w:sz="0" w:space="0" w:color="auto"/>
        <w:left w:val="none" w:sz="0" w:space="0" w:color="auto"/>
        <w:bottom w:val="none" w:sz="0" w:space="0" w:color="auto"/>
        <w:right w:val="none" w:sz="0" w:space="0" w:color="auto"/>
      </w:divBdr>
    </w:div>
    <w:div w:id="907687862">
      <w:bodyDiv w:val="1"/>
      <w:marLeft w:val="0"/>
      <w:marRight w:val="0"/>
      <w:marTop w:val="0"/>
      <w:marBottom w:val="0"/>
      <w:divBdr>
        <w:top w:val="none" w:sz="0" w:space="0" w:color="auto"/>
        <w:left w:val="none" w:sz="0" w:space="0" w:color="auto"/>
        <w:bottom w:val="none" w:sz="0" w:space="0" w:color="auto"/>
        <w:right w:val="none" w:sz="0" w:space="0" w:color="auto"/>
      </w:divBdr>
      <w:divsChild>
        <w:div w:id="15933914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2469959">
      <w:bodyDiv w:val="1"/>
      <w:marLeft w:val="0"/>
      <w:marRight w:val="0"/>
      <w:marTop w:val="0"/>
      <w:marBottom w:val="0"/>
      <w:divBdr>
        <w:top w:val="none" w:sz="0" w:space="0" w:color="auto"/>
        <w:left w:val="none" w:sz="0" w:space="0" w:color="auto"/>
        <w:bottom w:val="none" w:sz="0" w:space="0" w:color="auto"/>
        <w:right w:val="none" w:sz="0" w:space="0" w:color="auto"/>
      </w:divBdr>
    </w:div>
    <w:div w:id="973827535">
      <w:bodyDiv w:val="1"/>
      <w:marLeft w:val="0"/>
      <w:marRight w:val="0"/>
      <w:marTop w:val="0"/>
      <w:marBottom w:val="0"/>
      <w:divBdr>
        <w:top w:val="none" w:sz="0" w:space="0" w:color="auto"/>
        <w:left w:val="none" w:sz="0" w:space="0" w:color="auto"/>
        <w:bottom w:val="none" w:sz="0" w:space="0" w:color="auto"/>
        <w:right w:val="none" w:sz="0" w:space="0" w:color="auto"/>
      </w:divBdr>
    </w:div>
    <w:div w:id="980616788">
      <w:bodyDiv w:val="1"/>
      <w:marLeft w:val="0"/>
      <w:marRight w:val="0"/>
      <w:marTop w:val="0"/>
      <w:marBottom w:val="0"/>
      <w:divBdr>
        <w:top w:val="none" w:sz="0" w:space="0" w:color="auto"/>
        <w:left w:val="none" w:sz="0" w:space="0" w:color="auto"/>
        <w:bottom w:val="none" w:sz="0" w:space="0" w:color="auto"/>
        <w:right w:val="none" w:sz="0" w:space="0" w:color="auto"/>
      </w:divBdr>
    </w:div>
    <w:div w:id="1003363510">
      <w:bodyDiv w:val="1"/>
      <w:marLeft w:val="0"/>
      <w:marRight w:val="0"/>
      <w:marTop w:val="0"/>
      <w:marBottom w:val="0"/>
      <w:divBdr>
        <w:top w:val="none" w:sz="0" w:space="0" w:color="auto"/>
        <w:left w:val="none" w:sz="0" w:space="0" w:color="auto"/>
        <w:bottom w:val="none" w:sz="0" w:space="0" w:color="auto"/>
        <w:right w:val="none" w:sz="0" w:space="0" w:color="auto"/>
      </w:divBdr>
      <w:divsChild>
        <w:div w:id="11651964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2297018">
      <w:bodyDiv w:val="1"/>
      <w:marLeft w:val="0"/>
      <w:marRight w:val="0"/>
      <w:marTop w:val="0"/>
      <w:marBottom w:val="0"/>
      <w:divBdr>
        <w:top w:val="none" w:sz="0" w:space="0" w:color="auto"/>
        <w:left w:val="none" w:sz="0" w:space="0" w:color="auto"/>
        <w:bottom w:val="none" w:sz="0" w:space="0" w:color="auto"/>
        <w:right w:val="none" w:sz="0" w:space="0" w:color="auto"/>
      </w:divBdr>
    </w:div>
    <w:div w:id="1016343152">
      <w:bodyDiv w:val="1"/>
      <w:marLeft w:val="0"/>
      <w:marRight w:val="0"/>
      <w:marTop w:val="0"/>
      <w:marBottom w:val="0"/>
      <w:divBdr>
        <w:top w:val="none" w:sz="0" w:space="0" w:color="auto"/>
        <w:left w:val="none" w:sz="0" w:space="0" w:color="auto"/>
        <w:bottom w:val="none" w:sz="0" w:space="0" w:color="auto"/>
        <w:right w:val="none" w:sz="0" w:space="0" w:color="auto"/>
      </w:divBdr>
    </w:div>
    <w:div w:id="1058556930">
      <w:bodyDiv w:val="1"/>
      <w:marLeft w:val="0"/>
      <w:marRight w:val="0"/>
      <w:marTop w:val="0"/>
      <w:marBottom w:val="0"/>
      <w:divBdr>
        <w:top w:val="none" w:sz="0" w:space="0" w:color="auto"/>
        <w:left w:val="none" w:sz="0" w:space="0" w:color="auto"/>
        <w:bottom w:val="none" w:sz="0" w:space="0" w:color="auto"/>
        <w:right w:val="none" w:sz="0" w:space="0" w:color="auto"/>
      </w:divBdr>
    </w:div>
    <w:div w:id="1071004145">
      <w:bodyDiv w:val="1"/>
      <w:marLeft w:val="0"/>
      <w:marRight w:val="0"/>
      <w:marTop w:val="0"/>
      <w:marBottom w:val="0"/>
      <w:divBdr>
        <w:top w:val="none" w:sz="0" w:space="0" w:color="auto"/>
        <w:left w:val="none" w:sz="0" w:space="0" w:color="auto"/>
        <w:bottom w:val="none" w:sz="0" w:space="0" w:color="auto"/>
        <w:right w:val="none" w:sz="0" w:space="0" w:color="auto"/>
      </w:divBdr>
      <w:divsChild>
        <w:div w:id="1461729005">
          <w:marLeft w:val="0"/>
          <w:marRight w:val="0"/>
          <w:marTop w:val="0"/>
          <w:marBottom w:val="0"/>
          <w:divBdr>
            <w:top w:val="none" w:sz="0" w:space="0" w:color="auto"/>
            <w:left w:val="none" w:sz="0" w:space="0" w:color="auto"/>
            <w:bottom w:val="none" w:sz="0" w:space="0" w:color="auto"/>
            <w:right w:val="none" w:sz="0" w:space="0" w:color="auto"/>
          </w:divBdr>
          <w:divsChild>
            <w:div w:id="1969313053">
              <w:marLeft w:val="0"/>
              <w:marRight w:val="0"/>
              <w:marTop w:val="0"/>
              <w:marBottom w:val="0"/>
              <w:divBdr>
                <w:top w:val="none" w:sz="0" w:space="0" w:color="auto"/>
                <w:left w:val="none" w:sz="0" w:space="0" w:color="auto"/>
                <w:bottom w:val="none" w:sz="0" w:space="0" w:color="auto"/>
                <w:right w:val="none" w:sz="0" w:space="0" w:color="auto"/>
              </w:divBdr>
              <w:divsChild>
                <w:div w:id="624391813">
                  <w:marLeft w:val="0"/>
                  <w:marRight w:val="0"/>
                  <w:marTop w:val="0"/>
                  <w:marBottom w:val="0"/>
                  <w:divBdr>
                    <w:top w:val="none" w:sz="0" w:space="0" w:color="auto"/>
                    <w:left w:val="none" w:sz="0" w:space="0" w:color="auto"/>
                    <w:bottom w:val="none" w:sz="0" w:space="0" w:color="auto"/>
                    <w:right w:val="none" w:sz="0" w:space="0" w:color="auto"/>
                  </w:divBdr>
                  <w:divsChild>
                    <w:div w:id="637297388">
                      <w:marLeft w:val="0"/>
                      <w:marRight w:val="0"/>
                      <w:marTop w:val="0"/>
                      <w:marBottom w:val="0"/>
                      <w:divBdr>
                        <w:top w:val="none" w:sz="0" w:space="0" w:color="auto"/>
                        <w:left w:val="none" w:sz="0" w:space="0" w:color="auto"/>
                        <w:bottom w:val="none" w:sz="0" w:space="0" w:color="auto"/>
                        <w:right w:val="none" w:sz="0" w:space="0" w:color="auto"/>
                      </w:divBdr>
                      <w:divsChild>
                        <w:div w:id="196588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0711213">
      <w:bodyDiv w:val="1"/>
      <w:marLeft w:val="0"/>
      <w:marRight w:val="0"/>
      <w:marTop w:val="0"/>
      <w:marBottom w:val="0"/>
      <w:divBdr>
        <w:top w:val="none" w:sz="0" w:space="0" w:color="auto"/>
        <w:left w:val="none" w:sz="0" w:space="0" w:color="auto"/>
        <w:bottom w:val="none" w:sz="0" w:space="0" w:color="auto"/>
        <w:right w:val="none" w:sz="0" w:space="0" w:color="auto"/>
      </w:divBdr>
    </w:div>
    <w:div w:id="1088773738">
      <w:bodyDiv w:val="1"/>
      <w:marLeft w:val="0"/>
      <w:marRight w:val="0"/>
      <w:marTop w:val="0"/>
      <w:marBottom w:val="0"/>
      <w:divBdr>
        <w:top w:val="none" w:sz="0" w:space="0" w:color="auto"/>
        <w:left w:val="none" w:sz="0" w:space="0" w:color="auto"/>
        <w:bottom w:val="none" w:sz="0" w:space="0" w:color="auto"/>
        <w:right w:val="none" w:sz="0" w:space="0" w:color="auto"/>
      </w:divBdr>
    </w:div>
    <w:div w:id="1091661419">
      <w:bodyDiv w:val="1"/>
      <w:marLeft w:val="0"/>
      <w:marRight w:val="0"/>
      <w:marTop w:val="0"/>
      <w:marBottom w:val="0"/>
      <w:divBdr>
        <w:top w:val="none" w:sz="0" w:space="0" w:color="auto"/>
        <w:left w:val="none" w:sz="0" w:space="0" w:color="auto"/>
        <w:bottom w:val="none" w:sz="0" w:space="0" w:color="auto"/>
        <w:right w:val="none" w:sz="0" w:space="0" w:color="auto"/>
      </w:divBdr>
    </w:div>
    <w:div w:id="1128358499">
      <w:bodyDiv w:val="1"/>
      <w:marLeft w:val="0"/>
      <w:marRight w:val="0"/>
      <w:marTop w:val="0"/>
      <w:marBottom w:val="0"/>
      <w:divBdr>
        <w:top w:val="none" w:sz="0" w:space="0" w:color="auto"/>
        <w:left w:val="none" w:sz="0" w:space="0" w:color="auto"/>
        <w:bottom w:val="none" w:sz="0" w:space="0" w:color="auto"/>
        <w:right w:val="none" w:sz="0" w:space="0" w:color="auto"/>
      </w:divBdr>
    </w:div>
    <w:div w:id="1139683772">
      <w:bodyDiv w:val="1"/>
      <w:marLeft w:val="0"/>
      <w:marRight w:val="0"/>
      <w:marTop w:val="0"/>
      <w:marBottom w:val="0"/>
      <w:divBdr>
        <w:top w:val="none" w:sz="0" w:space="0" w:color="auto"/>
        <w:left w:val="none" w:sz="0" w:space="0" w:color="auto"/>
        <w:bottom w:val="none" w:sz="0" w:space="0" w:color="auto"/>
        <w:right w:val="none" w:sz="0" w:space="0" w:color="auto"/>
      </w:divBdr>
    </w:div>
    <w:div w:id="1143546338">
      <w:bodyDiv w:val="1"/>
      <w:marLeft w:val="0"/>
      <w:marRight w:val="0"/>
      <w:marTop w:val="0"/>
      <w:marBottom w:val="0"/>
      <w:divBdr>
        <w:top w:val="none" w:sz="0" w:space="0" w:color="auto"/>
        <w:left w:val="none" w:sz="0" w:space="0" w:color="auto"/>
        <w:bottom w:val="none" w:sz="0" w:space="0" w:color="auto"/>
        <w:right w:val="none" w:sz="0" w:space="0" w:color="auto"/>
      </w:divBdr>
    </w:div>
    <w:div w:id="1147361280">
      <w:bodyDiv w:val="1"/>
      <w:marLeft w:val="0"/>
      <w:marRight w:val="0"/>
      <w:marTop w:val="0"/>
      <w:marBottom w:val="0"/>
      <w:divBdr>
        <w:top w:val="none" w:sz="0" w:space="0" w:color="auto"/>
        <w:left w:val="none" w:sz="0" w:space="0" w:color="auto"/>
        <w:bottom w:val="none" w:sz="0" w:space="0" w:color="auto"/>
        <w:right w:val="none" w:sz="0" w:space="0" w:color="auto"/>
      </w:divBdr>
    </w:div>
    <w:div w:id="1212696370">
      <w:bodyDiv w:val="1"/>
      <w:marLeft w:val="0"/>
      <w:marRight w:val="0"/>
      <w:marTop w:val="0"/>
      <w:marBottom w:val="0"/>
      <w:divBdr>
        <w:top w:val="none" w:sz="0" w:space="0" w:color="auto"/>
        <w:left w:val="none" w:sz="0" w:space="0" w:color="auto"/>
        <w:bottom w:val="none" w:sz="0" w:space="0" w:color="auto"/>
        <w:right w:val="none" w:sz="0" w:space="0" w:color="auto"/>
      </w:divBdr>
    </w:div>
    <w:div w:id="1237786094">
      <w:bodyDiv w:val="1"/>
      <w:marLeft w:val="0"/>
      <w:marRight w:val="0"/>
      <w:marTop w:val="0"/>
      <w:marBottom w:val="0"/>
      <w:divBdr>
        <w:top w:val="none" w:sz="0" w:space="0" w:color="auto"/>
        <w:left w:val="none" w:sz="0" w:space="0" w:color="auto"/>
        <w:bottom w:val="none" w:sz="0" w:space="0" w:color="auto"/>
        <w:right w:val="none" w:sz="0" w:space="0" w:color="auto"/>
      </w:divBdr>
    </w:div>
    <w:div w:id="1242446895">
      <w:bodyDiv w:val="1"/>
      <w:marLeft w:val="0"/>
      <w:marRight w:val="0"/>
      <w:marTop w:val="0"/>
      <w:marBottom w:val="0"/>
      <w:divBdr>
        <w:top w:val="none" w:sz="0" w:space="0" w:color="auto"/>
        <w:left w:val="none" w:sz="0" w:space="0" w:color="auto"/>
        <w:bottom w:val="none" w:sz="0" w:space="0" w:color="auto"/>
        <w:right w:val="none" w:sz="0" w:space="0" w:color="auto"/>
      </w:divBdr>
    </w:div>
    <w:div w:id="1244804178">
      <w:bodyDiv w:val="1"/>
      <w:marLeft w:val="0"/>
      <w:marRight w:val="0"/>
      <w:marTop w:val="0"/>
      <w:marBottom w:val="0"/>
      <w:divBdr>
        <w:top w:val="none" w:sz="0" w:space="0" w:color="auto"/>
        <w:left w:val="none" w:sz="0" w:space="0" w:color="auto"/>
        <w:bottom w:val="none" w:sz="0" w:space="0" w:color="auto"/>
        <w:right w:val="none" w:sz="0" w:space="0" w:color="auto"/>
      </w:divBdr>
      <w:divsChild>
        <w:div w:id="379746717">
          <w:marLeft w:val="0"/>
          <w:marRight w:val="0"/>
          <w:marTop w:val="0"/>
          <w:marBottom w:val="0"/>
          <w:divBdr>
            <w:top w:val="none" w:sz="0" w:space="0" w:color="auto"/>
            <w:left w:val="none" w:sz="0" w:space="0" w:color="auto"/>
            <w:bottom w:val="none" w:sz="0" w:space="0" w:color="auto"/>
            <w:right w:val="none" w:sz="0" w:space="0" w:color="auto"/>
          </w:divBdr>
        </w:div>
        <w:div w:id="641077558">
          <w:marLeft w:val="0"/>
          <w:marRight w:val="0"/>
          <w:marTop w:val="0"/>
          <w:marBottom w:val="0"/>
          <w:divBdr>
            <w:top w:val="none" w:sz="0" w:space="0" w:color="auto"/>
            <w:left w:val="none" w:sz="0" w:space="0" w:color="auto"/>
            <w:bottom w:val="none" w:sz="0" w:space="0" w:color="auto"/>
            <w:right w:val="none" w:sz="0" w:space="0" w:color="auto"/>
          </w:divBdr>
        </w:div>
        <w:div w:id="936672185">
          <w:marLeft w:val="0"/>
          <w:marRight w:val="0"/>
          <w:marTop w:val="0"/>
          <w:marBottom w:val="0"/>
          <w:divBdr>
            <w:top w:val="none" w:sz="0" w:space="0" w:color="auto"/>
            <w:left w:val="none" w:sz="0" w:space="0" w:color="auto"/>
            <w:bottom w:val="none" w:sz="0" w:space="0" w:color="auto"/>
            <w:right w:val="none" w:sz="0" w:space="0" w:color="auto"/>
          </w:divBdr>
        </w:div>
        <w:div w:id="1512336353">
          <w:marLeft w:val="0"/>
          <w:marRight w:val="0"/>
          <w:marTop w:val="0"/>
          <w:marBottom w:val="0"/>
          <w:divBdr>
            <w:top w:val="none" w:sz="0" w:space="0" w:color="auto"/>
            <w:left w:val="none" w:sz="0" w:space="0" w:color="auto"/>
            <w:bottom w:val="none" w:sz="0" w:space="0" w:color="auto"/>
            <w:right w:val="none" w:sz="0" w:space="0" w:color="auto"/>
          </w:divBdr>
        </w:div>
      </w:divsChild>
    </w:div>
    <w:div w:id="1269046798">
      <w:bodyDiv w:val="1"/>
      <w:marLeft w:val="0"/>
      <w:marRight w:val="0"/>
      <w:marTop w:val="0"/>
      <w:marBottom w:val="0"/>
      <w:divBdr>
        <w:top w:val="none" w:sz="0" w:space="0" w:color="auto"/>
        <w:left w:val="none" w:sz="0" w:space="0" w:color="auto"/>
        <w:bottom w:val="none" w:sz="0" w:space="0" w:color="auto"/>
        <w:right w:val="none" w:sz="0" w:space="0" w:color="auto"/>
      </w:divBdr>
    </w:div>
    <w:div w:id="1275214314">
      <w:bodyDiv w:val="1"/>
      <w:marLeft w:val="0"/>
      <w:marRight w:val="0"/>
      <w:marTop w:val="0"/>
      <w:marBottom w:val="0"/>
      <w:divBdr>
        <w:top w:val="none" w:sz="0" w:space="0" w:color="auto"/>
        <w:left w:val="none" w:sz="0" w:space="0" w:color="auto"/>
        <w:bottom w:val="none" w:sz="0" w:space="0" w:color="auto"/>
        <w:right w:val="none" w:sz="0" w:space="0" w:color="auto"/>
      </w:divBdr>
    </w:div>
    <w:div w:id="1413968771">
      <w:bodyDiv w:val="1"/>
      <w:marLeft w:val="0"/>
      <w:marRight w:val="0"/>
      <w:marTop w:val="0"/>
      <w:marBottom w:val="0"/>
      <w:divBdr>
        <w:top w:val="none" w:sz="0" w:space="0" w:color="auto"/>
        <w:left w:val="none" w:sz="0" w:space="0" w:color="auto"/>
        <w:bottom w:val="none" w:sz="0" w:space="0" w:color="auto"/>
        <w:right w:val="none" w:sz="0" w:space="0" w:color="auto"/>
      </w:divBdr>
    </w:div>
    <w:div w:id="1451585013">
      <w:bodyDiv w:val="1"/>
      <w:marLeft w:val="0"/>
      <w:marRight w:val="0"/>
      <w:marTop w:val="0"/>
      <w:marBottom w:val="0"/>
      <w:divBdr>
        <w:top w:val="none" w:sz="0" w:space="0" w:color="auto"/>
        <w:left w:val="none" w:sz="0" w:space="0" w:color="auto"/>
        <w:bottom w:val="none" w:sz="0" w:space="0" w:color="auto"/>
        <w:right w:val="none" w:sz="0" w:space="0" w:color="auto"/>
      </w:divBdr>
    </w:div>
    <w:div w:id="1470317574">
      <w:bodyDiv w:val="1"/>
      <w:marLeft w:val="0"/>
      <w:marRight w:val="0"/>
      <w:marTop w:val="0"/>
      <w:marBottom w:val="0"/>
      <w:divBdr>
        <w:top w:val="none" w:sz="0" w:space="0" w:color="auto"/>
        <w:left w:val="none" w:sz="0" w:space="0" w:color="auto"/>
        <w:bottom w:val="none" w:sz="0" w:space="0" w:color="auto"/>
        <w:right w:val="none" w:sz="0" w:space="0" w:color="auto"/>
      </w:divBdr>
    </w:div>
    <w:div w:id="1499227916">
      <w:bodyDiv w:val="1"/>
      <w:marLeft w:val="0"/>
      <w:marRight w:val="0"/>
      <w:marTop w:val="0"/>
      <w:marBottom w:val="0"/>
      <w:divBdr>
        <w:top w:val="none" w:sz="0" w:space="0" w:color="auto"/>
        <w:left w:val="none" w:sz="0" w:space="0" w:color="auto"/>
        <w:bottom w:val="none" w:sz="0" w:space="0" w:color="auto"/>
        <w:right w:val="none" w:sz="0" w:space="0" w:color="auto"/>
      </w:divBdr>
    </w:div>
    <w:div w:id="1522626914">
      <w:bodyDiv w:val="1"/>
      <w:marLeft w:val="0"/>
      <w:marRight w:val="0"/>
      <w:marTop w:val="0"/>
      <w:marBottom w:val="0"/>
      <w:divBdr>
        <w:top w:val="none" w:sz="0" w:space="0" w:color="auto"/>
        <w:left w:val="none" w:sz="0" w:space="0" w:color="auto"/>
        <w:bottom w:val="none" w:sz="0" w:space="0" w:color="auto"/>
        <w:right w:val="none" w:sz="0" w:space="0" w:color="auto"/>
      </w:divBdr>
    </w:div>
    <w:div w:id="1527787073">
      <w:bodyDiv w:val="1"/>
      <w:marLeft w:val="0"/>
      <w:marRight w:val="0"/>
      <w:marTop w:val="0"/>
      <w:marBottom w:val="0"/>
      <w:divBdr>
        <w:top w:val="none" w:sz="0" w:space="0" w:color="auto"/>
        <w:left w:val="none" w:sz="0" w:space="0" w:color="auto"/>
        <w:bottom w:val="none" w:sz="0" w:space="0" w:color="auto"/>
        <w:right w:val="none" w:sz="0" w:space="0" w:color="auto"/>
      </w:divBdr>
      <w:divsChild>
        <w:div w:id="1665208470">
          <w:marLeft w:val="0"/>
          <w:marRight w:val="0"/>
          <w:marTop w:val="0"/>
          <w:marBottom w:val="0"/>
          <w:divBdr>
            <w:top w:val="none" w:sz="0" w:space="0" w:color="auto"/>
            <w:left w:val="none" w:sz="0" w:space="0" w:color="auto"/>
            <w:bottom w:val="none" w:sz="0" w:space="0" w:color="auto"/>
            <w:right w:val="none" w:sz="0" w:space="0" w:color="auto"/>
          </w:divBdr>
          <w:divsChild>
            <w:div w:id="1664502562">
              <w:marLeft w:val="0"/>
              <w:marRight w:val="0"/>
              <w:marTop w:val="0"/>
              <w:marBottom w:val="0"/>
              <w:divBdr>
                <w:top w:val="none" w:sz="0" w:space="0" w:color="auto"/>
                <w:left w:val="none" w:sz="0" w:space="0" w:color="auto"/>
                <w:bottom w:val="none" w:sz="0" w:space="0" w:color="auto"/>
                <w:right w:val="none" w:sz="0" w:space="0" w:color="auto"/>
              </w:divBdr>
              <w:divsChild>
                <w:div w:id="611743878">
                  <w:marLeft w:val="0"/>
                  <w:marRight w:val="0"/>
                  <w:marTop w:val="0"/>
                  <w:marBottom w:val="0"/>
                  <w:divBdr>
                    <w:top w:val="none" w:sz="0" w:space="0" w:color="auto"/>
                    <w:left w:val="none" w:sz="0" w:space="0" w:color="auto"/>
                    <w:bottom w:val="none" w:sz="0" w:space="0" w:color="auto"/>
                    <w:right w:val="none" w:sz="0" w:space="0" w:color="auto"/>
                  </w:divBdr>
                  <w:divsChild>
                    <w:div w:id="791285962">
                      <w:marLeft w:val="0"/>
                      <w:marRight w:val="0"/>
                      <w:marTop w:val="0"/>
                      <w:marBottom w:val="0"/>
                      <w:divBdr>
                        <w:top w:val="none" w:sz="0" w:space="0" w:color="auto"/>
                        <w:left w:val="none" w:sz="0" w:space="0" w:color="auto"/>
                        <w:bottom w:val="none" w:sz="0" w:space="0" w:color="auto"/>
                        <w:right w:val="none" w:sz="0" w:space="0" w:color="auto"/>
                      </w:divBdr>
                      <w:divsChild>
                        <w:div w:id="176522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8788230">
      <w:bodyDiv w:val="1"/>
      <w:marLeft w:val="0"/>
      <w:marRight w:val="0"/>
      <w:marTop w:val="0"/>
      <w:marBottom w:val="0"/>
      <w:divBdr>
        <w:top w:val="none" w:sz="0" w:space="0" w:color="auto"/>
        <w:left w:val="none" w:sz="0" w:space="0" w:color="auto"/>
        <w:bottom w:val="none" w:sz="0" w:space="0" w:color="auto"/>
        <w:right w:val="none" w:sz="0" w:space="0" w:color="auto"/>
      </w:divBdr>
      <w:divsChild>
        <w:div w:id="252083024">
          <w:marLeft w:val="0"/>
          <w:marRight w:val="0"/>
          <w:marTop w:val="0"/>
          <w:marBottom w:val="0"/>
          <w:divBdr>
            <w:top w:val="none" w:sz="0" w:space="0" w:color="auto"/>
            <w:left w:val="none" w:sz="0" w:space="0" w:color="auto"/>
            <w:bottom w:val="none" w:sz="0" w:space="0" w:color="auto"/>
            <w:right w:val="none" w:sz="0" w:space="0" w:color="auto"/>
          </w:divBdr>
          <w:divsChild>
            <w:div w:id="73091181">
              <w:marLeft w:val="0"/>
              <w:marRight w:val="0"/>
              <w:marTop w:val="0"/>
              <w:marBottom w:val="0"/>
              <w:divBdr>
                <w:top w:val="none" w:sz="0" w:space="0" w:color="auto"/>
                <w:left w:val="none" w:sz="0" w:space="0" w:color="auto"/>
                <w:bottom w:val="none" w:sz="0" w:space="0" w:color="auto"/>
                <w:right w:val="none" w:sz="0" w:space="0" w:color="auto"/>
              </w:divBdr>
              <w:divsChild>
                <w:div w:id="1550342254">
                  <w:marLeft w:val="0"/>
                  <w:marRight w:val="0"/>
                  <w:marTop w:val="0"/>
                  <w:marBottom w:val="0"/>
                  <w:divBdr>
                    <w:top w:val="none" w:sz="0" w:space="0" w:color="auto"/>
                    <w:left w:val="none" w:sz="0" w:space="0" w:color="auto"/>
                    <w:bottom w:val="none" w:sz="0" w:space="0" w:color="auto"/>
                    <w:right w:val="none" w:sz="0" w:space="0" w:color="auto"/>
                  </w:divBdr>
                  <w:divsChild>
                    <w:div w:id="781192168">
                      <w:marLeft w:val="0"/>
                      <w:marRight w:val="0"/>
                      <w:marTop w:val="0"/>
                      <w:marBottom w:val="0"/>
                      <w:divBdr>
                        <w:top w:val="none" w:sz="0" w:space="0" w:color="auto"/>
                        <w:left w:val="none" w:sz="0" w:space="0" w:color="auto"/>
                        <w:bottom w:val="none" w:sz="0" w:space="0" w:color="auto"/>
                        <w:right w:val="none" w:sz="0" w:space="0" w:color="auto"/>
                      </w:divBdr>
                      <w:divsChild>
                        <w:div w:id="29657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7330152">
      <w:bodyDiv w:val="1"/>
      <w:marLeft w:val="0"/>
      <w:marRight w:val="0"/>
      <w:marTop w:val="0"/>
      <w:marBottom w:val="0"/>
      <w:divBdr>
        <w:top w:val="none" w:sz="0" w:space="0" w:color="auto"/>
        <w:left w:val="none" w:sz="0" w:space="0" w:color="auto"/>
        <w:bottom w:val="none" w:sz="0" w:space="0" w:color="auto"/>
        <w:right w:val="none" w:sz="0" w:space="0" w:color="auto"/>
      </w:divBdr>
      <w:divsChild>
        <w:div w:id="16492460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4848251">
      <w:bodyDiv w:val="1"/>
      <w:marLeft w:val="0"/>
      <w:marRight w:val="0"/>
      <w:marTop w:val="0"/>
      <w:marBottom w:val="0"/>
      <w:divBdr>
        <w:top w:val="none" w:sz="0" w:space="0" w:color="auto"/>
        <w:left w:val="none" w:sz="0" w:space="0" w:color="auto"/>
        <w:bottom w:val="none" w:sz="0" w:space="0" w:color="auto"/>
        <w:right w:val="none" w:sz="0" w:space="0" w:color="auto"/>
      </w:divBdr>
      <w:divsChild>
        <w:div w:id="83384575">
          <w:marLeft w:val="0"/>
          <w:marRight w:val="0"/>
          <w:marTop w:val="0"/>
          <w:marBottom w:val="0"/>
          <w:divBdr>
            <w:top w:val="none" w:sz="0" w:space="0" w:color="auto"/>
            <w:left w:val="none" w:sz="0" w:space="0" w:color="auto"/>
            <w:bottom w:val="none" w:sz="0" w:space="0" w:color="auto"/>
            <w:right w:val="none" w:sz="0" w:space="0" w:color="auto"/>
          </w:divBdr>
        </w:div>
        <w:div w:id="397900355">
          <w:marLeft w:val="0"/>
          <w:marRight w:val="0"/>
          <w:marTop w:val="0"/>
          <w:marBottom w:val="0"/>
          <w:divBdr>
            <w:top w:val="none" w:sz="0" w:space="0" w:color="auto"/>
            <w:left w:val="none" w:sz="0" w:space="0" w:color="auto"/>
            <w:bottom w:val="none" w:sz="0" w:space="0" w:color="auto"/>
            <w:right w:val="none" w:sz="0" w:space="0" w:color="auto"/>
          </w:divBdr>
        </w:div>
      </w:divsChild>
    </w:div>
    <w:div w:id="1575582309">
      <w:bodyDiv w:val="1"/>
      <w:marLeft w:val="0"/>
      <w:marRight w:val="0"/>
      <w:marTop w:val="0"/>
      <w:marBottom w:val="0"/>
      <w:divBdr>
        <w:top w:val="none" w:sz="0" w:space="0" w:color="auto"/>
        <w:left w:val="none" w:sz="0" w:space="0" w:color="auto"/>
        <w:bottom w:val="none" w:sz="0" w:space="0" w:color="auto"/>
        <w:right w:val="none" w:sz="0" w:space="0" w:color="auto"/>
      </w:divBdr>
      <w:divsChild>
        <w:div w:id="19797274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4820710">
      <w:bodyDiv w:val="1"/>
      <w:marLeft w:val="0"/>
      <w:marRight w:val="0"/>
      <w:marTop w:val="0"/>
      <w:marBottom w:val="0"/>
      <w:divBdr>
        <w:top w:val="none" w:sz="0" w:space="0" w:color="auto"/>
        <w:left w:val="none" w:sz="0" w:space="0" w:color="auto"/>
        <w:bottom w:val="none" w:sz="0" w:space="0" w:color="auto"/>
        <w:right w:val="none" w:sz="0" w:space="0" w:color="auto"/>
      </w:divBdr>
    </w:div>
    <w:div w:id="1615166604">
      <w:bodyDiv w:val="1"/>
      <w:marLeft w:val="0"/>
      <w:marRight w:val="0"/>
      <w:marTop w:val="0"/>
      <w:marBottom w:val="0"/>
      <w:divBdr>
        <w:top w:val="none" w:sz="0" w:space="0" w:color="auto"/>
        <w:left w:val="none" w:sz="0" w:space="0" w:color="auto"/>
        <w:bottom w:val="none" w:sz="0" w:space="0" w:color="auto"/>
        <w:right w:val="none" w:sz="0" w:space="0" w:color="auto"/>
      </w:divBdr>
    </w:div>
    <w:div w:id="1685933217">
      <w:bodyDiv w:val="1"/>
      <w:marLeft w:val="0"/>
      <w:marRight w:val="0"/>
      <w:marTop w:val="0"/>
      <w:marBottom w:val="0"/>
      <w:divBdr>
        <w:top w:val="none" w:sz="0" w:space="0" w:color="auto"/>
        <w:left w:val="none" w:sz="0" w:space="0" w:color="auto"/>
        <w:bottom w:val="none" w:sz="0" w:space="0" w:color="auto"/>
        <w:right w:val="none" w:sz="0" w:space="0" w:color="auto"/>
      </w:divBdr>
      <w:divsChild>
        <w:div w:id="159736504">
          <w:marLeft w:val="0"/>
          <w:marRight w:val="0"/>
          <w:marTop w:val="0"/>
          <w:marBottom w:val="0"/>
          <w:divBdr>
            <w:top w:val="none" w:sz="0" w:space="0" w:color="auto"/>
            <w:left w:val="none" w:sz="0" w:space="0" w:color="auto"/>
            <w:bottom w:val="none" w:sz="0" w:space="0" w:color="auto"/>
            <w:right w:val="none" w:sz="0" w:space="0" w:color="auto"/>
          </w:divBdr>
        </w:div>
        <w:div w:id="390930976">
          <w:marLeft w:val="0"/>
          <w:marRight w:val="0"/>
          <w:marTop w:val="0"/>
          <w:marBottom w:val="0"/>
          <w:divBdr>
            <w:top w:val="none" w:sz="0" w:space="0" w:color="auto"/>
            <w:left w:val="none" w:sz="0" w:space="0" w:color="auto"/>
            <w:bottom w:val="none" w:sz="0" w:space="0" w:color="auto"/>
            <w:right w:val="none" w:sz="0" w:space="0" w:color="auto"/>
          </w:divBdr>
        </w:div>
        <w:div w:id="804276426">
          <w:marLeft w:val="0"/>
          <w:marRight w:val="0"/>
          <w:marTop w:val="0"/>
          <w:marBottom w:val="0"/>
          <w:divBdr>
            <w:top w:val="none" w:sz="0" w:space="0" w:color="auto"/>
            <w:left w:val="none" w:sz="0" w:space="0" w:color="auto"/>
            <w:bottom w:val="none" w:sz="0" w:space="0" w:color="auto"/>
            <w:right w:val="none" w:sz="0" w:space="0" w:color="auto"/>
          </w:divBdr>
        </w:div>
        <w:div w:id="2038197880">
          <w:marLeft w:val="0"/>
          <w:marRight w:val="0"/>
          <w:marTop w:val="0"/>
          <w:marBottom w:val="0"/>
          <w:divBdr>
            <w:top w:val="none" w:sz="0" w:space="0" w:color="auto"/>
            <w:left w:val="none" w:sz="0" w:space="0" w:color="auto"/>
            <w:bottom w:val="none" w:sz="0" w:space="0" w:color="auto"/>
            <w:right w:val="none" w:sz="0" w:space="0" w:color="auto"/>
          </w:divBdr>
        </w:div>
      </w:divsChild>
    </w:div>
    <w:div w:id="1704211723">
      <w:bodyDiv w:val="1"/>
      <w:marLeft w:val="0"/>
      <w:marRight w:val="0"/>
      <w:marTop w:val="0"/>
      <w:marBottom w:val="0"/>
      <w:divBdr>
        <w:top w:val="none" w:sz="0" w:space="0" w:color="auto"/>
        <w:left w:val="none" w:sz="0" w:space="0" w:color="auto"/>
        <w:bottom w:val="none" w:sz="0" w:space="0" w:color="auto"/>
        <w:right w:val="none" w:sz="0" w:space="0" w:color="auto"/>
      </w:divBdr>
    </w:div>
    <w:div w:id="1727534101">
      <w:bodyDiv w:val="1"/>
      <w:marLeft w:val="0"/>
      <w:marRight w:val="0"/>
      <w:marTop w:val="0"/>
      <w:marBottom w:val="0"/>
      <w:divBdr>
        <w:top w:val="none" w:sz="0" w:space="0" w:color="auto"/>
        <w:left w:val="none" w:sz="0" w:space="0" w:color="auto"/>
        <w:bottom w:val="none" w:sz="0" w:space="0" w:color="auto"/>
        <w:right w:val="none" w:sz="0" w:space="0" w:color="auto"/>
      </w:divBdr>
    </w:div>
    <w:div w:id="1790469679">
      <w:bodyDiv w:val="1"/>
      <w:marLeft w:val="0"/>
      <w:marRight w:val="0"/>
      <w:marTop w:val="0"/>
      <w:marBottom w:val="0"/>
      <w:divBdr>
        <w:top w:val="none" w:sz="0" w:space="0" w:color="auto"/>
        <w:left w:val="none" w:sz="0" w:space="0" w:color="auto"/>
        <w:bottom w:val="none" w:sz="0" w:space="0" w:color="auto"/>
        <w:right w:val="none" w:sz="0" w:space="0" w:color="auto"/>
      </w:divBdr>
    </w:div>
    <w:div w:id="1790736868">
      <w:bodyDiv w:val="1"/>
      <w:marLeft w:val="0"/>
      <w:marRight w:val="0"/>
      <w:marTop w:val="0"/>
      <w:marBottom w:val="0"/>
      <w:divBdr>
        <w:top w:val="none" w:sz="0" w:space="0" w:color="auto"/>
        <w:left w:val="none" w:sz="0" w:space="0" w:color="auto"/>
        <w:bottom w:val="none" w:sz="0" w:space="0" w:color="auto"/>
        <w:right w:val="none" w:sz="0" w:space="0" w:color="auto"/>
      </w:divBdr>
    </w:div>
    <w:div w:id="1798839644">
      <w:bodyDiv w:val="1"/>
      <w:marLeft w:val="0"/>
      <w:marRight w:val="0"/>
      <w:marTop w:val="0"/>
      <w:marBottom w:val="0"/>
      <w:divBdr>
        <w:top w:val="none" w:sz="0" w:space="0" w:color="auto"/>
        <w:left w:val="none" w:sz="0" w:space="0" w:color="auto"/>
        <w:bottom w:val="none" w:sz="0" w:space="0" w:color="auto"/>
        <w:right w:val="none" w:sz="0" w:space="0" w:color="auto"/>
      </w:divBdr>
    </w:div>
    <w:div w:id="1807773793">
      <w:bodyDiv w:val="1"/>
      <w:marLeft w:val="0"/>
      <w:marRight w:val="0"/>
      <w:marTop w:val="0"/>
      <w:marBottom w:val="0"/>
      <w:divBdr>
        <w:top w:val="none" w:sz="0" w:space="0" w:color="auto"/>
        <w:left w:val="none" w:sz="0" w:space="0" w:color="auto"/>
        <w:bottom w:val="none" w:sz="0" w:space="0" w:color="auto"/>
        <w:right w:val="none" w:sz="0" w:space="0" w:color="auto"/>
      </w:divBdr>
    </w:div>
    <w:div w:id="1810171822">
      <w:bodyDiv w:val="1"/>
      <w:marLeft w:val="0"/>
      <w:marRight w:val="0"/>
      <w:marTop w:val="0"/>
      <w:marBottom w:val="0"/>
      <w:divBdr>
        <w:top w:val="none" w:sz="0" w:space="0" w:color="auto"/>
        <w:left w:val="none" w:sz="0" w:space="0" w:color="auto"/>
        <w:bottom w:val="none" w:sz="0" w:space="0" w:color="auto"/>
        <w:right w:val="none" w:sz="0" w:space="0" w:color="auto"/>
      </w:divBdr>
    </w:div>
    <w:div w:id="1839344144">
      <w:bodyDiv w:val="1"/>
      <w:marLeft w:val="0"/>
      <w:marRight w:val="0"/>
      <w:marTop w:val="0"/>
      <w:marBottom w:val="0"/>
      <w:divBdr>
        <w:top w:val="none" w:sz="0" w:space="0" w:color="auto"/>
        <w:left w:val="none" w:sz="0" w:space="0" w:color="auto"/>
        <w:bottom w:val="none" w:sz="0" w:space="0" w:color="auto"/>
        <w:right w:val="none" w:sz="0" w:space="0" w:color="auto"/>
      </w:divBdr>
    </w:div>
    <w:div w:id="1839422232">
      <w:bodyDiv w:val="1"/>
      <w:marLeft w:val="0"/>
      <w:marRight w:val="0"/>
      <w:marTop w:val="0"/>
      <w:marBottom w:val="0"/>
      <w:divBdr>
        <w:top w:val="none" w:sz="0" w:space="0" w:color="auto"/>
        <w:left w:val="none" w:sz="0" w:space="0" w:color="auto"/>
        <w:bottom w:val="none" w:sz="0" w:space="0" w:color="auto"/>
        <w:right w:val="none" w:sz="0" w:space="0" w:color="auto"/>
      </w:divBdr>
      <w:divsChild>
        <w:div w:id="1292635003">
          <w:marLeft w:val="0"/>
          <w:marRight w:val="0"/>
          <w:marTop w:val="0"/>
          <w:marBottom w:val="0"/>
          <w:divBdr>
            <w:top w:val="none" w:sz="0" w:space="0" w:color="auto"/>
            <w:left w:val="none" w:sz="0" w:space="0" w:color="auto"/>
            <w:bottom w:val="none" w:sz="0" w:space="0" w:color="auto"/>
            <w:right w:val="none" w:sz="0" w:space="0" w:color="auto"/>
          </w:divBdr>
        </w:div>
        <w:div w:id="1715546247">
          <w:marLeft w:val="0"/>
          <w:marRight w:val="0"/>
          <w:marTop w:val="0"/>
          <w:marBottom w:val="0"/>
          <w:divBdr>
            <w:top w:val="none" w:sz="0" w:space="0" w:color="auto"/>
            <w:left w:val="none" w:sz="0" w:space="0" w:color="auto"/>
            <w:bottom w:val="none" w:sz="0" w:space="0" w:color="auto"/>
            <w:right w:val="none" w:sz="0" w:space="0" w:color="auto"/>
          </w:divBdr>
        </w:div>
      </w:divsChild>
    </w:div>
    <w:div w:id="1842114992">
      <w:bodyDiv w:val="1"/>
      <w:marLeft w:val="0"/>
      <w:marRight w:val="0"/>
      <w:marTop w:val="0"/>
      <w:marBottom w:val="0"/>
      <w:divBdr>
        <w:top w:val="none" w:sz="0" w:space="0" w:color="auto"/>
        <w:left w:val="none" w:sz="0" w:space="0" w:color="auto"/>
        <w:bottom w:val="none" w:sz="0" w:space="0" w:color="auto"/>
        <w:right w:val="none" w:sz="0" w:space="0" w:color="auto"/>
      </w:divBdr>
    </w:div>
    <w:div w:id="1858305427">
      <w:bodyDiv w:val="1"/>
      <w:marLeft w:val="0"/>
      <w:marRight w:val="0"/>
      <w:marTop w:val="0"/>
      <w:marBottom w:val="0"/>
      <w:divBdr>
        <w:top w:val="none" w:sz="0" w:space="0" w:color="auto"/>
        <w:left w:val="none" w:sz="0" w:space="0" w:color="auto"/>
        <w:bottom w:val="none" w:sz="0" w:space="0" w:color="auto"/>
        <w:right w:val="none" w:sz="0" w:space="0" w:color="auto"/>
      </w:divBdr>
    </w:div>
    <w:div w:id="1891304370">
      <w:bodyDiv w:val="1"/>
      <w:marLeft w:val="0"/>
      <w:marRight w:val="0"/>
      <w:marTop w:val="0"/>
      <w:marBottom w:val="0"/>
      <w:divBdr>
        <w:top w:val="none" w:sz="0" w:space="0" w:color="auto"/>
        <w:left w:val="none" w:sz="0" w:space="0" w:color="auto"/>
        <w:bottom w:val="none" w:sz="0" w:space="0" w:color="auto"/>
        <w:right w:val="none" w:sz="0" w:space="0" w:color="auto"/>
      </w:divBdr>
    </w:div>
    <w:div w:id="1906985688">
      <w:bodyDiv w:val="1"/>
      <w:marLeft w:val="0"/>
      <w:marRight w:val="0"/>
      <w:marTop w:val="0"/>
      <w:marBottom w:val="0"/>
      <w:divBdr>
        <w:top w:val="none" w:sz="0" w:space="0" w:color="auto"/>
        <w:left w:val="none" w:sz="0" w:space="0" w:color="auto"/>
        <w:bottom w:val="none" w:sz="0" w:space="0" w:color="auto"/>
        <w:right w:val="none" w:sz="0" w:space="0" w:color="auto"/>
      </w:divBdr>
    </w:div>
    <w:div w:id="1940066735">
      <w:bodyDiv w:val="1"/>
      <w:marLeft w:val="0"/>
      <w:marRight w:val="0"/>
      <w:marTop w:val="0"/>
      <w:marBottom w:val="0"/>
      <w:divBdr>
        <w:top w:val="none" w:sz="0" w:space="0" w:color="auto"/>
        <w:left w:val="none" w:sz="0" w:space="0" w:color="auto"/>
        <w:bottom w:val="none" w:sz="0" w:space="0" w:color="auto"/>
        <w:right w:val="none" w:sz="0" w:space="0" w:color="auto"/>
      </w:divBdr>
    </w:div>
    <w:div w:id="1961645100">
      <w:bodyDiv w:val="1"/>
      <w:marLeft w:val="0"/>
      <w:marRight w:val="0"/>
      <w:marTop w:val="0"/>
      <w:marBottom w:val="0"/>
      <w:divBdr>
        <w:top w:val="none" w:sz="0" w:space="0" w:color="auto"/>
        <w:left w:val="none" w:sz="0" w:space="0" w:color="auto"/>
        <w:bottom w:val="none" w:sz="0" w:space="0" w:color="auto"/>
        <w:right w:val="none" w:sz="0" w:space="0" w:color="auto"/>
      </w:divBdr>
    </w:div>
    <w:div w:id="1968315252">
      <w:bodyDiv w:val="1"/>
      <w:marLeft w:val="0"/>
      <w:marRight w:val="0"/>
      <w:marTop w:val="0"/>
      <w:marBottom w:val="0"/>
      <w:divBdr>
        <w:top w:val="none" w:sz="0" w:space="0" w:color="auto"/>
        <w:left w:val="none" w:sz="0" w:space="0" w:color="auto"/>
        <w:bottom w:val="none" w:sz="0" w:space="0" w:color="auto"/>
        <w:right w:val="none" w:sz="0" w:space="0" w:color="auto"/>
      </w:divBdr>
    </w:div>
    <w:div w:id="2039159106">
      <w:bodyDiv w:val="1"/>
      <w:marLeft w:val="0"/>
      <w:marRight w:val="0"/>
      <w:marTop w:val="0"/>
      <w:marBottom w:val="0"/>
      <w:divBdr>
        <w:top w:val="none" w:sz="0" w:space="0" w:color="auto"/>
        <w:left w:val="none" w:sz="0" w:space="0" w:color="auto"/>
        <w:bottom w:val="none" w:sz="0" w:space="0" w:color="auto"/>
        <w:right w:val="none" w:sz="0" w:space="0" w:color="auto"/>
      </w:divBdr>
    </w:div>
    <w:div w:id="2041975666">
      <w:bodyDiv w:val="1"/>
      <w:marLeft w:val="0"/>
      <w:marRight w:val="0"/>
      <w:marTop w:val="0"/>
      <w:marBottom w:val="0"/>
      <w:divBdr>
        <w:top w:val="none" w:sz="0" w:space="0" w:color="auto"/>
        <w:left w:val="none" w:sz="0" w:space="0" w:color="auto"/>
        <w:bottom w:val="none" w:sz="0" w:space="0" w:color="auto"/>
        <w:right w:val="none" w:sz="0" w:space="0" w:color="auto"/>
      </w:divBdr>
    </w:div>
    <w:div w:id="2048873330">
      <w:bodyDiv w:val="1"/>
      <w:marLeft w:val="0"/>
      <w:marRight w:val="0"/>
      <w:marTop w:val="0"/>
      <w:marBottom w:val="0"/>
      <w:divBdr>
        <w:top w:val="none" w:sz="0" w:space="0" w:color="auto"/>
        <w:left w:val="none" w:sz="0" w:space="0" w:color="auto"/>
        <w:bottom w:val="none" w:sz="0" w:space="0" w:color="auto"/>
        <w:right w:val="none" w:sz="0" w:space="0" w:color="auto"/>
      </w:divBdr>
    </w:div>
    <w:div w:id="2049135089">
      <w:bodyDiv w:val="1"/>
      <w:marLeft w:val="0"/>
      <w:marRight w:val="0"/>
      <w:marTop w:val="0"/>
      <w:marBottom w:val="0"/>
      <w:divBdr>
        <w:top w:val="none" w:sz="0" w:space="0" w:color="auto"/>
        <w:left w:val="none" w:sz="0" w:space="0" w:color="auto"/>
        <w:bottom w:val="none" w:sz="0" w:space="0" w:color="auto"/>
        <w:right w:val="none" w:sz="0" w:space="0" w:color="auto"/>
      </w:divBdr>
    </w:div>
    <w:div w:id="2072537974">
      <w:bodyDiv w:val="1"/>
      <w:marLeft w:val="0"/>
      <w:marRight w:val="0"/>
      <w:marTop w:val="0"/>
      <w:marBottom w:val="0"/>
      <w:divBdr>
        <w:top w:val="none" w:sz="0" w:space="0" w:color="auto"/>
        <w:left w:val="none" w:sz="0" w:space="0" w:color="auto"/>
        <w:bottom w:val="none" w:sz="0" w:space="0" w:color="auto"/>
        <w:right w:val="none" w:sz="0" w:space="0" w:color="auto"/>
      </w:divBdr>
      <w:divsChild>
        <w:div w:id="538201480">
          <w:marLeft w:val="0"/>
          <w:marRight w:val="0"/>
          <w:marTop w:val="0"/>
          <w:marBottom w:val="0"/>
          <w:divBdr>
            <w:top w:val="none" w:sz="0" w:space="0" w:color="auto"/>
            <w:left w:val="none" w:sz="0" w:space="0" w:color="auto"/>
            <w:bottom w:val="none" w:sz="0" w:space="0" w:color="auto"/>
            <w:right w:val="none" w:sz="0" w:space="0" w:color="auto"/>
          </w:divBdr>
        </w:div>
        <w:div w:id="2087418763">
          <w:marLeft w:val="0"/>
          <w:marRight w:val="0"/>
          <w:marTop w:val="0"/>
          <w:marBottom w:val="0"/>
          <w:divBdr>
            <w:top w:val="none" w:sz="0" w:space="0" w:color="auto"/>
            <w:left w:val="none" w:sz="0" w:space="0" w:color="auto"/>
            <w:bottom w:val="none" w:sz="0" w:space="0" w:color="auto"/>
            <w:right w:val="none" w:sz="0" w:space="0" w:color="auto"/>
          </w:divBdr>
        </w:div>
      </w:divsChild>
    </w:div>
    <w:div w:id="2096784934">
      <w:bodyDiv w:val="1"/>
      <w:marLeft w:val="0"/>
      <w:marRight w:val="0"/>
      <w:marTop w:val="0"/>
      <w:marBottom w:val="0"/>
      <w:divBdr>
        <w:top w:val="none" w:sz="0" w:space="0" w:color="auto"/>
        <w:left w:val="none" w:sz="0" w:space="0" w:color="auto"/>
        <w:bottom w:val="none" w:sz="0" w:space="0" w:color="auto"/>
        <w:right w:val="none" w:sz="0" w:space="0" w:color="auto"/>
      </w:divBdr>
      <w:divsChild>
        <w:div w:id="1982925424">
          <w:marLeft w:val="0"/>
          <w:marRight w:val="0"/>
          <w:marTop w:val="0"/>
          <w:marBottom w:val="0"/>
          <w:divBdr>
            <w:top w:val="none" w:sz="0" w:space="0" w:color="auto"/>
            <w:left w:val="none" w:sz="0" w:space="0" w:color="auto"/>
            <w:bottom w:val="none" w:sz="0" w:space="0" w:color="auto"/>
            <w:right w:val="none" w:sz="0" w:space="0" w:color="auto"/>
          </w:divBdr>
          <w:divsChild>
            <w:div w:id="2014800716">
              <w:marLeft w:val="0"/>
              <w:marRight w:val="0"/>
              <w:marTop w:val="0"/>
              <w:marBottom w:val="0"/>
              <w:divBdr>
                <w:top w:val="none" w:sz="0" w:space="0" w:color="auto"/>
                <w:left w:val="none" w:sz="0" w:space="0" w:color="auto"/>
                <w:bottom w:val="none" w:sz="0" w:space="0" w:color="auto"/>
                <w:right w:val="none" w:sz="0" w:space="0" w:color="auto"/>
              </w:divBdr>
              <w:divsChild>
                <w:div w:id="1558591872">
                  <w:marLeft w:val="0"/>
                  <w:marRight w:val="0"/>
                  <w:marTop w:val="0"/>
                  <w:marBottom w:val="0"/>
                  <w:divBdr>
                    <w:top w:val="none" w:sz="0" w:space="0" w:color="auto"/>
                    <w:left w:val="none" w:sz="0" w:space="0" w:color="auto"/>
                    <w:bottom w:val="none" w:sz="0" w:space="0" w:color="auto"/>
                    <w:right w:val="none" w:sz="0" w:space="0" w:color="auto"/>
                  </w:divBdr>
                  <w:divsChild>
                    <w:div w:id="1622225582">
                      <w:marLeft w:val="0"/>
                      <w:marRight w:val="0"/>
                      <w:marTop w:val="0"/>
                      <w:marBottom w:val="0"/>
                      <w:divBdr>
                        <w:top w:val="none" w:sz="0" w:space="0" w:color="auto"/>
                        <w:left w:val="none" w:sz="0" w:space="0" w:color="auto"/>
                        <w:bottom w:val="none" w:sz="0" w:space="0" w:color="auto"/>
                        <w:right w:val="none" w:sz="0" w:space="0" w:color="auto"/>
                      </w:divBdr>
                      <w:divsChild>
                        <w:div w:id="34933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1049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281/zenodo.2577067" TargetMode="External"/><Relationship Id="rId13" Type="http://schemas.openxmlformats.org/officeDocument/2006/relationships/image" Target="media/image5.jpeg"/><Relationship Id="rId18" Type="http://schemas.microsoft.com/office/2019/05/relationships/documenttasks" Target="documenttasks/documenttasks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png"/></Relationships>
</file>

<file path=word/documenttasks/documenttasks1.xml><?xml version="1.0" encoding="utf-8"?>
<t:Tasks xmlns:t="http://schemas.microsoft.com/office/tasks/2019/documenttasks" xmlns:oel="http://schemas.microsoft.com/office/2019/extlst">
  <t:Task id="{8AB033DD-B4B9-47B2-9AC9-607AC58862AB}">
    <t:Anchor>
      <t:Comment id="1020582656"/>
    </t:Anchor>
    <t:History>
      <t:Event id="{6C533802-F897-4595-B512-958D1F16709F}" time="2025-06-30T13:38:20.161Z">
        <t:Attribution userId="S::taherzadeho@vuw.leidenuniv.nl::4fafadba-1a52-4df3-a335-159c8c433685" userProvider="AD" userName="Taherzadeh, O.A. (Oliver)"/>
        <t:Anchor>
          <t:Comment id="1020582656"/>
        </t:Anchor>
        <t:Create/>
      </t:Event>
      <t:Event id="{3509EF95-7315-4424-AA1F-98B34C448C41}" time="2025-06-30T13:38:20.161Z">
        <t:Attribution userId="S::taherzadeho@vuw.leidenuniv.nl::4fafadba-1a52-4df3-a335-159c8c433685" userProvider="AD" userName="Taherzadeh, O.A. (Oliver)"/>
        <t:Anchor>
          <t:Comment id="1020582656"/>
        </t:Anchor>
        <t:Assign userId="S::schoorlemmeraam@vuw.leidenuniv.nl::95793e75-8b09-4c09-b017-e934296c2f19" userProvider="AD" userName="Schoorlemmer, A.A.M. (Arthur)"/>
      </t:Event>
      <t:Event id="{BF38DA01-70D6-4CF0-A047-0AF40448C0D7}" time="2025-06-30T13:38:20.161Z">
        <t:Attribution userId="S::taherzadeho@vuw.leidenuniv.nl::4fafadba-1a52-4df3-a335-159c8c433685" userProvider="AD" userName="Taherzadeh, O.A. (Oliver)"/>
        <t:Anchor>
          <t:Comment id="1020582656"/>
        </t:Anchor>
        <t:SetTitle title="@Schoorlemmer, A.A.M. (Arthur) Replace with similar text to the abov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8E9A7A-5595-4B15-BCC2-FD246C43E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14258</Words>
  <Characters>81276</Characters>
  <Application>Microsoft Office Word</Application>
  <DocSecurity>0</DocSecurity>
  <Lines>677</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Hongyi Cai</dc:creator>
  <cp:keywords/>
  <dc:description/>
  <cp:lastModifiedBy>Hongyi Cai</cp:lastModifiedBy>
  <cp:revision>2</cp:revision>
  <dcterms:created xsi:type="dcterms:W3CDTF">2025-07-22T15:45:00Z</dcterms:created>
  <dcterms:modified xsi:type="dcterms:W3CDTF">2025-07-22T15:45:00Z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2">
    <vt:lpwstr>ons" value="true"/&gt;&lt;/prefs&gt;&lt;/data&gt;</vt:lpwstr>
  </property>
  <property fmtid="{D5CDD505-2E9C-101B-9397-08002B2CF9AE}" pid="3" name="ZOTERO_PREF_1">
    <vt:lpwstr>&lt;data data-version="3" zotero-version="7.0.21"&gt;&lt;session id="AQ6u0BJz"/&gt;&lt;style id="http://www.zotero.org/styles/nature" hasBibliography="1" bibliographyStyleHasBeenSet="1"/&gt;&lt;prefs&gt;&lt;pref name="fieldType" value="Field"/&gt;&lt;pref name="automaticJournalAbbreviati</vt:lpwstr>
  </property>
</Properties>
</file>