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26604">
      <w:pPr>
        <w:spacing w:after="190" w:afterLines="50" w:line="480" w:lineRule="auto"/>
        <w:ind w:firstLine="0" w:firstLineChars="0"/>
        <w:jc w:val="center"/>
        <w:rPr>
          <w:rFonts w:cs="Times New Roman"/>
          <w:b/>
          <w:bCs/>
          <w:color w:val="auto"/>
          <w:szCs w:val="28"/>
        </w:rPr>
      </w:pPr>
      <w:bookmarkStart w:id="0" w:name="OLE_LINK12"/>
      <w:bookmarkStart w:id="1" w:name="OLE_LINK11"/>
      <w:r>
        <w:rPr>
          <w:rFonts w:hint="eastAsia"/>
          <w:b/>
          <w:szCs w:val="28"/>
        </w:rPr>
        <w:t>Supporting Information</w:t>
      </w:r>
    </w:p>
    <w:p w14:paraId="19906ABE">
      <w:pPr>
        <w:spacing w:after="190" w:afterLines="50" w:line="480" w:lineRule="auto"/>
        <w:ind w:firstLine="0" w:firstLineChars="0"/>
        <w:jc w:val="center"/>
        <w:rPr>
          <w:rFonts w:cs="Times New Roman"/>
          <w:b/>
          <w:bCs/>
          <w:color w:val="auto"/>
          <w:szCs w:val="28"/>
        </w:rPr>
      </w:pPr>
      <w:r>
        <w:rPr>
          <w:rFonts w:hint="eastAsia" w:cs="Times New Roman"/>
          <w:b/>
          <w:bCs/>
          <w:color w:val="auto"/>
          <w:szCs w:val="28"/>
        </w:rPr>
        <w:t>A</w:t>
      </w:r>
      <w:r>
        <w:rPr>
          <w:rFonts w:cs="Times New Roman"/>
          <w:b/>
          <w:bCs/>
          <w:color w:val="auto"/>
          <w:szCs w:val="28"/>
        </w:rPr>
        <w:t>morphous-to-</w:t>
      </w:r>
      <w:r>
        <w:rPr>
          <w:rFonts w:hint="eastAsia" w:cs="Times New Roman"/>
          <w:b/>
          <w:bCs/>
          <w:color w:val="auto"/>
          <w:szCs w:val="28"/>
        </w:rPr>
        <w:t>C</w:t>
      </w:r>
      <w:r>
        <w:rPr>
          <w:rFonts w:cs="Times New Roman"/>
          <w:b/>
          <w:bCs/>
          <w:color w:val="auto"/>
          <w:szCs w:val="28"/>
        </w:rPr>
        <w:t xml:space="preserve">rystalline </w:t>
      </w:r>
      <w:r>
        <w:rPr>
          <w:rFonts w:hint="eastAsia" w:cs="Times New Roman"/>
          <w:b/>
          <w:bCs/>
          <w:color w:val="auto"/>
          <w:szCs w:val="28"/>
        </w:rPr>
        <w:t>T</w:t>
      </w:r>
      <w:r>
        <w:rPr>
          <w:rFonts w:cs="Times New Roman"/>
          <w:b/>
          <w:bCs/>
          <w:color w:val="auto"/>
          <w:szCs w:val="28"/>
        </w:rPr>
        <w:t xml:space="preserve">ransition </w:t>
      </w:r>
      <w:r>
        <w:rPr>
          <w:rFonts w:hint="eastAsia" w:cs="Times New Roman"/>
          <w:b/>
          <w:bCs/>
          <w:color w:val="auto"/>
          <w:szCs w:val="28"/>
        </w:rPr>
        <w:t>S</w:t>
      </w:r>
      <w:r>
        <w:rPr>
          <w:rFonts w:cs="Times New Roman"/>
          <w:b/>
          <w:bCs/>
          <w:color w:val="auto"/>
          <w:szCs w:val="28"/>
        </w:rPr>
        <w:t>trategy</w:t>
      </w:r>
      <w:bookmarkEnd w:id="0"/>
      <w:r>
        <w:rPr>
          <w:rFonts w:cs="Times New Roman"/>
          <w:b/>
          <w:bCs/>
          <w:color w:val="auto"/>
          <w:szCs w:val="28"/>
        </w:rPr>
        <w:t xml:space="preserve"> </w:t>
      </w:r>
      <w:r>
        <w:rPr>
          <w:rFonts w:hint="eastAsia" w:cs="Times New Roman"/>
          <w:b/>
          <w:bCs/>
          <w:color w:val="auto"/>
          <w:szCs w:val="28"/>
        </w:rPr>
        <w:t xml:space="preserve">Boosting </w:t>
      </w:r>
      <w:r>
        <w:rPr>
          <w:rFonts w:cs="Times New Roman"/>
          <w:b/>
          <w:bCs/>
          <w:color w:val="auto"/>
          <w:szCs w:val="28"/>
        </w:rPr>
        <w:t>Copper-</w:t>
      </w:r>
      <w:r>
        <w:rPr>
          <w:rFonts w:hint="eastAsia" w:cs="Times New Roman"/>
          <w:b/>
          <w:bCs/>
          <w:color w:val="auto"/>
          <w:szCs w:val="28"/>
        </w:rPr>
        <w:t>N</w:t>
      </w:r>
      <w:r>
        <w:rPr>
          <w:rFonts w:cs="Times New Roman"/>
          <w:b/>
          <w:bCs/>
          <w:color w:val="auto"/>
          <w:szCs w:val="28"/>
        </w:rPr>
        <w:t xml:space="preserve">ickel </w:t>
      </w:r>
      <w:r>
        <w:rPr>
          <w:rFonts w:hint="eastAsia" w:cs="Times New Roman"/>
          <w:b/>
          <w:bCs/>
          <w:color w:val="auto"/>
          <w:szCs w:val="28"/>
        </w:rPr>
        <w:t>B</w:t>
      </w:r>
      <w:r>
        <w:rPr>
          <w:rFonts w:cs="Times New Roman"/>
          <w:b/>
          <w:bCs/>
          <w:color w:val="auto"/>
          <w:szCs w:val="28"/>
        </w:rPr>
        <w:t>imetallic</w:t>
      </w:r>
      <w:r>
        <w:rPr>
          <w:rFonts w:hint="eastAsia" w:cs="Times New Roman"/>
          <w:b/>
          <w:bCs/>
          <w:color w:val="auto"/>
          <w:szCs w:val="28"/>
        </w:rPr>
        <w:t xml:space="preserve"> </w:t>
      </w:r>
      <w:r>
        <w:rPr>
          <w:rFonts w:cs="Times New Roman"/>
          <w:b/>
          <w:bCs/>
          <w:color w:val="auto"/>
          <w:szCs w:val="28"/>
        </w:rPr>
        <w:t>Anchor</w:t>
      </w:r>
      <w:r>
        <w:rPr>
          <w:rFonts w:hint="eastAsia" w:cs="Times New Roman"/>
          <w:b/>
          <w:bCs/>
          <w:color w:val="auto"/>
          <w:szCs w:val="28"/>
        </w:rPr>
        <w:t xml:space="preserve">ed </w:t>
      </w:r>
      <w:r>
        <w:rPr>
          <w:rFonts w:cs="Times New Roman"/>
          <w:b/>
          <w:bCs/>
          <w:color w:val="000000"/>
          <w:szCs w:val="28"/>
          <w:lang w:bidi="ar"/>
        </w:rPr>
        <w:t>Hollow</w:t>
      </w:r>
      <w:r>
        <w:rPr>
          <w:rFonts w:hint="eastAsia" w:cs="Times New Roman"/>
          <w:b/>
          <w:bCs/>
          <w:color w:val="000000"/>
          <w:szCs w:val="28"/>
          <w:lang w:bidi="ar"/>
        </w:rPr>
        <w:t xml:space="preserve"> </w:t>
      </w:r>
      <w:r>
        <w:rPr>
          <w:rFonts w:cs="Times New Roman"/>
          <w:b/>
          <w:bCs/>
          <w:color w:val="auto"/>
          <w:szCs w:val="28"/>
        </w:rPr>
        <w:t xml:space="preserve">Covalent </w:t>
      </w:r>
      <w:r>
        <w:rPr>
          <w:rFonts w:hint="eastAsia" w:cs="Times New Roman"/>
          <w:b/>
          <w:bCs/>
          <w:color w:val="auto"/>
          <w:szCs w:val="28"/>
        </w:rPr>
        <w:t>O</w:t>
      </w:r>
      <w:r>
        <w:rPr>
          <w:rFonts w:cs="Times New Roman"/>
          <w:b/>
          <w:bCs/>
          <w:color w:val="auto"/>
          <w:szCs w:val="28"/>
        </w:rPr>
        <w:t xml:space="preserve">rganic </w:t>
      </w:r>
      <w:r>
        <w:rPr>
          <w:rFonts w:hint="eastAsia" w:cs="Times New Roman"/>
          <w:b/>
          <w:bCs/>
          <w:color w:val="auto"/>
          <w:szCs w:val="28"/>
        </w:rPr>
        <w:t>F</w:t>
      </w:r>
      <w:r>
        <w:rPr>
          <w:rFonts w:cs="Times New Roman"/>
          <w:b/>
          <w:bCs/>
          <w:color w:val="auto"/>
          <w:szCs w:val="28"/>
        </w:rPr>
        <w:t>ramework</w:t>
      </w:r>
      <w:r>
        <w:rPr>
          <w:rFonts w:hint="eastAsia" w:cs="Times New Roman"/>
          <w:b/>
          <w:bCs/>
          <w:color w:val="auto"/>
          <w:szCs w:val="28"/>
        </w:rPr>
        <w:t xml:space="preserve"> N</w:t>
      </w:r>
      <w:r>
        <w:rPr>
          <w:rFonts w:cs="Times New Roman"/>
          <w:b/>
          <w:bCs/>
          <w:color w:val="auto"/>
          <w:szCs w:val="28"/>
        </w:rPr>
        <w:t>anozyme</w:t>
      </w:r>
      <w:r>
        <w:rPr>
          <w:rFonts w:hint="eastAsia" w:cs="Times New Roman"/>
          <w:b/>
          <w:bCs/>
          <w:color w:val="auto"/>
          <w:szCs w:val="28"/>
        </w:rPr>
        <w:t xml:space="preserve"> for </w:t>
      </w:r>
      <w:r>
        <w:rPr>
          <w:rFonts w:cs="Times New Roman"/>
          <w:b/>
          <w:bCs/>
          <w:color w:val="auto"/>
          <w:szCs w:val="28"/>
        </w:rPr>
        <w:t xml:space="preserve">Colorimetric </w:t>
      </w:r>
      <w:r>
        <w:rPr>
          <w:rFonts w:hint="eastAsia" w:cs="Times New Roman"/>
          <w:b/>
          <w:bCs/>
          <w:color w:val="auto"/>
          <w:szCs w:val="28"/>
        </w:rPr>
        <w:t>S</w:t>
      </w:r>
      <w:r>
        <w:rPr>
          <w:rFonts w:cs="Times New Roman"/>
          <w:b/>
          <w:bCs/>
          <w:color w:val="auto"/>
          <w:szCs w:val="28"/>
        </w:rPr>
        <w:t xml:space="preserve">ensing of </w:t>
      </w:r>
      <w:r>
        <w:rPr>
          <w:rFonts w:hint="eastAsia" w:cs="Times New Roman"/>
          <w:b/>
          <w:bCs/>
          <w:color w:val="auto"/>
          <w:szCs w:val="28"/>
        </w:rPr>
        <w:t>E</w:t>
      </w:r>
      <w:r>
        <w:rPr>
          <w:rFonts w:cs="Times New Roman"/>
          <w:b/>
          <w:bCs/>
          <w:color w:val="auto"/>
          <w:szCs w:val="28"/>
        </w:rPr>
        <w:t>pinephrine</w:t>
      </w:r>
      <w:r>
        <w:rPr>
          <w:rFonts w:hint="eastAsia" w:cs="Times New Roman"/>
          <w:b/>
          <w:bCs/>
          <w:color w:val="auto"/>
          <w:szCs w:val="28"/>
        </w:rPr>
        <w:t xml:space="preserve"> </w:t>
      </w:r>
    </w:p>
    <w:bookmarkEnd w:id="1"/>
    <w:p w14:paraId="5FBB6B11">
      <w:pPr>
        <w:spacing w:after="190" w:afterLines="50" w:line="480" w:lineRule="auto"/>
        <w:ind w:firstLine="0" w:firstLineChars="0"/>
        <w:rPr>
          <w:rFonts w:cs="Times New Roman"/>
          <w:kern w:val="0"/>
          <w:sz w:val="24"/>
        </w:rPr>
      </w:pPr>
      <w:r>
        <w:rPr>
          <w:rFonts w:hint="eastAsia" w:cs="Times New Roman"/>
          <w:color w:val="000000"/>
          <w:kern w:val="0"/>
          <w:sz w:val="24"/>
        </w:rPr>
        <w:t>Ran Na</w:t>
      </w:r>
      <w:r>
        <w:rPr>
          <w:rFonts w:hint="eastAsia" w:cs="Times New Roman"/>
          <w:color w:val="000000"/>
          <w:kern w:val="0"/>
          <w:sz w:val="24"/>
          <w:vertAlign w:val="superscript"/>
          <w:lang w:val="en-US" w:eastAsia="zh-CN"/>
        </w:rPr>
        <w:t>1</w:t>
      </w:r>
      <w:r>
        <w:rPr>
          <w:rFonts w:hint="eastAsia" w:cs="Times New Roman"/>
          <w:color w:val="000000"/>
          <w:kern w:val="0"/>
          <w:sz w:val="24"/>
        </w:rPr>
        <w:t>, Yuying Yuan</w:t>
      </w:r>
      <w:r>
        <w:rPr>
          <w:rFonts w:hint="eastAsia" w:cs="Times New Roman"/>
          <w:color w:val="000000"/>
          <w:kern w:val="0"/>
          <w:sz w:val="24"/>
          <w:vertAlign w:val="superscript"/>
          <w:lang w:val="en-US" w:eastAsia="zh-CN"/>
        </w:rPr>
        <w:t>1</w:t>
      </w:r>
      <w:r>
        <w:rPr>
          <w:rFonts w:hint="eastAsia" w:cs="Times New Roman"/>
          <w:color w:val="000000"/>
          <w:kern w:val="0"/>
          <w:sz w:val="24"/>
        </w:rPr>
        <w:t>, Ziyi Yang</w:t>
      </w:r>
      <w:r>
        <w:rPr>
          <w:rFonts w:hint="eastAsia" w:cs="Times New Roman"/>
          <w:color w:val="000000"/>
          <w:kern w:val="0"/>
          <w:sz w:val="24"/>
          <w:vertAlign w:val="superscript"/>
          <w:lang w:val="en-US" w:eastAsia="zh-CN"/>
        </w:rPr>
        <w:t>1</w:t>
      </w:r>
      <w:r>
        <w:rPr>
          <w:rFonts w:hint="eastAsia" w:cs="Times New Roman"/>
          <w:color w:val="000000"/>
          <w:kern w:val="0"/>
          <w:sz w:val="24"/>
        </w:rPr>
        <w:t>, Jianliang Chen</w:t>
      </w:r>
      <w:r>
        <w:rPr>
          <w:rFonts w:hint="eastAsia" w:cs="Times New Roman"/>
          <w:color w:val="000000"/>
          <w:kern w:val="0"/>
          <w:sz w:val="24"/>
          <w:vertAlign w:val="superscript"/>
          <w:lang w:val="en-US" w:eastAsia="zh-CN"/>
        </w:rPr>
        <w:t>1</w:t>
      </w:r>
      <w:r>
        <w:rPr>
          <w:rFonts w:hint="eastAsia" w:cs="Times New Roman"/>
          <w:color w:val="000000"/>
          <w:kern w:val="0"/>
          <w:sz w:val="24"/>
        </w:rPr>
        <w:t>, Yixi Gu</w:t>
      </w:r>
      <w:r>
        <w:rPr>
          <w:rFonts w:hint="eastAsia" w:cs="Times New Roman"/>
          <w:color w:val="000000"/>
          <w:kern w:val="0"/>
          <w:sz w:val="24"/>
          <w:lang w:val="en-US" w:eastAsia="zh-CN"/>
        </w:rPr>
        <w:t>*</w:t>
      </w:r>
      <w:r>
        <w:rPr>
          <w:rFonts w:hint="eastAsia" w:cs="Times New Roman"/>
          <w:color w:val="000000"/>
          <w:kern w:val="0"/>
          <w:sz w:val="24"/>
          <w:vertAlign w:val="superscript"/>
          <w:lang w:val="en-US" w:eastAsia="zh-CN"/>
        </w:rPr>
        <w:t>,2</w:t>
      </w:r>
      <w:r>
        <w:rPr>
          <w:rFonts w:hint="eastAsia" w:cs="Times New Roman"/>
          <w:color w:val="000000"/>
          <w:kern w:val="0"/>
          <w:sz w:val="24"/>
          <w:lang w:val="en-US" w:eastAsia="zh-CN"/>
        </w:rPr>
        <w:t xml:space="preserve"> </w:t>
      </w:r>
      <w:r>
        <w:rPr>
          <w:rFonts w:hint="eastAsia" w:cs="Times New Roman"/>
          <w:color w:val="000000"/>
          <w:kern w:val="0"/>
          <w:sz w:val="24"/>
        </w:rPr>
        <w:t>Ting Bao*</w:t>
      </w:r>
      <w:r>
        <w:rPr>
          <w:rFonts w:hint="eastAsia" w:cs="Times New Roman"/>
          <w:color w:val="000000"/>
          <w:kern w:val="0"/>
          <w:sz w:val="24"/>
          <w:vertAlign w:val="superscript"/>
          <w:lang w:val="en-US" w:eastAsia="zh-CN"/>
        </w:rPr>
        <w:t>,1</w:t>
      </w:r>
      <w:r>
        <w:rPr>
          <w:rFonts w:hint="eastAsia" w:cs="Times New Roman"/>
          <w:color w:val="000000"/>
          <w:kern w:val="0"/>
          <w:sz w:val="24"/>
        </w:rPr>
        <w:t>, Xiuhua Zhang</w:t>
      </w:r>
      <w:r>
        <w:rPr>
          <w:rFonts w:hint="eastAsia" w:cs="Times New Roman"/>
          <w:color w:val="000000"/>
          <w:kern w:val="0"/>
          <w:sz w:val="24"/>
          <w:vertAlign w:val="superscript"/>
          <w:lang w:val="en-US" w:eastAsia="zh-CN"/>
        </w:rPr>
        <w:t>1</w:t>
      </w:r>
      <w:r>
        <w:rPr>
          <w:rFonts w:hint="eastAsia" w:cs="Times New Roman"/>
          <w:color w:val="000000"/>
          <w:kern w:val="0"/>
          <w:sz w:val="24"/>
        </w:rPr>
        <w:t>, Shengfu Wang</w:t>
      </w:r>
      <w:r>
        <w:rPr>
          <w:rFonts w:hint="eastAsia" w:cs="Times New Roman"/>
          <w:color w:val="000000"/>
          <w:kern w:val="0"/>
          <w:sz w:val="24"/>
          <w:vertAlign w:val="superscript"/>
          <w:lang w:val="en-US" w:eastAsia="zh-CN"/>
        </w:rPr>
        <w:t>1</w:t>
      </w:r>
      <w:r>
        <w:rPr>
          <w:rFonts w:hint="eastAsia" w:cs="Times New Roman"/>
          <w:color w:val="000000"/>
          <w:kern w:val="0"/>
          <w:sz w:val="24"/>
        </w:rPr>
        <w:t>, Wei Wen*</w:t>
      </w:r>
      <w:r>
        <w:rPr>
          <w:rFonts w:hint="eastAsia" w:cs="Times New Roman"/>
          <w:color w:val="000000"/>
          <w:kern w:val="0"/>
          <w:sz w:val="24"/>
          <w:vertAlign w:val="superscript"/>
          <w:lang w:val="en-US" w:eastAsia="zh-CN"/>
        </w:rPr>
        <w:t>,1</w:t>
      </w:r>
    </w:p>
    <w:p w14:paraId="34074D08">
      <w:pPr>
        <w:spacing w:after="80" w:line="480" w:lineRule="auto"/>
        <w:ind w:firstLine="0" w:firstLineChars="0"/>
        <w:rPr>
          <w:rFonts w:cs="Times New Roman"/>
          <w:kern w:val="0"/>
          <w:sz w:val="24"/>
        </w:rPr>
      </w:pPr>
      <w:r>
        <w:rPr>
          <w:rFonts w:hint="eastAsia" w:cs="Times New Roman"/>
          <w:kern w:val="0"/>
          <w:sz w:val="24"/>
          <w:vertAlign w:val="superscript"/>
          <w:lang w:val="en-US" w:eastAsia="zh-CN"/>
        </w:rPr>
        <w:t>1</w:t>
      </w:r>
      <w:r>
        <w:rPr>
          <w:rFonts w:cs="Times New Roman"/>
          <w:kern w:val="0"/>
          <w:sz w:val="24"/>
        </w:rPr>
        <w:t>Ministry of Education Key Laboratory for the Synthesis and Application of Organic Functional Molecules, Hubei Key Laboratory for Precision Synthesis of Small Molecule Pharmaceuticals, College of Chemistry and Chemical Engineering, Hubei University, Wuhan 430062, P. R. China</w:t>
      </w:r>
    </w:p>
    <w:p w14:paraId="6DC68BEA">
      <w:pPr>
        <w:spacing w:after="80" w:line="480" w:lineRule="auto"/>
        <w:ind w:firstLine="0" w:firstLineChars="0"/>
        <w:rPr>
          <w:rFonts w:cs="Times New Roman"/>
          <w:kern w:val="0"/>
          <w:sz w:val="24"/>
        </w:rPr>
      </w:pPr>
      <w:r>
        <w:rPr>
          <w:rFonts w:hint="eastAsia" w:cs="Times New Roman"/>
          <w:kern w:val="0"/>
          <w:sz w:val="24"/>
          <w:vertAlign w:val="superscript"/>
          <w:lang w:val="en-US" w:eastAsia="zh-CN"/>
        </w:rPr>
        <w:t>2</w:t>
      </w:r>
      <w:r>
        <w:rPr>
          <w:rFonts w:hint="eastAsia" w:cs="Times New Roman"/>
          <w:kern w:val="0"/>
          <w:sz w:val="24"/>
        </w:rPr>
        <w:t>Analysis and Testing Center, Wuhan Institute of Technology, No. 206 Guanggu 1st Road,Wuhan 430205, China</w:t>
      </w:r>
    </w:p>
    <w:p w14:paraId="3F1EC2EC">
      <w:pPr>
        <w:spacing w:after="80" w:line="480" w:lineRule="auto"/>
        <w:ind w:firstLine="0" w:firstLineChars="0"/>
        <w:rPr>
          <w:rFonts w:hint="default" w:ascii="Times New Roman" w:hAnsi="Times New Roman" w:cs="Times New Roman"/>
          <w:kern w:val="0"/>
          <w:sz w:val="24"/>
        </w:rPr>
      </w:pPr>
    </w:p>
    <w:p w14:paraId="0A9F9E3D">
      <w:pPr>
        <w:pStyle w:val="7"/>
        <w:spacing w:line="480" w:lineRule="auto"/>
        <w:ind w:left="0" w:leftChars="0" w:firstLine="0" w:firstLineChars="0"/>
        <w:rPr>
          <w:rFonts w:hint="eastAsia" w:ascii="Times New Roman" w:hAnsi="Times New Roman" w:eastAsia="宋体" w:cs="Times New Roman"/>
          <w:b/>
          <w:bCs/>
          <w:sz w:val="24"/>
          <w:szCs w:val="24"/>
          <w:lang w:val="en-US" w:eastAsia="zh-CN"/>
        </w:rPr>
      </w:pPr>
      <w:r>
        <w:rPr>
          <w:rStyle w:val="14"/>
          <w:rFonts w:hint="default" w:ascii="Times New Roman" w:hAnsi="Times New Roman" w:cs="Times New Roman"/>
          <w:b/>
          <w:bCs/>
          <w:sz w:val="24"/>
          <w:szCs w:val="24"/>
          <w:vertAlign w:val="baseline"/>
        </w:rPr>
        <w:t>*</w:t>
      </w:r>
      <w:r>
        <w:rPr>
          <w:rFonts w:hint="default" w:ascii="Times New Roman" w:hAnsi="Times New Roman" w:cs="Times New Roman"/>
          <w:b/>
          <w:bCs/>
          <w:sz w:val="24"/>
          <w:szCs w:val="24"/>
        </w:rPr>
        <w:t xml:space="preserve"> Corresponding author</w:t>
      </w:r>
      <w:r>
        <w:rPr>
          <w:rFonts w:hint="eastAsia" w:cs="Times New Roman"/>
          <w:b/>
          <w:bCs/>
          <w:sz w:val="24"/>
          <w:szCs w:val="24"/>
          <w:lang w:val="en-US" w:eastAsia="zh-CN"/>
        </w:rPr>
        <w:t>:</w:t>
      </w:r>
    </w:p>
    <w:p w14:paraId="188731E1">
      <w:pPr>
        <w:pStyle w:val="7"/>
        <w:spacing w:line="480" w:lineRule="auto"/>
        <w:ind w:left="0" w:leftChars="0" w:firstLine="0" w:firstLineChars="0"/>
        <w:jc w:val="left"/>
        <w:rPr>
          <w:rFonts w:hint="default" w:ascii="Times New Roman" w:hAnsi="Times New Roman" w:cs="Times New Roman"/>
          <w:sz w:val="24"/>
          <w:u w:val="none"/>
        </w:rPr>
      </w:pPr>
      <w:r>
        <w:rPr>
          <w:rFonts w:hint="eastAsia" w:cs="Times New Roman"/>
          <w:color w:val="000000"/>
          <w:kern w:val="0"/>
          <w:sz w:val="24"/>
          <w:u w:val="none"/>
        </w:rPr>
        <w:t>Wei Wen</w:t>
      </w:r>
      <w:r>
        <w:rPr>
          <w:rFonts w:hint="eastAsia" w:cs="Times New Roman"/>
          <w:color w:val="000000"/>
          <w:kern w:val="0"/>
          <w:sz w:val="24"/>
          <w:u w:val="none"/>
          <w:lang w:val="en-US" w:eastAsia="zh-CN"/>
        </w:rPr>
        <w:t xml:space="preserve">, </w:t>
      </w:r>
      <w:r>
        <w:rPr>
          <w:rFonts w:hint="default" w:ascii="Times New Roman" w:hAnsi="Times New Roman" w:cs="Times New Roman"/>
          <w:sz w:val="24"/>
          <w:u w:val="none"/>
        </w:rPr>
        <w:t xml:space="preserve">E-mail address: </w:t>
      </w:r>
      <w:r>
        <w:rPr>
          <w:rFonts w:hint="default" w:ascii="Times New Roman" w:hAnsi="Times New Roman" w:cs="Times New Roman"/>
          <w:color w:val="auto"/>
          <w:sz w:val="24"/>
          <w:u w:val="none"/>
        </w:rPr>
        <w:t>wenwei@hubu.edu.cn</w:t>
      </w:r>
      <w:r>
        <w:rPr>
          <w:rFonts w:hint="default" w:ascii="Times New Roman" w:hAnsi="Times New Roman" w:cs="Times New Roman"/>
          <w:sz w:val="24"/>
          <w:u w:val="none"/>
        </w:rPr>
        <w:t>.</w:t>
      </w:r>
    </w:p>
    <w:p w14:paraId="288633F9">
      <w:pPr>
        <w:pStyle w:val="7"/>
        <w:spacing w:line="480" w:lineRule="auto"/>
        <w:ind w:left="0" w:leftChars="0" w:firstLine="0" w:firstLineChars="0"/>
        <w:jc w:val="left"/>
        <w:rPr>
          <w:rFonts w:hint="eastAsia"/>
          <w:sz w:val="24"/>
          <w:u w:val="none"/>
        </w:rPr>
      </w:pPr>
      <w:r>
        <w:rPr>
          <w:rFonts w:hint="eastAsia" w:cs="Times New Roman"/>
          <w:color w:val="000000"/>
          <w:kern w:val="0"/>
          <w:sz w:val="24"/>
          <w:u w:val="none"/>
        </w:rPr>
        <w:t>Ting Bao</w:t>
      </w:r>
      <w:r>
        <w:rPr>
          <w:rFonts w:hint="eastAsia" w:cs="Times New Roman"/>
          <w:color w:val="000000"/>
          <w:kern w:val="0"/>
          <w:sz w:val="24"/>
          <w:u w:val="none"/>
          <w:lang w:val="en-US" w:eastAsia="zh-CN"/>
        </w:rPr>
        <w:t xml:space="preserve">, </w:t>
      </w:r>
      <w:r>
        <w:rPr>
          <w:rFonts w:hint="default" w:ascii="Times New Roman" w:hAnsi="Times New Roman" w:cs="Times New Roman"/>
          <w:sz w:val="24"/>
          <w:u w:val="none"/>
        </w:rPr>
        <w:t>E-mail ad</w:t>
      </w:r>
      <w:r>
        <w:rPr>
          <w:sz w:val="24"/>
          <w:u w:val="none"/>
        </w:rPr>
        <w:t xml:space="preserve">dress: </w:t>
      </w:r>
      <w:r>
        <w:rPr>
          <w:rFonts w:hint="eastAsia"/>
          <w:sz w:val="24"/>
          <w:u w:val="none"/>
        </w:rPr>
        <w:t>baoting@hubu.edu.cn.</w:t>
      </w:r>
    </w:p>
    <w:p w14:paraId="3A1BE3D2">
      <w:pPr>
        <w:pStyle w:val="7"/>
        <w:spacing w:line="480" w:lineRule="auto"/>
        <w:ind w:left="0" w:leftChars="0" w:firstLine="0" w:firstLineChars="0"/>
        <w:jc w:val="left"/>
        <w:rPr>
          <w:rFonts w:hint="eastAsia" w:cs="Times New Roman"/>
          <w:sz w:val="24"/>
          <w:u w:val="none"/>
          <w:lang w:val="en-US" w:eastAsia="zh-CN"/>
        </w:rPr>
      </w:pPr>
      <w:r>
        <w:rPr>
          <w:rFonts w:hint="eastAsia" w:cs="Times New Roman"/>
          <w:color w:val="000000"/>
          <w:kern w:val="0"/>
          <w:sz w:val="24"/>
          <w:u w:val="none"/>
        </w:rPr>
        <w:t>Yixi Gu</w:t>
      </w:r>
      <w:r>
        <w:rPr>
          <w:rFonts w:hint="eastAsia" w:cs="Times New Roman"/>
          <w:color w:val="000000"/>
          <w:kern w:val="0"/>
          <w:sz w:val="24"/>
          <w:u w:val="none"/>
          <w:lang w:val="en-US" w:eastAsia="zh-CN"/>
        </w:rPr>
        <w:t xml:space="preserve">, </w:t>
      </w:r>
      <w:r>
        <w:rPr>
          <w:rFonts w:hint="default" w:ascii="Times New Roman" w:hAnsi="Times New Roman" w:cs="Times New Roman"/>
          <w:sz w:val="24"/>
          <w:u w:val="none"/>
        </w:rPr>
        <w:t>E-mail address: guyixi@wit.edu.cn</w:t>
      </w:r>
      <w:r>
        <w:rPr>
          <w:rFonts w:hint="eastAsia" w:cs="Times New Roman"/>
          <w:sz w:val="24"/>
          <w:u w:val="none"/>
          <w:lang w:val="en-US" w:eastAsia="zh-CN"/>
        </w:rPr>
        <w:t>.</w:t>
      </w:r>
      <w:bookmarkStart w:id="3" w:name="_GoBack"/>
      <w:bookmarkEnd w:id="3"/>
    </w:p>
    <w:p w14:paraId="3657734F">
      <w:pPr>
        <w:pStyle w:val="7"/>
        <w:spacing w:line="480" w:lineRule="auto"/>
        <w:ind w:left="0" w:leftChars="0" w:firstLine="0" w:firstLineChars="0"/>
        <w:jc w:val="left"/>
        <w:rPr>
          <w:rFonts w:hint="eastAsia" w:cs="Times New Roman"/>
          <w:sz w:val="24"/>
          <w:u w:val="none"/>
          <w:lang w:val="en-US" w:eastAsia="zh-CN"/>
        </w:rPr>
      </w:pPr>
    </w:p>
    <w:p w14:paraId="2F15CFDD">
      <w:pPr>
        <w:numPr>
          <w:ilvl w:val="0"/>
          <w:numId w:val="1"/>
        </w:numPr>
        <w:spacing w:line="480" w:lineRule="auto"/>
        <w:ind w:firstLineChars="0"/>
        <w:rPr>
          <w:rFonts w:cs="Times New Roman"/>
          <w:b/>
          <w:bCs/>
          <w:sz w:val="24"/>
        </w:rPr>
      </w:pPr>
      <w:r>
        <w:rPr>
          <w:rFonts w:cs="Times New Roman"/>
          <w:b/>
          <w:bCs/>
          <w:sz w:val="24"/>
        </w:rPr>
        <w:t>Reagents and materials</w:t>
      </w:r>
    </w:p>
    <w:p w14:paraId="72D410BF">
      <w:pPr>
        <w:spacing w:line="480" w:lineRule="auto"/>
        <w:ind w:firstLine="480"/>
        <w:rPr>
          <w:rFonts w:cs="Times New Roman"/>
          <w:iCs/>
          <w:sz w:val="24"/>
        </w:rPr>
      </w:pPr>
      <w:r>
        <w:rPr>
          <w:rFonts w:cs="Times New Roman"/>
          <w:sz w:val="24"/>
        </w:rPr>
        <w:t xml:space="preserve">1,3,5-Tris(4-aminophenyl) benzene (TAPB) and benzene-1,3,5-tricarboxaldehyde (BTCA) were purchased from </w:t>
      </w:r>
      <w:r>
        <w:rPr>
          <w:rFonts w:cs="Times New Roman"/>
          <w:iCs/>
          <w:sz w:val="24"/>
        </w:rPr>
        <w:t>Chinese Academy of Sciences Yanshen Technology Co., Ltd. (Jilin, China).</w:t>
      </w:r>
      <w:r>
        <w:rPr>
          <w:rFonts w:cs="Times New Roman"/>
          <w:sz w:val="24"/>
        </w:rPr>
        <w:t xml:space="preserve"> </w:t>
      </w:r>
      <w:r>
        <w:rPr>
          <w:rFonts w:cs="Times New Roman"/>
          <w:iCs/>
          <w:sz w:val="24"/>
        </w:rPr>
        <w:t xml:space="preserve">Copper chloride dihydrate </w:t>
      </w:r>
      <w:r>
        <w:rPr>
          <w:rFonts w:cs="Times New Roman"/>
          <w:sz w:val="24"/>
        </w:rPr>
        <w:t>(CuCl</w:t>
      </w:r>
      <w:r>
        <w:rPr>
          <w:rFonts w:cs="Times New Roman"/>
          <w:sz w:val="24"/>
          <w:vertAlign w:val="subscript"/>
        </w:rPr>
        <w:t>2</w:t>
      </w:r>
      <w:r>
        <w:rPr>
          <w:rFonts w:cs="Times New Roman"/>
          <w:sz w:val="24"/>
        </w:rPr>
        <w:t>•2H</w:t>
      </w:r>
      <w:r>
        <w:rPr>
          <w:rFonts w:cs="Times New Roman"/>
          <w:sz w:val="24"/>
          <w:vertAlign w:val="subscript"/>
        </w:rPr>
        <w:t>2</w:t>
      </w:r>
      <w:r>
        <w:rPr>
          <w:rFonts w:cs="Times New Roman"/>
          <w:sz w:val="24"/>
        </w:rPr>
        <w:t>O), nickel chloride hexahydrate (NiCl</w:t>
      </w:r>
      <w:r>
        <w:rPr>
          <w:rFonts w:cs="Times New Roman"/>
          <w:sz w:val="24"/>
          <w:vertAlign w:val="subscript"/>
        </w:rPr>
        <w:t>2</w:t>
      </w:r>
      <w:r>
        <w:rPr>
          <w:rFonts w:cs="Times New Roman"/>
          <w:sz w:val="24"/>
        </w:rPr>
        <w:t>•6H</w:t>
      </w:r>
      <w:r>
        <w:rPr>
          <w:rFonts w:cs="Times New Roman"/>
          <w:sz w:val="24"/>
          <w:vertAlign w:val="subscript"/>
        </w:rPr>
        <w:t>2</w:t>
      </w:r>
      <w:r>
        <w:rPr>
          <w:rFonts w:cs="Times New Roman"/>
          <w:sz w:val="24"/>
        </w:rPr>
        <w:t>O), ascorbic acid (A</w:t>
      </w:r>
      <w:r>
        <w:rPr>
          <w:rFonts w:cs="Times New Roman"/>
          <w:iCs/>
          <w:sz w:val="24"/>
        </w:rPr>
        <w:t>A), ractopamine (Ra), L-arginine (Arg), L-histidine (His) and horseradish peroxidase (HRP) were purchased from Aladdin Reagent Co., Ltd. (Shanghai, China).</w:t>
      </w:r>
      <w:r>
        <w:rPr>
          <w:rFonts w:cs="Times New Roman"/>
          <w:sz w:val="24"/>
        </w:rPr>
        <w:t xml:space="preserve"> </w:t>
      </w:r>
      <w:r>
        <w:rPr>
          <w:rFonts w:cs="Times New Roman"/>
          <w:iCs/>
          <w:sz w:val="24"/>
        </w:rPr>
        <w:t>Isopropanol, 1,4-dioxane, 1,3,5-trimethylbenzene, dopamine (DA), clenbuterol hydrochloride (Clen), salbutamol (Sal), and potassium chloride (KCl) were purchased from Sinopharm Group Co., Ltd</w:t>
      </w:r>
      <w:r>
        <w:rPr>
          <w:rFonts w:hint="eastAsia" w:cs="Times New Roman"/>
          <w:iCs/>
          <w:sz w:val="24"/>
        </w:rPr>
        <w:t xml:space="preserve">. </w:t>
      </w:r>
      <w:r>
        <w:rPr>
          <w:rFonts w:cs="Times New Roman"/>
          <w:sz w:val="24"/>
        </w:rPr>
        <w:t xml:space="preserve">3,3',5,5'-Tetramethylbenzidine (TMB), 2,4-dichlorophenol (2,4-DP) and </w:t>
      </w:r>
      <w:r>
        <w:rPr>
          <w:rFonts w:cs="Times New Roman"/>
          <w:iCs/>
          <w:sz w:val="24"/>
        </w:rPr>
        <w:t>4-</w:t>
      </w:r>
      <w:r>
        <w:rPr>
          <w:rFonts w:hint="eastAsia" w:cs="Times New Roman"/>
          <w:iCs/>
          <w:sz w:val="24"/>
        </w:rPr>
        <w:t>a</w:t>
      </w:r>
      <w:r>
        <w:rPr>
          <w:rFonts w:cs="Times New Roman"/>
          <w:iCs/>
          <w:sz w:val="24"/>
        </w:rPr>
        <w:t>minoantipyrine (4-AP) was obtained from Source Leaf Biological Co., Ltd (Shanghai, China).</w:t>
      </w:r>
    </w:p>
    <w:p w14:paraId="4C9369D2">
      <w:pPr>
        <w:numPr>
          <w:ilvl w:val="0"/>
          <w:numId w:val="1"/>
        </w:numPr>
        <w:spacing w:line="480" w:lineRule="auto"/>
        <w:ind w:firstLineChars="0"/>
        <w:rPr>
          <w:rFonts w:cs="Times New Roman"/>
          <w:b/>
          <w:sz w:val="24"/>
        </w:rPr>
      </w:pPr>
      <w:r>
        <w:rPr>
          <w:rFonts w:cs="Times New Roman"/>
          <w:b/>
          <w:sz w:val="24"/>
        </w:rPr>
        <w:t>Instruments</w:t>
      </w:r>
    </w:p>
    <w:p w14:paraId="4E4F6FA2">
      <w:pPr>
        <w:spacing w:line="480" w:lineRule="auto"/>
        <w:ind w:firstLine="480"/>
        <w:rPr>
          <w:rFonts w:cs="Times New Roman"/>
          <w:sz w:val="24"/>
        </w:rPr>
      </w:pPr>
      <w:r>
        <w:rPr>
          <w:rFonts w:cs="Times New Roman"/>
          <w:sz w:val="24"/>
        </w:rPr>
        <w:t>The morpholog</w:t>
      </w:r>
      <w:r>
        <w:rPr>
          <w:rFonts w:hint="eastAsia" w:cs="Times New Roman"/>
          <w:sz w:val="24"/>
        </w:rPr>
        <w:t>ies</w:t>
      </w:r>
      <w:r>
        <w:rPr>
          <w:rFonts w:cs="Times New Roman"/>
          <w:sz w:val="24"/>
        </w:rPr>
        <w:t xml:space="preserve"> of nanomaterials were characterized by Talos F200X transmission electron microscopy (Thermo, American) and Sigma 500 field-emission scanning electron microscopy (ZEISS, Germany). X-ray photoelectron spectroscopy (XPS) was performed with a JSM6510LV instrument (Jeol, Japan). The powder X-ray diffraction (PXRD) was recorded on a D8 Advance X-ray diffractometer (Bruker Corporation, Germany). Fourier transform infrared (FT-IR) spectra were recorded by Scientific Niocolet iS50 Fourier transform infrared spectroscopy (Thermo, Fisher Scientific, America). UV-vis spectra were obtained by UV-2700 spectroscopy (Shimadzu, Japan). The nitrogen adsorption-desorption isotherm was measured on a surface area and porosity analyzer (MIC-2460, Micromeritics, America). </w:t>
      </w:r>
    </w:p>
    <w:p w14:paraId="587A8B97">
      <w:pPr>
        <w:ind w:firstLine="480"/>
        <w:rPr>
          <w:rFonts w:cs="Times New Roman"/>
          <w:sz w:val="24"/>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lnNumType w:countBy="0" w:restart="continuous"/>
          <w:cols w:space="425" w:num="1"/>
          <w:docGrid w:type="lines" w:linePitch="381" w:charSpace="0"/>
        </w:sectPr>
      </w:pPr>
      <w:r>
        <w:rPr>
          <w:rFonts w:cs="Times New Roman"/>
          <w:sz w:val="24"/>
        </w:rPr>
        <w:br w:type="page"/>
      </w:r>
    </w:p>
    <w:p w14:paraId="704A15B7">
      <w:pPr>
        <w:spacing w:line="480" w:lineRule="auto"/>
        <w:ind w:firstLine="0" w:firstLineChars="0"/>
        <w:rPr>
          <w:color w:val="auto"/>
          <w:sz w:val="24"/>
        </w:rPr>
      </w:pPr>
      <w:r>
        <w:rPr>
          <w:rFonts w:hint="eastAsia"/>
          <w:b/>
          <w:color w:val="auto"/>
          <w:sz w:val="24"/>
        </w:rPr>
        <w:t>Figures</w:t>
      </w:r>
    </w:p>
    <w:p w14:paraId="653002F7">
      <w:pPr>
        <w:spacing w:line="480" w:lineRule="auto"/>
        <w:ind w:firstLine="0" w:firstLineChars="0"/>
        <w:jc w:val="center"/>
      </w:pPr>
      <w:r>
        <w:rPr>
          <w:rFonts w:hint="eastAsia"/>
        </w:rPr>
        <w:drawing>
          <wp:inline distT="0" distB="0" distL="114300" distR="114300">
            <wp:extent cx="2468880" cy="2879725"/>
            <wp:effectExtent l="0" t="0" r="13970" b="12065"/>
            <wp:docPr id="3" name="图片 3"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1"/>
                    <pic:cNvPicPr>
                      <a:picLocks noChangeAspect="1"/>
                    </pic:cNvPicPr>
                  </pic:nvPicPr>
                  <pic:blipFill>
                    <a:blip r:embed="rId8"/>
                    <a:stretch>
                      <a:fillRect/>
                    </a:stretch>
                  </pic:blipFill>
                  <pic:spPr>
                    <a:xfrm>
                      <a:off x="0" y="0"/>
                      <a:ext cx="2468880" cy="2879725"/>
                    </a:xfrm>
                    <a:prstGeom prst="rect">
                      <a:avLst/>
                    </a:prstGeom>
                  </pic:spPr>
                </pic:pic>
              </a:graphicData>
            </a:graphic>
          </wp:inline>
        </w:drawing>
      </w:r>
    </w:p>
    <w:p w14:paraId="7DEEB6BC">
      <w:pPr>
        <w:spacing w:line="480" w:lineRule="auto"/>
        <w:ind w:firstLine="0" w:firstLineChars="0"/>
        <w:rPr>
          <w:kern w:val="0"/>
          <w:sz w:val="24"/>
          <w:szCs w:val="32"/>
          <w:lang w:bidi="ar"/>
        </w:rPr>
      </w:pPr>
      <w:r>
        <w:rPr>
          <w:b/>
          <w:bCs/>
          <w:kern w:val="0"/>
          <w:sz w:val="24"/>
          <w:szCs w:val="32"/>
          <w:lang w:bidi="ar"/>
        </w:rPr>
        <w:t xml:space="preserve">Fig. S1 </w:t>
      </w:r>
      <w:r>
        <w:rPr>
          <w:rFonts w:hint="eastAsia"/>
          <w:kern w:val="0"/>
          <w:sz w:val="24"/>
          <w:szCs w:val="32"/>
          <w:lang w:bidi="ar"/>
        </w:rPr>
        <w:t>UV-vis absorption spectra of reaction solution: (a) Cu-Ni/HCOF + 2,4-DP, (b) a + TMB + HPR, (c) b + H</w:t>
      </w:r>
      <w:r>
        <w:rPr>
          <w:rFonts w:hint="eastAsia"/>
          <w:kern w:val="0"/>
          <w:sz w:val="24"/>
          <w:szCs w:val="32"/>
          <w:vertAlign w:val="subscript"/>
          <w:lang w:bidi="ar"/>
        </w:rPr>
        <w:t>2</w:t>
      </w:r>
      <w:r>
        <w:rPr>
          <w:rFonts w:hint="eastAsia"/>
          <w:kern w:val="0"/>
          <w:sz w:val="24"/>
          <w:szCs w:val="32"/>
          <w:lang w:bidi="ar"/>
        </w:rPr>
        <w:t>O</w:t>
      </w:r>
      <w:r>
        <w:rPr>
          <w:rFonts w:hint="eastAsia"/>
          <w:kern w:val="0"/>
          <w:sz w:val="24"/>
          <w:szCs w:val="32"/>
          <w:vertAlign w:val="subscript"/>
          <w:lang w:bidi="ar"/>
        </w:rPr>
        <w:t>2</w:t>
      </w:r>
      <w:r>
        <w:rPr>
          <w:rFonts w:hint="eastAsia"/>
          <w:kern w:val="0"/>
          <w:sz w:val="24"/>
          <w:szCs w:val="32"/>
          <w:lang w:bidi="ar"/>
        </w:rPr>
        <w:t xml:space="preserve"> (inset: photographs of the corresponding reaction solution)</w:t>
      </w:r>
    </w:p>
    <w:p w14:paraId="49E557E9">
      <w:pPr>
        <w:spacing w:line="480" w:lineRule="auto"/>
        <w:ind w:firstLine="0" w:firstLineChars="0"/>
        <w:rPr>
          <w:kern w:val="0"/>
          <w:sz w:val="24"/>
          <w:szCs w:val="32"/>
          <w:lang w:bidi="ar"/>
        </w:rPr>
      </w:pPr>
    </w:p>
    <w:p w14:paraId="7E6A6B2B">
      <w:pPr>
        <w:spacing w:line="480" w:lineRule="auto"/>
        <w:ind w:firstLine="0" w:firstLineChars="0"/>
        <w:rPr>
          <w:rFonts w:hint="eastAsia" w:eastAsia="宋体"/>
          <w:kern w:val="0"/>
          <w:sz w:val="24"/>
          <w:szCs w:val="32"/>
          <w:lang w:eastAsia="zh-CN" w:bidi="ar"/>
        </w:rPr>
      </w:pPr>
      <w:r>
        <w:rPr>
          <w:rFonts w:hint="eastAsia" w:eastAsia="宋体"/>
          <w:kern w:val="0"/>
          <w:sz w:val="24"/>
          <w:szCs w:val="32"/>
          <w:lang w:eastAsia="zh-CN" w:bidi="ar"/>
        </w:rPr>
        <w:drawing>
          <wp:inline distT="0" distB="0" distL="114300" distR="114300">
            <wp:extent cx="5271770" cy="1974215"/>
            <wp:effectExtent l="0" t="0" r="635" b="12065"/>
            <wp:docPr id="1" name="图片 1"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2"/>
                    <pic:cNvPicPr>
                      <a:picLocks noChangeAspect="1"/>
                    </pic:cNvPicPr>
                  </pic:nvPicPr>
                  <pic:blipFill>
                    <a:blip r:embed="rId9"/>
                    <a:stretch>
                      <a:fillRect/>
                    </a:stretch>
                  </pic:blipFill>
                  <pic:spPr>
                    <a:xfrm>
                      <a:off x="0" y="0"/>
                      <a:ext cx="5271770" cy="1974215"/>
                    </a:xfrm>
                    <a:prstGeom prst="rect">
                      <a:avLst/>
                    </a:prstGeom>
                  </pic:spPr>
                </pic:pic>
              </a:graphicData>
            </a:graphic>
          </wp:inline>
        </w:drawing>
      </w:r>
    </w:p>
    <w:p w14:paraId="539E558B">
      <w:pPr>
        <w:spacing w:line="480" w:lineRule="auto"/>
        <w:ind w:firstLine="0" w:firstLineChars="0"/>
        <w:rPr>
          <w:bCs/>
          <w:color w:val="0066FF"/>
          <w:kern w:val="0"/>
          <w:sz w:val="24"/>
          <w:szCs w:val="32"/>
          <w:lang w:bidi="ar"/>
        </w:rPr>
      </w:pPr>
      <w:r>
        <w:rPr>
          <w:b/>
          <w:bCs/>
          <w:kern w:val="0"/>
          <w:sz w:val="24"/>
          <w:szCs w:val="32"/>
          <w:lang w:bidi="ar"/>
        </w:rPr>
        <w:t>Fig. S</w:t>
      </w:r>
      <w:r>
        <w:rPr>
          <w:rFonts w:hint="eastAsia"/>
          <w:b/>
          <w:bCs/>
          <w:kern w:val="0"/>
          <w:sz w:val="24"/>
          <w:szCs w:val="32"/>
          <w:lang w:bidi="ar"/>
        </w:rPr>
        <w:t>2</w:t>
      </w:r>
      <w:r>
        <w:rPr>
          <w:bCs/>
          <w:color w:val="FF0000"/>
          <w:kern w:val="0"/>
          <w:sz w:val="24"/>
          <w:szCs w:val="32"/>
          <w:lang w:bidi="ar"/>
        </w:rPr>
        <w:t xml:space="preserve"> </w:t>
      </w:r>
      <w:r>
        <w:rPr>
          <w:bCs/>
          <w:kern w:val="0"/>
          <w:sz w:val="24"/>
          <w:szCs w:val="32"/>
          <w:lang w:bidi="ar"/>
        </w:rPr>
        <w:t xml:space="preserve">Photographs of </w:t>
      </w:r>
      <w:r>
        <w:rPr>
          <w:sz w:val="24"/>
        </w:rPr>
        <w:t>Cu-Ni/HCO</w:t>
      </w:r>
      <w:r>
        <w:rPr>
          <w:rFonts w:hint="eastAsia"/>
          <w:sz w:val="24"/>
        </w:rPr>
        <w:t>F nanozyme catalytic process</w:t>
      </w:r>
      <w:r>
        <w:rPr>
          <w:sz w:val="24"/>
        </w:rPr>
        <w:t xml:space="preserve">: </w:t>
      </w:r>
      <w:r>
        <w:rPr>
          <w:bCs/>
          <w:kern w:val="0"/>
          <w:sz w:val="24"/>
          <w:szCs w:val="32"/>
          <w:lang w:bidi="ar"/>
        </w:rPr>
        <w:t>(a) the supernatant reacted with 2,4-DP</w:t>
      </w:r>
      <w:r>
        <w:rPr>
          <w:rFonts w:hint="eastAsia"/>
          <w:bCs/>
          <w:kern w:val="0"/>
          <w:sz w:val="24"/>
          <w:szCs w:val="32"/>
          <w:lang w:bidi="ar"/>
        </w:rPr>
        <w:t xml:space="preserve"> and 4-AP, (b)</w:t>
      </w:r>
      <w:r>
        <w:rPr>
          <w:bCs/>
          <w:kern w:val="0"/>
          <w:sz w:val="24"/>
          <w:szCs w:val="32"/>
          <w:lang w:bidi="ar"/>
        </w:rPr>
        <w:t xml:space="preserve"> </w:t>
      </w:r>
      <w:r>
        <w:rPr>
          <w:rFonts w:hint="eastAsia"/>
          <w:bCs/>
          <w:kern w:val="0"/>
          <w:sz w:val="24"/>
          <w:szCs w:val="32"/>
          <w:lang w:bidi="ar"/>
        </w:rPr>
        <w:t xml:space="preserve">the </w:t>
      </w:r>
      <w:r>
        <w:rPr>
          <w:sz w:val="24"/>
        </w:rPr>
        <w:t>precipitation</w:t>
      </w:r>
      <w:r>
        <w:rPr>
          <w:bCs/>
          <w:kern w:val="0"/>
          <w:sz w:val="24"/>
          <w:szCs w:val="32"/>
          <w:lang w:bidi="ar"/>
        </w:rPr>
        <w:t xml:space="preserve"> reacted</w:t>
      </w:r>
      <w:r>
        <w:rPr>
          <w:rFonts w:hint="eastAsia"/>
          <w:bCs/>
          <w:kern w:val="0"/>
          <w:sz w:val="24"/>
          <w:szCs w:val="32"/>
          <w:lang w:bidi="ar"/>
        </w:rPr>
        <w:t xml:space="preserve"> with </w:t>
      </w:r>
      <w:r>
        <w:rPr>
          <w:bCs/>
          <w:kern w:val="0"/>
          <w:sz w:val="24"/>
          <w:szCs w:val="32"/>
          <w:lang w:bidi="ar"/>
        </w:rPr>
        <w:t>2,4-DP</w:t>
      </w:r>
      <w:r>
        <w:rPr>
          <w:rFonts w:hint="eastAsia"/>
          <w:bCs/>
          <w:kern w:val="0"/>
          <w:sz w:val="24"/>
          <w:szCs w:val="32"/>
          <w:lang w:bidi="ar"/>
        </w:rPr>
        <w:t xml:space="preserve"> and 4-AP.</w:t>
      </w:r>
      <w:r>
        <w:rPr>
          <w:rFonts w:hint="eastAsia"/>
          <w:bCs/>
          <w:color w:val="0066FF"/>
          <w:kern w:val="0"/>
          <w:sz w:val="24"/>
          <w:szCs w:val="32"/>
          <w:lang w:bidi="ar"/>
        </w:rPr>
        <w:t xml:space="preserve"> </w:t>
      </w:r>
    </w:p>
    <w:p w14:paraId="7C449853">
      <w:pPr>
        <w:spacing w:line="480" w:lineRule="auto"/>
        <w:ind w:firstLine="480"/>
        <w:rPr>
          <w:bCs/>
          <w:color w:val="0066FF"/>
          <w:kern w:val="0"/>
          <w:sz w:val="24"/>
          <w:szCs w:val="32"/>
          <w:lang w:bidi="ar"/>
        </w:rPr>
      </w:pPr>
      <w:r>
        <w:rPr>
          <w:rFonts w:hint="eastAsia"/>
          <w:bCs/>
          <w:color w:val="0066FF"/>
          <w:kern w:val="0"/>
          <w:sz w:val="24"/>
          <w:szCs w:val="32"/>
          <w:lang w:bidi="ar"/>
        </w:rPr>
        <w:br w:type="page"/>
      </w:r>
    </w:p>
    <w:p w14:paraId="6E949864">
      <w:pPr>
        <w:spacing w:line="480" w:lineRule="auto"/>
        <w:ind w:firstLine="0" w:firstLineChars="0"/>
        <w:rPr>
          <w:rFonts w:hint="eastAsia" w:eastAsia="宋体"/>
          <w:bCs/>
          <w:color w:val="0066FF"/>
          <w:kern w:val="0"/>
          <w:sz w:val="24"/>
          <w:szCs w:val="32"/>
          <w:lang w:eastAsia="zh-CN" w:bidi="ar"/>
        </w:rPr>
      </w:pPr>
      <w:r>
        <w:rPr>
          <w:rFonts w:hint="eastAsia" w:eastAsia="宋体"/>
          <w:bCs/>
          <w:color w:val="0066FF"/>
          <w:kern w:val="0"/>
          <w:sz w:val="24"/>
          <w:szCs w:val="32"/>
          <w:lang w:eastAsia="zh-CN" w:bidi="ar"/>
        </w:rPr>
        <w:drawing>
          <wp:inline distT="0" distB="0" distL="114300" distR="114300">
            <wp:extent cx="5265420" cy="2141220"/>
            <wp:effectExtent l="0" t="0" r="6985" b="5715"/>
            <wp:docPr id="2" name="图片 2"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3"/>
                    <pic:cNvPicPr>
                      <a:picLocks noChangeAspect="1"/>
                    </pic:cNvPicPr>
                  </pic:nvPicPr>
                  <pic:blipFill>
                    <a:blip r:embed="rId10"/>
                    <a:stretch>
                      <a:fillRect/>
                    </a:stretch>
                  </pic:blipFill>
                  <pic:spPr>
                    <a:xfrm>
                      <a:off x="0" y="0"/>
                      <a:ext cx="5265420" cy="2141220"/>
                    </a:xfrm>
                    <a:prstGeom prst="rect">
                      <a:avLst/>
                    </a:prstGeom>
                  </pic:spPr>
                </pic:pic>
              </a:graphicData>
            </a:graphic>
          </wp:inline>
        </w:drawing>
      </w:r>
    </w:p>
    <w:p w14:paraId="55A7386D">
      <w:pPr>
        <w:spacing w:line="480" w:lineRule="auto"/>
        <w:ind w:firstLine="0" w:firstLineChars="0"/>
        <w:rPr>
          <w:bCs/>
          <w:color w:val="0066FF"/>
          <w:sz w:val="24"/>
        </w:rPr>
      </w:pPr>
      <w:r>
        <w:rPr>
          <w:b/>
          <w:bCs/>
          <w:sz w:val="24"/>
          <w:lang w:val="en-GB"/>
        </w:rPr>
        <w:t>Fig</w:t>
      </w:r>
      <w:r>
        <w:rPr>
          <w:rFonts w:hint="eastAsia"/>
          <w:b/>
          <w:bCs/>
          <w:sz w:val="24"/>
          <w:lang w:val="en-GB"/>
        </w:rPr>
        <w:t>.</w:t>
      </w:r>
      <w:r>
        <w:rPr>
          <w:b/>
          <w:bCs/>
          <w:sz w:val="24"/>
          <w:lang w:val="en-GB"/>
        </w:rPr>
        <w:t xml:space="preserve"> S</w:t>
      </w:r>
      <w:r>
        <w:rPr>
          <w:rFonts w:hint="eastAsia"/>
          <w:b/>
          <w:bCs/>
          <w:sz w:val="24"/>
        </w:rPr>
        <w:t xml:space="preserve">3 </w:t>
      </w:r>
      <w:r>
        <w:rPr>
          <w:rFonts w:hint="eastAsia"/>
          <w:bCs/>
          <w:sz w:val="24"/>
        </w:rPr>
        <w:t xml:space="preserve">Optimization of the </w:t>
      </w:r>
      <w:r>
        <w:rPr>
          <w:bCs/>
          <w:sz w:val="24"/>
        </w:rPr>
        <w:t>experimental condition</w:t>
      </w:r>
      <w:r>
        <w:rPr>
          <w:rFonts w:hint="eastAsia"/>
          <w:bCs/>
          <w:sz w:val="24"/>
        </w:rPr>
        <w:t>s</w:t>
      </w:r>
      <w:r>
        <w:rPr>
          <w:bCs/>
          <w:sz w:val="24"/>
        </w:rPr>
        <w:t xml:space="preserve">: </w:t>
      </w:r>
      <w:r>
        <w:rPr>
          <w:rFonts w:hint="eastAsia"/>
          <w:b/>
          <w:bCs w:val="0"/>
          <w:sz w:val="24"/>
          <w:lang w:val="en-US" w:eastAsia="zh-CN"/>
        </w:rPr>
        <w:t>a</w:t>
      </w:r>
      <w:r>
        <w:rPr>
          <w:sz w:val="24"/>
          <w:lang w:val="en-GB"/>
        </w:rPr>
        <w:t xml:space="preserve"> </w:t>
      </w:r>
      <w:r>
        <w:rPr>
          <w:rFonts w:hint="eastAsia"/>
          <w:sz w:val="24"/>
        </w:rPr>
        <w:t>B</w:t>
      </w:r>
      <w:r>
        <w:rPr>
          <w:sz w:val="24"/>
          <w:lang w:val="en-GB"/>
        </w:rPr>
        <w:t>uffer solution</w:t>
      </w:r>
      <w:r>
        <w:rPr>
          <w:rFonts w:hint="eastAsia"/>
          <w:sz w:val="24"/>
          <w:lang w:val="en-GB"/>
        </w:rPr>
        <w:t xml:space="preserve">. </w:t>
      </w:r>
      <w:r>
        <w:rPr>
          <w:rFonts w:hint="eastAsia"/>
          <w:b/>
          <w:bCs/>
          <w:sz w:val="24"/>
          <w:lang w:val="en-US" w:eastAsia="zh-CN"/>
        </w:rPr>
        <w:t>b</w:t>
      </w:r>
      <w:r>
        <w:rPr>
          <w:rFonts w:hint="eastAsia"/>
          <w:bCs/>
          <w:sz w:val="24"/>
        </w:rPr>
        <w:t xml:space="preserve"> Catalytic time of</w:t>
      </w:r>
      <w:r>
        <w:rPr>
          <w:bCs/>
          <w:sz w:val="24"/>
        </w:rPr>
        <w:t xml:space="preserve"> </w:t>
      </w:r>
      <w:r>
        <w:rPr>
          <w:rFonts w:hint="eastAsia"/>
          <w:bCs/>
          <w:sz w:val="24"/>
        </w:rPr>
        <w:t>Cu-Ni/HCOF nanozyme.</w:t>
      </w:r>
    </w:p>
    <w:p w14:paraId="0B2C906E">
      <w:pPr>
        <w:spacing w:line="480" w:lineRule="auto"/>
        <w:ind w:firstLine="0" w:firstLineChars="0"/>
        <w:rPr>
          <w:bCs/>
          <w:color w:val="0066FF"/>
          <w:sz w:val="24"/>
          <w:lang w:val="en-GB"/>
        </w:rPr>
      </w:pPr>
    </w:p>
    <w:p w14:paraId="47AD95D7">
      <w:pPr>
        <w:spacing w:line="480" w:lineRule="auto"/>
        <w:ind w:firstLine="560"/>
        <w:jc w:val="center"/>
      </w:pPr>
      <w:r>
        <w:rPr>
          <w:rFonts w:hint="eastAsia"/>
        </w:rPr>
        <w:drawing>
          <wp:inline distT="0" distB="0" distL="114300" distR="114300">
            <wp:extent cx="3427095" cy="2879725"/>
            <wp:effectExtent l="0" t="0" r="5080" b="12065"/>
            <wp:docPr id="8" name="图片 8"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4"/>
                    <pic:cNvPicPr>
                      <a:picLocks noChangeAspect="1"/>
                    </pic:cNvPicPr>
                  </pic:nvPicPr>
                  <pic:blipFill>
                    <a:blip r:embed="rId11"/>
                    <a:stretch>
                      <a:fillRect/>
                    </a:stretch>
                  </pic:blipFill>
                  <pic:spPr>
                    <a:xfrm>
                      <a:off x="0" y="0"/>
                      <a:ext cx="3427095" cy="2879725"/>
                    </a:xfrm>
                    <a:prstGeom prst="rect">
                      <a:avLst/>
                    </a:prstGeom>
                  </pic:spPr>
                </pic:pic>
              </a:graphicData>
            </a:graphic>
          </wp:inline>
        </w:drawing>
      </w:r>
    </w:p>
    <w:p w14:paraId="695A36B0">
      <w:pPr>
        <w:spacing w:line="480" w:lineRule="auto"/>
        <w:ind w:firstLine="0" w:firstLineChars="0"/>
        <w:rPr>
          <w:rFonts w:eastAsiaTheme="minorEastAsia"/>
          <w:kern w:val="0"/>
          <w:sz w:val="24"/>
          <w:lang w:bidi="ar"/>
        </w:rPr>
      </w:pPr>
      <w:r>
        <w:rPr>
          <w:b/>
          <w:bCs/>
          <w:kern w:val="0"/>
          <w:sz w:val="24"/>
          <w:lang w:bidi="ar"/>
        </w:rPr>
        <w:t>Fig. S</w:t>
      </w:r>
      <w:r>
        <w:rPr>
          <w:rFonts w:hint="eastAsia"/>
          <w:b/>
          <w:bCs/>
          <w:kern w:val="0"/>
          <w:sz w:val="24"/>
          <w:lang w:bidi="ar"/>
        </w:rPr>
        <w:t>4</w:t>
      </w:r>
      <w:r>
        <w:rPr>
          <w:rFonts w:eastAsiaTheme="minorEastAsia"/>
          <w:kern w:val="0"/>
          <w:sz w:val="24"/>
          <w:lang w:bidi="ar"/>
        </w:rPr>
        <w:t xml:space="preserve"> Stability of the </w:t>
      </w:r>
      <w:r>
        <w:rPr>
          <w:rFonts w:hint="eastAsia" w:eastAsiaTheme="minorEastAsia"/>
          <w:kern w:val="0"/>
          <w:sz w:val="24"/>
          <w:lang w:bidi="ar"/>
        </w:rPr>
        <w:t>Cu-Ni/HCOF nanozyme</w:t>
      </w:r>
      <w:r>
        <w:rPr>
          <w:rFonts w:eastAsiaTheme="minorEastAsia"/>
          <w:kern w:val="0"/>
          <w:sz w:val="24"/>
          <w:lang w:bidi="ar"/>
        </w:rPr>
        <w:t xml:space="preserve"> after stored at </w:t>
      </w:r>
      <w:r>
        <w:rPr>
          <w:rFonts w:hint="eastAsia" w:eastAsiaTheme="minorEastAsia"/>
          <w:kern w:val="0"/>
          <w:sz w:val="24"/>
          <w:lang w:bidi="ar"/>
        </w:rPr>
        <w:t>room temperature</w:t>
      </w:r>
      <w:r>
        <w:rPr>
          <w:rFonts w:eastAsiaTheme="minorEastAsia"/>
          <w:kern w:val="0"/>
          <w:sz w:val="24"/>
          <w:lang w:bidi="ar"/>
        </w:rPr>
        <w:t xml:space="preserve"> for </w:t>
      </w:r>
      <w:r>
        <w:rPr>
          <w:rFonts w:hint="eastAsia" w:eastAsiaTheme="minorEastAsia"/>
          <w:kern w:val="0"/>
          <w:sz w:val="24"/>
          <w:lang w:bidi="ar"/>
        </w:rPr>
        <w:t>7</w:t>
      </w:r>
      <w:r>
        <w:rPr>
          <w:rFonts w:eastAsiaTheme="minorEastAsia"/>
          <w:kern w:val="0"/>
          <w:sz w:val="24"/>
          <w:lang w:bidi="ar"/>
        </w:rPr>
        <w:t xml:space="preserve"> days.</w:t>
      </w:r>
    </w:p>
    <w:p w14:paraId="44F0F91F">
      <w:pPr>
        <w:ind w:firstLine="480"/>
        <w:rPr>
          <w:rFonts w:eastAsiaTheme="minorEastAsia"/>
          <w:kern w:val="0"/>
          <w:sz w:val="24"/>
          <w:lang w:bidi="ar"/>
        </w:rPr>
      </w:pPr>
      <w:r>
        <w:rPr>
          <w:rFonts w:eastAsiaTheme="minorEastAsia"/>
          <w:kern w:val="0"/>
          <w:sz w:val="24"/>
          <w:lang w:bidi="ar"/>
        </w:rPr>
        <w:br w:type="page"/>
      </w:r>
    </w:p>
    <w:p w14:paraId="6B91E56A">
      <w:pPr>
        <w:spacing w:line="480" w:lineRule="auto"/>
        <w:ind w:firstLine="0" w:firstLineChars="0"/>
        <w:rPr>
          <w:b/>
          <w:szCs w:val="28"/>
          <w:lang w:val="en-GB"/>
        </w:rPr>
      </w:pPr>
      <w:bookmarkStart w:id="2" w:name="OLE_LINK1"/>
      <w:r>
        <w:rPr>
          <w:rFonts w:hint="eastAsia"/>
          <w:b/>
          <w:szCs w:val="28"/>
          <w:lang w:val="en-GB"/>
        </w:rPr>
        <w:t>Tables</w:t>
      </w:r>
    </w:p>
    <w:p w14:paraId="34569139">
      <w:pPr>
        <w:spacing w:line="360" w:lineRule="auto"/>
        <w:ind w:left="0" w:leftChars="0" w:right="1" w:firstLine="0" w:firstLineChars="0"/>
        <w:jc w:val="left"/>
        <w:rPr>
          <w:b/>
          <w:sz w:val="24"/>
          <w:szCs w:val="24"/>
        </w:rPr>
      </w:pPr>
      <w:r>
        <w:rPr>
          <w:b/>
          <w:sz w:val="24"/>
          <w:szCs w:val="24"/>
        </w:rPr>
        <w:t xml:space="preserve">Table S1 </w:t>
      </w:r>
      <w:r>
        <w:rPr>
          <w:b w:val="0"/>
          <w:bCs/>
          <w:sz w:val="24"/>
          <w:szCs w:val="24"/>
        </w:rPr>
        <w:t xml:space="preserve">Comparison of kinetic parameters of </w:t>
      </w:r>
      <w:r>
        <w:rPr>
          <w:rFonts w:hint="eastAsia"/>
          <w:b w:val="0"/>
          <w:bCs/>
          <w:snapToGrid w:val="0"/>
          <w:kern w:val="0"/>
          <w:sz w:val="24"/>
          <w:szCs w:val="24"/>
        </w:rPr>
        <w:t>Cu-Ni/HCOF nanozyme</w:t>
      </w:r>
      <w:r>
        <w:rPr>
          <w:b w:val="0"/>
          <w:bCs/>
          <w:sz w:val="24"/>
          <w:szCs w:val="24"/>
        </w:rPr>
        <w:t xml:space="preserve"> with other laccase mimetics.</w:t>
      </w:r>
    </w:p>
    <w:tbl>
      <w:tblPr>
        <w:tblStyle w:val="10"/>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62"/>
        <w:gridCol w:w="1430"/>
        <w:gridCol w:w="1545"/>
        <w:gridCol w:w="1432"/>
        <w:gridCol w:w="1537"/>
      </w:tblGrid>
      <w:tr w14:paraId="7B6ECB9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1421" w:type="pct"/>
            <w:tcBorders>
              <w:top w:val="single" w:color="auto" w:sz="12" w:space="0"/>
              <w:bottom w:val="single" w:color="auto" w:sz="12" w:space="0"/>
            </w:tcBorders>
            <w:vAlign w:val="center"/>
          </w:tcPr>
          <w:p w14:paraId="780E027B">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b/>
                <w:bCs/>
                <w:sz w:val="24"/>
                <w:szCs w:val="24"/>
                <w:highlight w:val="none"/>
                <w:lang w:val="de-DE"/>
              </w:rPr>
            </w:pPr>
            <w:r>
              <w:rPr>
                <w:b/>
                <w:bCs/>
                <w:sz w:val="24"/>
                <w:szCs w:val="24"/>
                <w:highlight w:val="none"/>
                <w:lang w:val="de-DE"/>
              </w:rPr>
              <w:t>Complex</w:t>
            </w:r>
          </w:p>
        </w:tc>
        <w:tc>
          <w:tcPr>
            <w:tcW w:w="860" w:type="pct"/>
            <w:tcBorders>
              <w:top w:val="single" w:color="auto" w:sz="12" w:space="0"/>
              <w:bottom w:val="single" w:color="auto" w:sz="12" w:space="0"/>
            </w:tcBorders>
            <w:vAlign w:val="center"/>
          </w:tcPr>
          <w:p w14:paraId="4C823386">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b/>
                <w:bCs/>
                <w:sz w:val="24"/>
                <w:szCs w:val="24"/>
                <w:highlight w:val="none"/>
                <w:lang w:val="de-DE"/>
              </w:rPr>
            </w:pPr>
            <w:r>
              <w:rPr>
                <w:b/>
                <w:bCs/>
                <w:sz w:val="24"/>
                <w:szCs w:val="24"/>
                <w:highlight w:val="none"/>
                <w:lang w:val="de-DE"/>
              </w:rPr>
              <w:t>Substrate</w:t>
            </w:r>
          </w:p>
        </w:tc>
        <w:tc>
          <w:tcPr>
            <w:tcW w:w="930" w:type="pct"/>
            <w:tcBorders>
              <w:top w:val="single" w:color="auto" w:sz="12" w:space="0"/>
              <w:bottom w:val="single" w:color="auto" w:sz="12" w:space="0"/>
            </w:tcBorders>
            <w:vAlign w:val="center"/>
          </w:tcPr>
          <w:p w14:paraId="39FF8BD9">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b/>
                <w:bCs/>
                <w:sz w:val="24"/>
                <w:szCs w:val="24"/>
                <w:highlight w:val="none"/>
                <w:lang w:val="de-DE"/>
              </w:rPr>
            </w:pPr>
            <w:r>
              <w:rPr>
                <w:b/>
                <w:bCs/>
                <w:i/>
                <w:sz w:val="24"/>
                <w:szCs w:val="24"/>
                <w:highlight w:val="none"/>
                <w:lang w:val="de-DE"/>
              </w:rPr>
              <w:t>K</w:t>
            </w:r>
            <w:r>
              <w:rPr>
                <w:b/>
                <w:bCs/>
                <w:i/>
                <w:sz w:val="24"/>
                <w:szCs w:val="24"/>
                <w:highlight w:val="none"/>
                <w:vertAlign w:val="subscript"/>
                <w:lang w:val="de-DE"/>
              </w:rPr>
              <w:t>m</w:t>
            </w:r>
          </w:p>
        </w:tc>
        <w:tc>
          <w:tcPr>
            <w:tcW w:w="862" w:type="pct"/>
            <w:tcBorders>
              <w:top w:val="single" w:color="auto" w:sz="12" w:space="0"/>
              <w:bottom w:val="single" w:color="auto" w:sz="12" w:space="0"/>
            </w:tcBorders>
            <w:vAlign w:val="center"/>
          </w:tcPr>
          <w:p w14:paraId="1BA4DA74">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b/>
                <w:bCs/>
                <w:i/>
                <w:sz w:val="24"/>
                <w:szCs w:val="24"/>
                <w:highlight w:val="none"/>
                <w:lang w:val="de-DE"/>
              </w:rPr>
            </w:pPr>
            <w:r>
              <w:rPr>
                <w:b/>
                <w:bCs/>
                <w:i/>
                <w:sz w:val="24"/>
                <w:szCs w:val="24"/>
                <w:highlight w:val="none"/>
                <w:lang w:val="de-DE"/>
              </w:rPr>
              <w:t>V</w:t>
            </w:r>
            <w:r>
              <w:rPr>
                <w:b/>
                <w:bCs/>
                <w:i/>
                <w:sz w:val="24"/>
                <w:szCs w:val="24"/>
                <w:highlight w:val="none"/>
                <w:vertAlign w:val="subscript"/>
                <w:lang w:val="de-DE"/>
              </w:rPr>
              <w:t>max</w:t>
            </w:r>
          </w:p>
        </w:tc>
        <w:tc>
          <w:tcPr>
            <w:tcW w:w="925" w:type="pct"/>
            <w:tcBorders>
              <w:top w:val="single" w:color="auto" w:sz="12" w:space="0"/>
              <w:bottom w:val="single" w:color="auto" w:sz="12" w:space="0"/>
            </w:tcBorders>
            <w:vAlign w:val="center"/>
          </w:tcPr>
          <w:p w14:paraId="1E5D46B8">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b/>
                <w:bCs/>
                <w:sz w:val="24"/>
                <w:szCs w:val="24"/>
                <w:highlight w:val="none"/>
                <w:lang w:val="de-DE"/>
              </w:rPr>
            </w:pPr>
            <w:r>
              <w:rPr>
                <w:b/>
                <w:bCs/>
                <w:sz w:val="24"/>
                <w:szCs w:val="24"/>
                <w:highlight w:val="none"/>
                <w:lang w:val="de-DE"/>
              </w:rPr>
              <w:t>Reference</w:t>
            </w:r>
          </w:p>
        </w:tc>
      </w:tr>
      <w:tr w14:paraId="382A98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1421" w:type="pct"/>
            <w:tcBorders>
              <w:top w:val="single" w:color="auto" w:sz="12" w:space="0"/>
              <w:bottom w:val="nil"/>
            </w:tcBorders>
            <w:shd w:val="clear"/>
            <w:vAlign w:val="center"/>
          </w:tcPr>
          <w:p w14:paraId="0E1FD495">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CH-Cu</w:t>
            </w:r>
          </w:p>
        </w:tc>
        <w:tc>
          <w:tcPr>
            <w:tcW w:w="860" w:type="pct"/>
            <w:tcBorders>
              <w:top w:val="single" w:color="auto" w:sz="12" w:space="0"/>
              <w:bottom w:val="nil"/>
            </w:tcBorders>
            <w:shd w:val="clear"/>
            <w:vAlign w:val="center"/>
          </w:tcPr>
          <w:p w14:paraId="0313DB87">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2,4-</w:t>
            </w:r>
            <w:r>
              <w:rPr>
                <w:rFonts w:hint="eastAsia"/>
                <w:sz w:val="24"/>
                <w:szCs w:val="24"/>
                <w:highlight w:val="none"/>
                <w:lang w:val="de-DE"/>
              </w:rPr>
              <w:t>DP</w:t>
            </w:r>
          </w:p>
        </w:tc>
        <w:tc>
          <w:tcPr>
            <w:tcW w:w="930" w:type="pct"/>
            <w:tcBorders>
              <w:top w:val="single" w:color="auto" w:sz="12" w:space="0"/>
              <w:bottom w:val="nil"/>
            </w:tcBorders>
            <w:shd w:val="clear"/>
            <w:vAlign w:val="center"/>
          </w:tcPr>
          <w:p w14:paraId="390674DA">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0.42 mM</w:t>
            </w:r>
          </w:p>
        </w:tc>
        <w:tc>
          <w:tcPr>
            <w:tcW w:w="862" w:type="pct"/>
            <w:tcBorders>
              <w:top w:val="single" w:color="auto" w:sz="12" w:space="0"/>
              <w:bottom w:val="nil"/>
            </w:tcBorders>
            <w:shd w:val="clear"/>
            <w:vAlign w:val="center"/>
          </w:tcPr>
          <w:p w14:paraId="3AB69623">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 xml:space="preserve">0.122 </w:t>
            </w:r>
            <w:r>
              <w:rPr>
                <w:rFonts w:hint="default" w:ascii="Times New Roman" w:hAnsi="Times New Roman" w:cs="Times New Roman"/>
                <w:sz w:val="24"/>
                <w:highlight w:val="none"/>
                <w:lang w:val="en-US" w:eastAsia="zh-CN"/>
              </w:rPr>
              <w:t>μ</w:t>
            </w:r>
            <w:r>
              <w:rPr>
                <w:rFonts w:cs="Times New Roman"/>
                <w:sz w:val="24"/>
                <w:highlight w:val="none"/>
              </w:rPr>
              <w:t>M·</w:t>
            </w:r>
            <w:r>
              <w:rPr>
                <w:rFonts w:hint="eastAsia" w:cs="Times New Roman"/>
                <w:sz w:val="24"/>
                <w:highlight w:val="none"/>
                <w:lang w:val="en-US" w:eastAsia="zh-CN"/>
              </w:rPr>
              <w:t>s</w:t>
            </w:r>
            <w:r>
              <w:rPr>
                <w:rFonts w:cs="Times New Roman"/>
                <w:sz w:val="24"/>
                <w:highlight w:val="none"/>
                <w:vertAlign w:val="superscript"/>
              </w:rPr>
              <w:t>-1</w:t>
            </w:r>
          </w:p>
        </w:tc>
        <w:tc>
          <w:tcPr>
            <w:tcW w:w="925" w:type="pct"/>
            <w:tcBorders>
              <w:top w:val="single" w:color="auto" w:sz="12" w:space="0"/>
              <w:bottom w:val="nil"/>
            </w:tcBorders>
            <w:shd w:val="clear"/>
            <w:vAlign w:val="center"/>
          </w:tcPr>
          <w:p w14:paraId="02933721">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hint="eastAsia"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rFonts w:hint="eastAsia"/>
                <w:sz w:val="24"/>
                <w:szCs w:val="24"/>
                <w:highlight w:val="none"/>
                <w:lang w:val="en-US" w:eastAsia="zh-CN"/>
              </w:rPr>
              <w:t>1</w:t>
            </w:r>
          </w:p>
        </w:tc>
      </w:tr>
      <w:tr w14:paraId="3F958BA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1421" w:type="pct"/>
            <w:tcBorders>
              <w:top w:val="nil"/>
              <w:bottom w:val="nil"/>
            </w:tcBorders>
            <w:shd w:val="clear"/>
            <w:vAlign w:val="center"/>
          </w:tcPr>
          <w:p w14:paraId="6486773D">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I-Cu</w:t>
            </w:r>
          </w:p>
        </w:tc>
        <w:tc>
          <w:tcPr>
            <w:tcW w:w="860" w:type="pct"/>
            <w:tcBorders>
              <w:top w:val="nil"/>
              <w:bottom w:val="nil"/>
            </w:tcBorders>
            <w:shd w:val="clear"/>
            <w:vAlign w:val="center"/>
          </w:tcPr>
          <w:p w14:paraId="15994F55">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2,4-</w:t>
            </w:r>
            <w:r>
              <w:rPr>
                <w:rFonts w:hint="eastAsia"/>
                <w:sz w:val="24"/>
                <w:szCs w:val="24"/>
                <w:highlight w:val="none"/>
                <w:lang w:val="de-DE"/>
              </w:rPr>
              <w:t>DP</w:t>
            </w:r>
          </w:p>
        </w:tc>
        <w:tc>
          <w:tcPr>
            <w:tcW w:w="930" w:type="pct"/>
            <w:tcBorders>
              <w:top w:val="nil"/>
              <w:bottom w:val="nil"/>
            </w:tcBorders>
            <w:shd w:val="clear"/>
            <w:vAlign w:val="center"/>
          </w:tcPr>
          <w:p w14:paraId="35852022">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rFonts w:hint="eastAsia"/>
                <w:sz w:val="24"/>
                <w:szCs w:val="24"/>
                <w:highlight w:val="none"/>
                <w:lang w:val="de-DE"/>
              </w:rPr>
              <w:t>0.172 mM</w:t>
            </w:r>
          </w:p>
        </w:tc>
        <w:tc>
          <w:tcPr>
            <w:tcW w:w="862" w:type="pct"/>
            <w:tcBorders>
              <w:top w:val="nil"/>
              <w:bottom w:val="nil"/>
            </w:tcBorders>
            <w:shd w:val="clear"/>
            <w:vAlign w:val="center"/>
          </w:tcPr>
          <w:p w14:paraId="4F2E914A">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rFonts w:hint="eastAsia"/>
                <w:sz w:val="24"/>
                <w:szCs w:val="24"/>
                <w:highlight w:val="none"/>
                <w:lang w:val="de-DE"/>
              </w:rPr>
              <w:t>0.410</w:t>
            </w:r>
            <w:r>
              <w:rPr>
                <w:sz w:val="24"/>
                <w:szCs w:val="24"/>
                <w:highlight w:val="none"/>
                <w:lang w:val="de-DE"/>
              </w:rPr>
              <w:t xml:space="preserve"> </w:t>
            </w:r>
            <w:r>
              <w:rPr>
                <w:rFonts w:hint="default" w:ascii="Times New Roman" w:hAnsi="Times New Roman" w:cs="Times New Roman"/>
                <w:sz w:val="24"/>
                <w:highlight w:val="none"/>
                <w:lang w:val="en-US" w:eastAsia="zh-CN"/>
              </w:rPr>
              <w:t>μ</w:t>
            </w:r>
            <w:r>
              <w:rPr>
                <w:rFonts w:cs="Times New Roman"/>
                <w:sz w:val="24"/>
                <w:highlight w:val="none"/>
              </w:rPr>
              <w:t>M·</w:t>
            </w:r>
            <w:r>
              <w:rPr>
                <w:rFonts w:hint="eastAsia" w:cs="Times New Roman"/>
                <w:sz w:val="24"/>
                <w:highlight w:val="none"/>
                <w:lang w:val="en-US" w:eastAsia="zh-CN"/>
              </w:rPr>
              <w:t>s</w:t>
            </w:r>
            <w:r>
              <w:rPr>
                <w:rFonts w:cs="Times New Roman"/>
                <w:sz w:val="24"/>
                <w:highlight w:val="none"/>
                <w:vertAlign w:val="superscript"/>
              </w:rPr>
              <w:t>-1</w:t>
            </w:r>
          </w:p>
        </w:tc>
        <w:tc>
          <w:tcPr>
            <w:tcW w:w="925" w:type="pct"/>
            <w:tcBorders>
              <w:top w:val="nil"/>
              <w:bottom w:val="nil"/>
            </w:tcBorders>
            <w:shd w:val="clear"/>
            <w:vAlign w:val="center"/>
          </w:tcPr>
          <w:p w14:paraId="4888B506">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hint="eastAsia"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rFonts w:hint="eastAsia"/>
                <w:sz w:val="24"/>
                <w:szCs w:val="24"/>
                <w:highlight w:val="none"/>
                <w:lang w:val="en-US" w:eastAsia="zh-CN"/>
              </w:rPr>
              <w:t>2</w:t>
            </w:r>
          </w:p>
        </w:tc>
      </w:tr>
      <w:tr w14:paraId="235C47A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1421" w:type="pct"/>
            <w:tcBorders>
              <w:top w:val="nil"/>
              <w:bottom w:val="nil"/>
            </w:tcBorders>
            <w:shd w:val="clear"/>
            <w:vAlign w:val="center"/>
          </w:tcPr>
          <w:p w14:paraId="671B9C1F">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Ce-MOF-808</w:t>
            </w:r>
          </w:p>
        </w:tc>
        <w:tc>
          <w:tcPr>
            <w:tcW w:w="860" w:type="pct"/>
            <w:tcBorders>
              <w:top w:val="nil"/>
              <w:bottom w:val="nil"/>
            </w:tcBorders>
            <w:shd w:val="clear"/>
            <w:vAlign w:val="center"/>
          </w:tcPr>
          <w:p w14:paraId="29414747">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2,4-</w:t>
            </w:r>
            <w:r>
              <w:rPr>
                <w:rFonts w:hint="eastAsia"/>
                <w:sz w:val="24"/>
                <w:szCs w:val="24"/>
                <w:highlight w:val="none"/>
                <w:lang w:val="de-DE"/>
              </w:rPr>
              <w:t>DP</w:t>
            </w:r>
          </w:p>
        </w:tc>
        <w:tc>
          <w:tcPr>
            <w:tcW w:w="930" w:type="pct"/>
            <w:tcBorders>
              <w:top w:val="nil"/>
              <w:bottom w:val="nil"/>
            </w:tcBorders>
            <w:shd w:val="clear"/>
            <w:vAlign w:val="center"/>
          </w:tcPr>
          <w:p w14:paraId="4858257E">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sz w:val="24"/>
                <w:szCs w:val="24"/>
                <w:highlight w:val="none"/>
                <w:lang w:val="de-DE"/>
              </w:rPr>
              <w:t>0.</w:t>
            </w:r>
            <w:r>
              <w:rPr>
                <w:rFonts w:hint="eastAsia"/>
                <w:sz w:val="24"/>
                <w:szCs w:val="24"/>
                <w:highlight w:val="none"/>
                <w:lang w:val="de-DE"/>
              </w:rPr>
              <w:t>13</w:t>
            </w:r>
            <w:r>
              <w:rPr>
                <w:sz w:val="24"/>
                <w:szCs w:val="24"/>
                <w:highlight w:val="none"/>
                <w:lang w:val="de-DE"/>
              </w:rPr>
              <w:t xml:space="preserve"> mM</w:t>
            </w:r>
          </w:p>
        </w:tc>
        <w:tc>
          <w:tcPr>
            <w:tcW w:w="862" w:type="pct"/>
            <w:tcBorders>
              <w:top w:val="nil"/>
              <w:bottom w:val="nil"/>
            </w:tcBorders>
            <w:shd w:val="clear"/>
            <w:vAlign w:val="center"/>
          </w:tcPr>
          <w:p w14:paraId="78A31D2D">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rFonts w:hint="eastAsia"/>
                <w:sz w:val="24"/>
                <w:szCs w:val="24"/>
                <w:highlight w:val="none"/>
                <w:lang w:val="de-DE"/>
              </w:rPr>
              <w:t>0.037</w:t>
            </w:r>
            <w:r>
              <w:rPr>
                <w:sz w:val="24"/>
                <w:szCs w:val="24"/>
                <w:highlight w:val="none"/>
                <w:lang w:val="de-DE"/>
              </w:rPr>
              <w:t xml:space="preserve"> </w:t>
            </w:r>
            <w:r>
              <w:rPr>
                <w:rFonts w:hint="default" w:ascii="Times New Roman" w:hAnsi="Times New Roman" w:cs="Times New Roman"/>
                <w:sz w:val="24"/>
                <w:highlight w:val="none"/>
                <w:lang w:val="en-US" w:eastAsia="zh-CN"/>
              </w:rPr>
              <w:t>μ</w:t>
            </w:r>
            <w:r>
              <w:rPr>
                <w:rFonts w:cs="Times New Roman"/>
                <w:sz w:val="24"/>
                <w:highlight w:val="none"/>
              </w:rPr>
              <w:t>M·</w:t>
            </w:r>
            <w:r>
              <w:rPr>
                <w:rFonts w:hint="eastAsia" w:cs="Times New Roman"/>
                <w:sz w:val="24"/>
                <w:highlight w:val="none"/>
                <w:lang w:val="en-US" w:eastAsia="zh-CN"/>
              </w:rPr>
              <w:t>s</w:t>
            </w:r>
            <w:r>
              <w:rPr>
                <w:rFonts w:cs="Times New Roman"/>
                <w:sz w:val="24"/>
                <w:highlight w:val="none"/>
                <w:vertAlign w:val="superscript"/>
              </w:rPr>
              <w:t>-1</w:t>
            </w:r>
          </w:p>
        </w:tc>
        <w:tc>
          <w:tcPr>
            <w:tcW w:w="925" w:type="pct"/>
            <w:tcBorders>
              <w:top w:val="nil"/>
              <w:bottom w:val="nil"/>
            </w:tcBorders>
            <w:shd w:val="clear"/>
            <w:vAlign w:val="center"/>
          </w:tcPr>
          <w:p w14:paraId="24A32F5A">
            <w:pPr>
              <w:keepNext w:val="0"/>
              <w:keepLines w:val="0"/>
              <w:pageBreakBefore w:val="0"/>
              <w:widowControl/>
              <w:kinsoku/>
              <w:wordWrap/>
              <w:overflowPunct/>
              <w:topLinePunct w:val="0"/>
              <w:autoSpaceDE/>
              <w:autoSpaceDN/>
              <w:bidi w:val="0"/>
              <w:adjustRightInd/>
              <w:snapToGrid/>
              <w:spacing w:line="480" w:lineRule="auto"/>
              <w:ind w:right="0" w:rightChars="0" w:firstLine="0" w:firstLineChars="0"/>
              <w:jc w:val="center"/>
              <w:textAlignment w:val="auto"/>
              <w:rPr>
                <w:rFonts w:hint="eastAsia" w:ascii="Times New Roman" w:hAnsi="Times New Roman" w:eastAsia="宋体" w:cs="Segoe UI"/>
                <w:color w:val="000000" w:themeColor="text1"/>
                <w:kern w:val="2"/>
                <w:sz w:val="24"/>
                <w:szCs w:val="24"/>
                <w:highlight w:val="none"/>
                <w:lang w:val="de-DE" w:eastAsia="zh-CN" w:bidi="ar-SA"/>
                <w14:textFill>
                  <w14:solidFill>
                    <w14:schemeClr w14:val="tx1"/>
                  </w14:solidFill>
                </w14:textFill>
                <w14:ligatures w14:val="standardContextual"/>
              </w:rPr>
            </w:pPr>
            <w:r>
              <w:rPr>
                <w:rFonts w:hint="eastAsia"/>
                <w:sz w:val="24"/>
                <w:szCs w:val="24"/>
                <w:highlight w:val="none"/>
                <w:lang w:val="en-US" w:eastAsia="zh-CN"/>
              </w:rPr>
              <w:t>3</w:t>
            </w:r>
          </w:p>
        </w:tc>
      </w:tr>
      <w:tr w14:paraId="652260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1421" w:type="pct"/>
            <w:tcBorders>
              <w:top w:val="nil"/>
              <w:bottom w:val="nil"/>
            </w:tcBorders>
            <w:vAlign w:val="center"/>
          </w:tcPr>
          <w:p w14:paraId="263638E6">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sz w:val="24"/>
                <w:szCs w:val="24"/>
                <w:highlight w:val="none"/>
                <w:lang w:val="de-DE"/>
              </w:rPr>
              <w:t>Cu-Cys@COF-OMe</w:t>
            </w:r>
          </w:p>
        </w:tc>
        <w:tc>
          <w:tcPr>
            <w:tcW w:w="860" w:type="pct"/>
            <w:tcBorders>
              <w:top w:val="nil"/>
              <w:bottom w:val="nil"/>
            </w:tcBorders>
            <w:vAlign w:val="center"/>
          </w:tcPr>
          <w:p w14:paraId="093197DD">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sz w:val="24"/>
                <w:szCs w:val="24"/>
                <w:highlight w:val="none"/>
                <w:lang w:val="de-DE"/>
              </w:rPr>
              <w:t>2,4-</w:t>
            </w:r>
            <w:r>
              <w:rPr>
                <w:rFonts w:hint="eastAsia"/>
                <w:sz w:val="24"/>
                <w:szCs w:val="24"/>
                <w:highlight w:val="none"/>
                <w:lang w:val="de-DE"/>
              </w:rPr>
              <w:t>DP</w:t>
            </w:r>
          </w:p>
        </w:tc>
        <w:tc>
          <w:tcPr>
            <w:tcW w:w="930" w:type="pct"/>
            <w:tcBorders>
              <w:top w:val="nil"/>
              <w:bottom w:val="nil"/>
            </w:tcBorders>
            <w:vAlign w:val="center"/>
          </w:tcPr>
          <w:p w14:paraId="4E9BB7A0">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sz w:val="24"/>
                <w:szCs w:val="24"/>
                <w:highlight w:val="none"/>
                <w:lang w:val="de-DE"/>
              </w:rPr>
              <w:t>0.75 mM</w:t>
            </w:r>
          </w:p>
        </w:tc>
        <w:tc>
          <w:tcPr>
            <w:tcW w:w="862" w:type="pct"/>
            <w:tcBorders>
              <w:top w:val="nil"/>
              <w:bottom w:val="nil"/>
            </w:tcBorders>
            <w:vAlign w:val="center"/>
          </w:tcPr>
          <w:p w14:paraId="46E053C2">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rFonts w:hint="eastAsia"/>
                <w:sz w:val="24"/>
                <w:szCs w:val="24"/>
                <w:highlight w:val="none"/>
                <w:lang w:val="de-DE"/>
              </w:rPr>
              <w:t>16.83</w:t>
            </w:r>
            <w:r>
              <w:rPr>
                <w:sz w:val="24"/>
                <w:szCs w:val="24"/>
                <w:highlight w:val="none"/>
                <w:lang w:val="de-DE"/>
              </w:rPr>
              <w:t xml:space="preserve"> </w:t>
            </w:r>
            <w:r>
              <w:rPr>
                <w:rFonts w:hint="default" w:ascii="Times New Roman" w:hAnsi="Times New Roman" w:cs="Times New Roman"/>
                <w:sz w:val="24"/>
                <w:highlight w:val="none"/>
                <w:lang w:val="en-US" w:eastAsia="zh-CN"/>
              </w:rPr>
              <w:t>μ</w:t>
            </w:r>
            <w:r>
              <w:rPr>
                <w:rFonts w:cs="Times New Roman"/>
                <w:sz w:val="24"/>
                <w:highlight w:val="none"/>
              </w:rPr>
              <w:t>M·</w:t>
            </w:r>
            <w:r>
              <w:rPr>
                <w:rFonts w:hint="eastAsia" w:cs="Times New Roman"/>
                <w:sz w:val="24"/>
                <w:highlight w:val="none"/>
                <w:lang w:val="en-US" w:eastAsia="zh-CN"/>
              </w:rPr>
              <w:t>s</w:t>
            </w:r>
            <w:r>
              <w:rPr>
                <w:rFonts w:cs="Times New Roman"/>
                <w:sz w:val="24"/>
                <w:highlight w:val="none"/>
                <w:vertAlign w:val="superscript"/>
              </w:rPr>
              <w:t>-1</w:t>
            </w:r>
          </w:p>
        </w:tc>
        <w:tc>
          <w:tcPr>
            <w:tcW w:w="925" w:type="pct"/>
            <w:tcBorders>
              <w:top w:val="nil"/>
              <w:bottom w:val="nil"/>
            </w:tcBorders>
            <w:vAlign w:val="center"/>
          </w:tcPr>
          <w:p w14:paraId="26FA2321">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rFonts w:hint="eastAsia" w:eastAsia="宋体"/>
                <w:sz w:val="24"/>
                <w:szCs w:val="24"/>
                <w:highlight w:val="none"/>
                <w:lang w:val="de-DE" w:eastAsia="zh-CN"/>
              </w:rPr>
            </w:pPr>
            <w:r>
              <w:rPr>
                <w:rFonts w:hint="eastAsia"/>
                <w:sz w:val="24"/>
                <w:szCs w:val="24"/>
                <w:highlight w:val="none"/>
                <w:lang w:val="en-US" w:eastAsia="zh-CN"/>
              </w:rPr>
              <w:t>4</w:t>
            </w:r>
          </w:p>
        </w:tc>
      </w:tr>
      <w:tr w14:paraId="321E1B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0" w:type="dxa"/>
            <w:bottom w:w="0" w:type="dxa"/>
            <w:right w:w="0" w:type="dxa"/>
          </w:tblCellMar>
        </w:tblPrEx>
        <w:trPr>
          <w:trHeight w:val="113" w:hRule="atLeast"/>
          <w:jc w:val="center"/>
        </w:trPr>
        <w:tc>
          <w:tcPr>
            <w:tcW w:w="1421" w:type="pct"/>
            <w:tcBorders>
              <w:top w:val="nil"/>
            </w:tcBorders>
            <w:vAlign w:val="center"/>
          </w:tcPr>
          <w:p w14:paraId="71796D7A">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rPr>
            </w:pPr>
            <w:r>
              <w:rPr>
                <w:rFonts w:cs="Times New Roman"/>
                <w:sz w:val="24"/>
                <w:highlight w:val="none"/>
              </w:rPr>
              <w:t>Cu-Ni/HCOF</w:t>
            </w:r>
          </w:p>
        </w:tc>
        <w:tc>
          <w:tcPr>
            <w:tcW w:w="860" w:type="pct"/>
            <w:tcBorders>
              <w:top w:val="nil"/>
            </w:tcBorders>
            <w:vAlign w:val="center"/>
          </w:tcPr>
          <w:p w14:paraId="5A69C666">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sz w:val="24"/>
                <w:szCs w:val="24"/>
                <w:highlight w:val="none"/>
                <w:lang w:val="de-DE"/>
              </w:rPr>
              <w:t>2,4-</w:t>
            </w:r>
            <w:r>
              <w:rPr>
                <w:rFonts w:hint="eastAsia"/>
                <w:sz w:val="24"/>
                <w:szCs w:val="24"/>
                <w:highlight w:val="none"/>
                <w:lang w:val="de-DE"/>
              </w:rPr>
              <w:t>DP</w:t>
            </w:r>
          </w:p>
        </w:tc>
        <w:tc>
          <w:tcPr>
            <w:tcW w:w="930" w:type="pct"/>
            <w:tcBorders>
              <w:top w:val="nil"/>
            </w:tcBorders>
            <w:vAlign w:val="center"/>
          </w:tcPr>
          <w:p w14:paraId="26ED123F">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rFonts w:cs="Times New Roman"/>
                <w:sz w:val="24"/>
                <w:highlight w:val="none"/>
              </w:rPr>
              <w:t>0.14</w:t>
            </w:r>
            <w:r>
              <w:rPr>
                <w:sz w:val="24"/>
                <w:szCs w:val="24"/>
                <w:highlight w:val="none"/>
                <w:lang w:val="de-DE"/>
              </w:rPr>
              <w:t xml:space="preserve"> mM</w:t>
            </w:r>
          </w:p>
        </w:tc>
        <w:tc>
          <w:tcPr>
            <w:tcW w:w="862" w:type="pct"/>
            <w:tcBorders>
              <w:top w:val="nil"/>
            </w:tcBorders>
            <w:vAlign w:val="center"/>
          </w:tcPr>
          <w:p w14:paraId="6FE1B088">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rFonts w:cs="Times New Roman"/>
                <w:sz w:val="24"/>
                <w:highlight w:val="none"/>
              </w:rPr>
              <w:t>0.</w:t>
            </w:r>
            <w:r>
              <w:rPr>
                <w:rFonts w:hint="eastAsia" w:cs="Times New Roman"/>
                <w:sz w:val="24"/>
                <w:highlight w:val="none"/>
                <w:lang w:val="en-US" w:eastAsia="zh-CN"/>
              </w:rPr>
              <w:t>26</w:t>
            </w:r>
            <w:r>
              <w:rPr>
                <w:rFonts w:cs="Times New Roman"/>
                <w:sz w:val="24"/>
                <w:highlight w:val="none"/>
              </w:rPr>
              <w:t xml:space="preserve"> </w:t>
            </w:r>
            <w:r>
              <w:rPr>
                <w:rFonts w:hint="default" w:ascii="Times New Roman" w:hAnsi="Times New Roman" w:cs="Times New Roman"/>
                <w:sz w:val="24"/>
                <w:highlight w:val="none"/>
                <w:lang w:val="en-US" w:eastAsia="zh-CN"/>
              </w:rPr>
              <w:t>μ</w:t>
            </w:r>
            <w:r>
              <w:rPr>
                <w:rFonts w:cs="Times New Roman"/>
                <w:sz w:val="24"/>
                <w:highlight w:val="none"/>
              </w:rPr>
              <w:t>M·</w:t>
            </w:r>
            <w:r>
              <w:rPr>
                <w:rFonts w:hint="eastAsia" w:cs="Times New Roman"/>
                <w:sz w:val="24"/>
                <w:highlight w:val="none"/>
                <w:lang w:val="en-US" w:eastAsia="zh-CN"/>
              </w:rPr>
              <w:t>s</w:t>
            </w:r>
            <w:r>
              <w:rPr>
                <w:rFonts w:cs="Times New Roman"/>
                <w:sz w:val="24"/>
                <w:highlight w:val="none"/>
                <w:vertAlign w:val="superscript"/>
              </w:rPr>
              <w:t>-1</w:t>
            </w:r>
          </w:p>
        </w:tc>
        <w:tc>
          <w:tcPr>
            <w:tcW w:w="925" w:type="pct"/>
            <w:tcBorders>
              <w:top w:val="nil"/>
            </w:tcBorders>
            <w:vAlign w:val="center"/>
          </w:tcPr>
          <w:p w14:paraId="403E53B5">
            <w:pPr>
              <w:keepNext w:val="0"/>
              <w:keepLines w:val="0"/>
              <w:pageBreakBefore w:val="0"/>
              <w:widowControl/>
              <w:kinsoku/>
              <w:wordWrap/>
              <w:overflowPunct/>
              <w:topLinePunct w:val="0"/>
              <w:autoSpaceDE/>
              <w:autoSpaceDN/>
              <w:bidi w:val="0"/>
              <w:adjustRightInd/>
              <w:snapToGrid/>
              <w:spacing w:line="480" w:lineRule="auto"/>
              <w:ind w:right="0" w:firstLine="0" w:firstLineChars="0"/>
              <w:jc w:val="center"/>
              <w:textAlignment w:val="auto"/>
              <w:rPr>
                <w:sz w:val="24"/>
                <w:szCs w:val="24"/>
                <w:highlight w:val="none"/>
                <w:lang w:val="de-DE"/>
              </w:rPr>
            </w:pPr>
            <w:r>
              <w:rPr>
                <w:sz w:val="24"/>
                <w:szCs w:val="24"/>
                <w:highlight w:val="none"/>
                <w:lang w:val="de-DE"/>
              </w:rPr>
              <w:t>This work</w:t>
            </w:r>
          </w:p>
        </w:tc>
      </w:tr>
    </w:tbl>
    <w:p w14:paraId="5B50C7E3">
      <w:pPr>
        <w:spacing w:line="480" w:lineRule="auto"/>
        <w:ind w:firstLine="0" w:firstLineChars="0"/>
        <w:rPr>
          <w:rFonts w:cs="Times New Roman"/>
          <w:b w:val="0"/>
          <w:bCs/>
          <w:color w:val="auto"/>
          <w:sz w:val="24"/>
        </w:rPr>
      </w:pPr>
    </w:p>
    <w:p w14:paraId="571AF477">
      <w:pPr>
        <w:spacing w:line="480" w:lineRule="auto"/>
        <w:ind w:firstLine="0" w:firstLineChars="0"/>
        <w:rPr>
          <w:rFonts w:cs="Times New Roman"/>
          <w:color w:val="000000"/>
          <w:szCs w:val="28"/>
        </w:rPr>
      </w:pPr>
      <w:r>
        <w:rPr>
          <w:rFonts w:cs="Times New Roman"/>
          <w:b/>
          <w:color w:val="000000"/>
          <w:sz w:val="24"/>
        </w:rPr>
        <w:t>Table S</w:t>
      </w:r>
      <w:r>
        <w:rPr>
          <w:rFonts w:hint="eastAsia" w:cs="Times New Roman"/>
          <w:b/>
          <w:color w:val="000000"/>
          <w:sz w:val="24"/>
          <w:lang w:val="en-US" w:eastAsia="zh-CN"/>
        </w:rPr>
        <w:t>2</w:t>
      </w:r>
      <w:r>
        <w:rPr>
          <w:rFonts w:cs="Times New Roman"/>
          <w:b/>
          <w:color w:val="000000"/>
          <w:sz w:val="24"/>
        </w:rPr>
        <w:t xml:space="preserve"> </w:t>
      </w:r>
      <w:r>
        <w:rPr>
          <w:rFonts w:cs="Times New Roman"/>
          <w:color w:val="000000"/>
          <w:sz w:val="24"/>
        </w:rPr>
        <w:t xml:space="preserve">Comparison of different </w:t>
      </w:r>
      <w:r>
        <w:rPr>
          <w:rFonts w:hint="eastAsia" w:cs="Times New Roman"/>
          <w:color w:val="000000"/>
          <w:sz w:val="24"/>
        </w:rPr>
        <w:t>reported methods for determination of EP.</w:t>
      </w:r>
      <w:r>
        <w:rPr>
          <w:rFonts w:cs="Times New Roman"/>
          <w:color w:val="000000"/>
          <w:sz w:val="24"/>
        </w:rPr>
        <w:t xml:space="preserve"> </w:t>
      </w:r>
    </w:p>
    <w:tbl>
      <w:tblPr>
        <w:tblStyle w:val="10"/>
        <w:tblW w:w="8802"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9"/>
        <w:gridCol w:w="2304"/>
        <w:gridCol w:w="1934"/>
        <w:gridCol w:w="2045"/>
      </w:tblGrid>
      <w:tr w14:paraId="1E498F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9" w:type="dxa"/>
            <w:tcBorders>
              <w:top w:val="single" w:color="auto" w:sz="12" w:space="0"/>
              <w:left w:val="nil"/>
              <w:bottom w:val="single" w:color="auto" w:sz="12" w:space="0"/>
              <w:right w:val="nil"/>
            </w:tcBorders>
            <w:vAlign w:val="center"/>
          </w:tcPr>
          <w:p w14:paraId="402154DE">
            <w:pPr>
              <w:spacing w:line="480" w:lineRule="auto"/>
              <w:ind w:firstLine="0" w:firstLineChars="0"/>
              <w:jc w:val="center"/>
              <w:rPr>
                <w:rFonts w:cs="Times New Roman"/>
                <w:b/>
                <w:bCs/>
                <w:color w:val="000000"/>
                <w:sz w:val="24"/>
              </w:rPr>
            </w:pPr>
            <w:r>
              <w:rPr>
                <w:rFonts w:cs="Times New Roman"/>
                <w:b/>
                <w:bCs/>
                <w:color w:val="000000"/>
                <w:sz w:val="24"/>
              </w:rPr>
              <w:t>Methods</w:t>
            </w:r>
          </w:p>
        </w:tc>
        <w:tc>
          <w:tcPr>
            <w:tcW w:w="2304" w:type="dxa"/>
            <w:tcBorders>
              <w:top w:val="single" w:color="auto" w:sz="12" w:space="0"/>
              <w:left w:val="nil"/>
              <w:bottom w:val="single" w:color="auto" w:sz="12" w:space="0"/>
              <w:right w:val="nil"/>
            </w:tcBorders>
            <w:vAlign w:val="center"/>
          </w:tcPr>
          <w:p w14:paraId="59C1A81B">
            <w:pPr>
              <w:spacing w:line="480" w:lineRule="auto"/>
              <w:ind w:firstLine="0" w:firstLineChars="0"/>
              <w:jc w:val="center"/>
              <w:rPr>
                <w:rFonts w:cs="Times New Roman"/>
                <w:b/>
                <w:bCs/>
                <w:color w:val="000000"/>
                <w:sz w:val="24"/>
              </w:rPr>
            </w:pPr>
            <w:r>
              <w:rPr>
                <w:rFonts w:cs="Times New Roman"/>
                <w:b/>
                <w:bCs/>
                <w:color w:val="000000"/>
                <w:sz w:val="24"/>
              </w:rPr>
              <w:t>Liner range</w:t>
            </w:r>
          </w:p>
        </w:tc>
        <w:tc>
          <w:tcPr>
            <w:tcW w:w="1934" w:type="dxa"/>
            <w:tcBorders>
              <w:top w:val="single" w:color="auto" w:sz="12" w:space="0"/>
              <w:left w:val="nil"/>
              <w:bottom w:val="single" w:color="auto" w:sz="12" w:space="0"/>
              <w:right w:val="nil"/>
            </w:tcBorders>
            <w:vAlign w:val="center"/>
          </w:tcPr>
          <w:p w14:paraId="755AFD61">
            <w:pPr>
              <w:spacing w:line="480" w:lineRule="auto"/>
              <w:ind w:firstLine="0" w:firstLineChars="0"/>
              <w:jc w:val="center"/>
              <w:rPr>
                <w:rFonts w:cs="Times New Roman"/>
                <w:b/>
                <w:bCs/>
                <w:color w:val="000000"/>
                <w:sz w:val="24"/>
              </w:rPr>
            </w:pPr>
            <w:r>
              <w:rPr>
                <w:rFonts w:cs="Times New Roman"/>
                <w:b/>
                <w:bCs/>
                <w:color w:val="000000"/>
                <w:sz w:val="24"/>
              </w:rPr>
              <w:t>LOD</w:t>
            </w:r>
          </w:p>
        </w:tc>
        <w:tc>
          <w:tcPr>
            <w:tcW w:w="2045" w:type="dxa"/>
            <w:tcBorders>
              <w:top w:val="single" w:color="auto" w:sz="12" w:space="0"/>
              <w:left w:val="nil"/>
              <w:bottom w:val="single" w:color="auto" w:sz="12" w:space="0"/>
              <w:right w:val="nil"/>
            </w:tcBorders>
            <w:vAlign w:val="center"/>
          </w:tcPr>
          <w:p w14:paraId="3EB76FD2">
            <w:pPr>
              <w:spacing w:line="480" w:lineRule="auto"/>
              <w:ind w:firstLine="0" w:firstLineChars="0"/>
              <w:jc w:val="center"/>
              <w:rPr>
                <w:rFonts w:cs="Times New Roman"/>
                <w:b/>
                <w:bCs/>
                <w:color w:val="000000"/>
                <w:sz w:val="24"/>
              </w:rPr>
            </w:pPr>
            <w:r>
              <w:rPr>
                <w:rFonts w:cs="Times New Roman"/>
                <w:b/>
                <w:bCs/>
                <w:color w:val="000000"/>
                <w:sz w:val="24"/>
              </w:rPr>
              <w:t>Reference</w:t>
            </w:r>
          </w:p>
        </w:tc>
      </w:tr>
      <w:tr w14:paraId="0597BF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2519" w:type="dxa"/>
            <w:tcBorders>
              <w:top w:val="single" w:color="auto" w:sz="12" w:space="0"/>
              <w:left w:val="nil"/>
              <w:bottom w:val="nil"/>
              <w:right w:val="nil"/>
            </w:tcBorders>
            <w:vAlign w:val="center"/>
          </w:tcPr>
          <w:p w14:paraId="07095A6D">
            <w:pPr>
              <w:spacing w:line="480" w:lineRule="auto"/>
              <w:ind w:firstLine="0" w:firstLineChars="0"/>
              <w:jc w:val="center"/>
              <w:rPr>
                <w:rFonts w:cs="Times New Roman"/>
                <w:color w:val="000000"/>
                <w:sz w:val="24"/>
              </w:rPr>
            </w:pPr>
            <w:r>
              <w:rPr>
                <w:rFonts w:cs="Times New Roman"/>
                <w:color w:val="000000"/>
                <w:sz w:val="24"/>
              </w:rPr>
              <w:t>Colorimetry</w:t>
            </w:r>
          </w:p>
        </w:tc>
        <w:tc>
          <w:tcPr>
            <w:tcW w:w="2304" w:type="dxa"/>
            <w:tcBorders>
              <w:top w:val="single" w:color="auto" w:sz="12" w:space="0"/>
              <w:left w:val="nil"/>
              <w:bottom w:val="nil"/>
              <w:right w:val="nil"/>
            </w:tcBorders>
            <w:vAlign w:val="center"/>
          </w:tcPr>
          <w:p w14:paraId="0CDEC8B7">
            <w:pPr>
              <w:spacing w:line="480" w:lineRule="auto"/>
              <w:ind w:firstLine="0" w:firstLineChars="0"/>
              <w:jc w:val="center"/>
              <w:rPr>
                <w:rFonts w:cs="Times New Roman"/>
                <w:color w:val="000000"/>
                <w:sz w:val="24"/>
              </w:rPr>
            </w:pPr>
            <w:r>
              <w:rPr>
                <w:rFonts w:cs="Times New Roman"/>
                <w:color w:val="000000"/>
                <w:sz w:val="24"/>
              </w:rPr>
              <w:t>3~20 μg mL</w:t>
            </w:r>
            <w:r>
              <w:rPr>
                <w:rFonts w:cs="Times New Roman"/>
                <w:color w:val="000000"/>
                <w:sz w:val="24"/>
                <w:vertAlign w:val="superscript"/>
              </w:rPr>
              <w:t>-1</w:t>
            </w:r>
          </w:p>
        </w:tc>
        <w:tc>
          <w:tcPr>
            <w:tcW w:w="1934" w:type="dxa"/>
            <w:tcBorders>
              <w:top w:val="single" w:color="auto" w:sz="12" w:space="0"/>
              <w:left w:val="nil"/>
              <w:bottom w:val="nil"/>
              <w:right w:val="nil"/>
            </w:tcBorders>
            <w:vAlign w:val="center"/>
          </w:tcPr>
          <w:p w14:paraId="59C6C209">
            <w:pPr>
              <w:spacing w:line="480" w:lineRule="auto"/>
              <w:ind w:firstLine="0" w:firstLineChars="0"/>
              <w:jc w:val="center"/>
              <w:rPr>
                <w:rFonts w:cs="Times New Roman"/>
                <w:color w:val="000000"/>
                <w:sz w:val="24"/>
              </w:rPr>
            </w:pPr>
            <w:r>
              <w:rPr>
                <w:rFonts w:cs="Times New Roman"/>
                <w:color w:val="000000"/>
                <w:sz w:val="24"/>
              </w:rPr>
              <w:t>0.42 μg mL</w:t>
            </w:r>
            <w:r>
              <w:rPr>
                <w:rFonts w:cs="Times New Roman"/>
                <w:color w:val="000000"/>
                <w:sz w:val="24"/>
                <w:vertAlign w:val="superscript"/>
              </w:rPr>
              <w:t>-1</w:t>
            </w:r>
          </w:p>
        </w:tc>
        <w:tc>
          <w:tcPr>
            <w:tcW w:w="2045" w:type="dxa"/>
            <w:tcBorders>
              <w:top w:val="single" w:color="auto" w:sz="12" w:space="0"/>
              <w:left w:val="nil"/>
              <w:bottom w:val="nil"/>
              <w:right w:val="nil"/>
            </w:tcBorders>
            <w:vAlign w:val="center"/>
          </w:tcPr>
          <w:p w14:paraId="390EBDE5">
            <w:pPr>
              <w:spacing w:line="480" w:lineRule="auto"/>
              <w:ind w:firstLine="0" w:firstLineChars="0"/>
              <w:jc w:val="center"/>
              <w:rPr>
                <w:rFonts w:hint="eastAsia" w:eastAsia="宋体" w:cs="Times New Roman"/>
                <w:color w:val="000000"/>
                <w:sz w:val="24"/>
                <w:lang w:eastAsia="zh-CN"/>
              </w:rPr>
            </w:pPr>
            <w:r>
              <w:rPr>
                <w:rFonts w:hint="eastAsia"/>
                <w:color w:val="000000"/>
                <w:kern w:val="0"/>
                <w:sz w:val="24"/>
                <w:lang w:val="en-US" w:eastAsia="zh-CN"/>
              </w:rPr>
              <w:t>5</w:t>
            </w:r>
          </w:p>
        </w:tc>
      </w:tr>
      <w:tr w14:paraId="1C9CD2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9" w:type="dxa"/>
            <w:tcBorders>
              <w:top w:val="nil"/>
              <w:left w:val="nil"/>
              <w:bottom w:val="nil"/>
              <w:right w:val="nil"/>
            </w:tcBorders>
            <w:vAlign w:val="center"/>
          </w:tcPr>
          <w:p w14:paraId="29A8CB5E">
            <w:pPr>
              <w:spacing w:line="480" w:lineRule="auto"/>
              <w:ind w:firstLine="0" w:firstLineChars="0"/>
              <w:jc w:val="center"/>
              <w:rPr>
                <w:rFonts w:cs="Times New Roman"/>
                <w:color w:val="000000"/>
                <w:sz w:val="24"/>
              </w:rPr>
            </w:pPr>
            <w:r>
              <w:rPr>
                <w:rFonts w:cs="Times New Roman"/>
                <w:color w:val="000000"/>
                <w:sz w:val="24"/>
              </w:rPr>
              <w:t>Electrochemistry</w:t>
            </w:r>
          </w:p>
        </w:tc>
        <w:tc>
          <w:tcPr>
            <w:tcW w:w="2304" w:type="dxa"/>
            <w:tcBorders>
              <w:top w:val="nil"/>
              <w:left w:val="nil"/>
              <w:bottom w:val="nil"/>
              <w:right w:val="nil"/>
            </w:tcBorders>
            <w:vAlign w:val="center"/>
          </w:tcPr>
          <w:p w14:paraId="4B8EAA91">
            <w:pPr>
              <w:spacing w:line="480" w:lineRule="auto"/>
              <w:ind w:firstLine="0" w:firstLineChars="0"/>
              <w:jc w:val="center"/>
              <w:rPr>
                <w:rFonts w:cs="Times New Roman"/>
                <w:color w:val="000000"/>
                <w:sz w:val="24"/>
              </w:rPr>
            </w:pPr>
            <w:r>
              <w:rPr>
                <w:rFonts w:cs="Times New Roman"/>
                <w:color w:val="000000"/>
                <w:sz w:val="24"/>
              </w:rPr>
              <w:t>10 ~ 640 μM</w:t>
            </w:r>
          </w:p>
        </w:tc>
        <w:tc>
          <w:tcPr>
            <w:tcW w:w="1934" w:type="dxa"/>
            <w:tcBorders>
              <w:top w:val="nil"/>
              <w:left w:val="nil"/>
              <w:bottom w:val="nil"/>
              <w:right w:val="nil"/>
            </w:tcBorders>
            <w:vAlign w:val="center"/>
          </w:tcPr>
          <w:p w14:paraId="3B325936">
            <w:pPr>
              <w:spacing w:line="480" w:lineRule="auto"/>
              <w:ind w:firstLine="0" w:firstLineChars="0"/>
              <w:jc w:val="center"/>
              <w:rPr>
                <w:rFonts w:cs="Times New Roman"/>
                <w:color w:val="000000"/>
                <w:sz w:val="24"/>
              </w:rPr>
            </w:pPr>
            <w:r>
              <w:rPr>
                <w:rFonts w:cs="Times New Roman"/>
                <w:color w:val="000000"/>
                <w:sz w:val="24"/>
              </w:rPr>
              <w:t>1.4 μM</w:t>
            </w:r>
          </w:p>
        </w:tc>
        <w:tc>
          <w:tcPr>
            <w:tcW w:w="2045" w:type="dxa"/>
            <w:tcBorders>
              <w:top w:val="nil"/>
              <w:left w:val="nil"/>
              <w:bottom w:val="nil"/>
              <w:right w:val="nil"/>
            </w:tcBorders>
            <w:vAlign w:val="center"/>
          </w:tcPr>
          <w:p w14:paraId="159552F9">
            <w:pPr>
              <w:spacing w:line="480" w:lineRule="auto"/>
              <w:ind w:firstLine="0" w:firstLineChars="0"/>
              <w:jc w:val="center"/>
              <w:rPr>
                <w:rFonts w:hint="eastAsia" w:eastAsia="宋体" w:cs="Times New Roman"/>
                <w:color w:val="000000"/>
                <w:sz w:val="24"/>
                <w:lang w:eastAsia="zh-CN"/>
              </w:rPr>
            </w:pPr>
            <w:r>
              <w:rPr>
                <w:rFonts w:hint="eastAsia"/>
                <w:color w:val="000000"/>
                <w:kern w:val="0"/>
                <w:sz w:val="24"/>
                <w:lang w:val="en-US" w:eastAsia="zh-CN"/>
              </w:rPr>
              <w:t>6</w:t>
            </w:r>
          </w:p>
        </w:tc>
      </w:tr>
      <w:tr w14:paraId="31F853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9" w:type="dxa"/>
            <w:tcBorders>
              <w:top w:val="nil"/>
              <w:left w:val="nil"/>
              <w:bottom w:val="nil"/>
              <w:right w:val="nil"/>
            </w:tcBorders>
            <w:vAlign w:val="center"/>
          </w:tcPr>
          <w:p w14:paraId="4747537A">
            <w:pPr>
              <w:spacing w:line="480" w:lineRule="auto"/>
              <w:ind w:firstLine="0" w:firstLineChars="0"/>
              <w:jc w:val="center"/>
              <w:rPr>
                <w:rFonts w:cs="Times New Roman"/>
                <w:color w:val="000000"/>
                <w:sz w:val="24"/>
              </w:rPr>
            </w:pPr>
            <w:r>
              <w:rPr>
                <w:rFonts w:cs="Times New Roman"/>
                <w:color w:val="000000"/>
                <w:sz w:val="24"/>
              </w:rPr>
              <w:t>Colorimetry</w:t>
            </w:r>
          </w:p>
        </w:tc>
        <w:tc>
          <w:tcPr>
            <w:tcW w:w="2304" w:type="dxa"/>
            <w:tcBorders>
              <w:top w:val="nil"/>
              <w:left w:val="nil"/>
              <w:bottom w:val="nil"/>
              <w:right w:val="nil"/>
            </w:tcBorders>
            <w:vAlign w:val="center"/>
          </w:tcPr>
          <w:p w14:paraId="165A55C0">
            <w:pPr>
              <w:spacing w:line="480" w:lineRule="auto"/>
              <w:ind w:firstLine="0" w:firstLineChars="0"/>
              <w:jc w:val="center"/>
              <w:rPr>
                <w:rFonts w:cs="Times New Roman"/>
                <w:color w:val="000000"/>
                <w:sz w:val="24"/>
              </w:rPr>
            </w:pPr>
            <w:r>
              <w:rPr>
                <w:rFonts w:cs="Times New Roman"/>
                <w:color w:val="000000"/>
                <w:sz w:val="24"/>
              </w:rPr>
              <w:t>2-100 μM</w:t>
            </w:r>
          </w:p>
        </w:tc>
        <w:tc>
          <w:tcPr>
            <w:tcW w:w="1934" w:type="dxa"/>
            <w:tcBorders>
              <w:top w:val="nil"/>
              <w:left w:val="nil"/>
              <w:bottom w:val="nil"/>
              <w:right w:val="nil"/>
            </w:tcBorders>
            <w:vAlign w:val="center"/>
          </w:tcPr>
          <w:p w14:paraId="229865D7">
            <w:pPr>
              <w:spacing w:line="480" w:lineRule="auto"/>
              <w:ind w:firstLine="0" w:firstLineChars="0"/>
              <w:jc w:val="center"/>
              <w:rPr>
                <w:rFonts w:cs="Times New Roman"/>
                <w:color w:val="000000"/>
                <w:sz w:val="24"/>
              </w:rPr>
            </w:pPr>
            <w:r>
              <w:rPr>
                <w:rFonts w:cs="Times New Roman"/>
                <w:color w:val="000000"/>
                <w:sz w:val="24"/>
              </w:rPr>
              <w:t>0.97 μM</w:t>
            </w:r>
          </w:p>
        </w:tc>
        <w:tc>
          <w:tcPr>
            <w:tcW w:w="2045" w:type="dxa"/>
            <w:tcBorders>
              <w:top w:val="nil"/>
              <w:left w:val="nil"/>
              <w:bottom w:val="nil"/>
              <w:right w:val="nil"/>
            </w:tcBorders>
            <w:vAlign w:val="center"/>
          </w:tcPr>
          <w:p w14:paraId="4B87C0B2">
            <w:pPr>
              <w:spacing w:line="480" w:lineRule="auto"/>
              <w:ind w:firstLine="0" w:firstLineChars="0"/>
              <w:jc w:val="center"/>
              <w:rPr>
                <w:rFonts w:hint="eastAsia" w:eastAsia="宋体" w:cs="Times New Roman"/>
                <w:color w:val="000000"/>
                <w:sz w:val="24"/>
                <w:lang w:eastAsia="zh-CN"/>
              </w:rPr>
            </w:pPr>
            <w:r>
              <w:rPr>
                <w:rFonts w:hint="eastAsia"/>
                <w:color w:val="000000"/>
                <w:kern w:val="0"/>
                <w:sz w:val="24"/>
                <w:lang w:val="en-US" w:eastAsia="zh-CN"/>
              </w:rPr>
              <w:t>7</w:t>
            </w:r>
          </w:p>
        </w:tc>
      </w:tr>
      <w:tr w14:paraId="0DC544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9" w:type="dxa"/>
            <w:tcBorders>
              <w:top w:val="nil"/>
              <w:left w:val="nil"/>
              <w:bottom w:val="nil"/>
              <w:right w:val="nil"/>
            </w:tcBorders>
            <w:vAlign w:val="center"/>
          </w:tcPr>
          <w:p w14:paraId="1EA6DE2A">
            <w:pPr>
              <w:spacing w:line="480" w:lineRule="auto"/>
              <w:ind w:firstLine="0" w:firstLineChars="0"/>
              <w:jc w:val="center"/>
              <w:rPr>
                <w:rFonts w:cs="Times New Roman"/>
                <w:color w:val="000000"/>
                <w:sz w:val="24"/>
              </w:rPr>
            </w:pPr>
            <w:r>
              <w:rPr>
                <w:rFonts w:cs="Times New Roman"/>
                <w:color w:val="000000"/>
                <w:sz w:val="24"/>
              </w:rPr>
              <w:t>Fluorescence</w:t>
            </w:r>
          </w:p>
        </w:tc>
        <w:tc>
          <w:tcPr>
            <w:tcW w:w="2304" w:type="dxa"/>
            <w:tcBorders>
              <w:top w:val="nil"/>
              <w:left w:val="nil"/>
              <w:bottom w:val="nil"/>
              <w:right w:val="nil"/>
            </w:tcBorders>
            <w:vAlign w:val="center"/>
          </w:tcPr>
          <w:p w14:paraId="02A5B43F">
            <w:pPr>
              <w:spacing w:line="480" w:lineRule="auto"/>
              <w:ind w:firstLine="0" w:firstLineChars="0"/>
              <w:jc w:val="center"/>
              <w:rPr>
                <w:rFonts w:cs="Times New Roman"/>
                <w:color w:val="000000"/>
                <w:sz w:val="24"/>
              </w:rPr>
            </w:pPr>
            <w:r>
              <w:rPr>
                <w:rFonts w:cs="Times New Roman"/>
                <w:color w:val="000000"/>
                <w:sz w:val="24"/>
              </w:rPr>
              <w:t>1-120 μM</w:t>
            </w:r>
          </w:p>
        </w:tc>
        <w:tc>
          <w:tcPr>
            <w:tcW w:w="1934" w:type="dxa"/>
            <w:tcBorders>
              <w:top w:val="nil"/>
              <w:left w:val="nil"/>
              <w:bottom w:val="nil"/>
              <w:right w:val="nil"/>
            </w:tcBorders>
            <w:vAlign w:val="center"/>
          </w:tcPr>
          <w:p w14:paraId="2A009733">
            <w:pPr>
              <w:spacing w:line="480" w:lineRule="auto"/>
              <w:ind w:firstLine="0" w:firstLineChars="0"/>
              <w:jc w:val="center"/>
              <w:rPr>
                <w:rFonts w:cs="Times New Roman"/>
                <w:color w:val="000000"/>
                <w:sz w:val="24"/>
              </w:rPr>
            </w:pPr>
            <w:r>
              <w:rPr>
                <w:rFonts w:cs="Times New Roman"/>
                <w:color w:val="000000"/>
                <w:sz w:val="24"/>
              </w:rPr>
              <w:t>0.14–2.10 nM</w:t>
            </w:r>
          </w:p>
        </w:tc>
        <w:tc>
          <w:tcPr>
            <w:tcW w:w="2045" w:type="dxa"/>
            <w:tcBorders>
              <w:top w:val="nil"/>
              <w:left w:val="nil"/>
              <w:bottom w:val="nil"/>
              <w:right w:val="nil"/>
            </w:tcBorders>
            <w:vAlign w:val="center"/>
          </w:tcPr>
          <w:p w14:paraId="73B54FDA">
            <w:pPr>
              <w:spacing w:line="480" w:lineRule="auto"/>
              <w:ind w:firstLine="0" w:firstLineChars="0"/>
              <w:jc w:val="center"/>
              <w:rPr>
                <w:rFonts w:hint="eastAsia" w:eastAsia="宋体" w:cs="Times New Roman"/>
                <w:color w:val="000000"/>
                <w:sz w:val="24"/>
                <w:lang w:eastAsia="zh-CN"/>
              </w:rPr>
            </w:pPr>
            <w:r>
              <w:rPr>
                <w:rFonts w:hint="eastAsia"/>
                <w:color w:val="000000"/>
                <w:kern w:val="0"/>
                <w:sz w:val="24"/>
                <w:lang w:val="en-US" w:eastAsia="zh-CN"/>
              </w:rPr>
              <w:t>8</w:t>
            </w:r>
          </w:p>
        </w:tc>
      </w:tr>
      <w:tr w14:paraId="779699B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9" w:type="dxa"/>
            <w:tcBorders>
              <w:top w:val="nil"/>
              <w:left w:val="nil"/>
              <w:bottom w:val="nil"/>
              <w:right w:val="nil"/>
            </w:tcBorders>
            <w:vAlign w:val="center"/>
          </w:tcPr>
          <w:p w14:paraId="63D80E02">
            <w:pPr>
              <w:spacing w:line="480" w:lineRule="auto"/>
              <w:ind w:firstLine="0" w:firstLineChars="0"/>
              <w:jc w:val="center"/>
              <w:rPr>
                <w:rFonts w:cs="Times New Roman"/>
                <w:color w:val="000000"/>
                <w:sz w:val="24"/>
              </w:rPr>
            </w:pPr>
            <w:r>
              <w:rPr>
                <w:rFonts w:cs="Times New Roman"/>
                <w:color w:val="000000"/>
                <w:sz w:val="24"/>
              </w:rPr>
              <w:t>Fluorescence</w:t>
            </w:r>
          </w:p>
        </w:tc>
        <w:tc>
          <w:tcPr>
            <w:tcW w:w="2304" w:type="dxa"/>
            <w:tcBorders>
              <w:top w:val="nil"/>
              <w:left w:val="nil"/>
              <w:bottom w:val="nil"/>
              <w:right w:val="nil"/>
            </w:tcBorders>
            <w:vAlign w:val="center"/>
          </w:tcPr>
          <w:p w14:paraId="729E5CDB">
            <w:pPr>
              <w:spacing w:line="480" w:lineRule="auto"/>
              <w:ind w:firstLine="0" w:firstLineChars="0"/>
              <w:jc w:val="center"/>
              <w:rPr>
                <w:rFonts w:cs="Times New Roman"/>
                <w:color w:val="000000"/>
                <w:sz w:val="24"/>
              </w:rPr>
            </w:pPr>
            <w:r>
              <w:rPr>
                <w:rFonts w:cs="Times New Roman"/>
                <w:color w:val="000000"/>
                <w:sz w:val="24"/>
              </w:rPr>
              <w:t>2~75 μM</w:t>
            </w:r>
          </w:p>
        </w:tc>
        <w:tc>
          <w:tcPr>
            <w:tcW w:w="1934" w:type="dxa"/>
            <w:tcBorders>
              <w:top w:val="nil"/>
              <w:left w:val="nil"/>
              <w:bottom w:val="nil"/>
              <w:right w:val="nil"/>
            </w:tcBorders>
            <w:vAlign w:val="center"/>
          </w:tcPr>
          <w:p w14:paraId="405D409C">
            <w:pPr>
              <w:spacing w:line="480" w:lineRule="auto"/>
              <w:ind w:firstLine="0" w:firstLineChars="0"/>
              <w:jc w:val="center"/>
              <w:rPr>
                <w:rFonts w:cs="Times New Roman"/>
                <w:color w:val="000000"/>
                <w:sz w:val="24"/>
              </w:rPr>
            </w:pPr>
            <w:r>
              <w:rPr>
                <w:rFonts w:cs="Times New Roman"/>
                <w:color w:val="000000"/>
                <w:sz w:val="24"/>
              </w:rPr>
              <w:t>0.4 μM</w:t>
            </w:r>
          </w:p>
        </w:tc>
        <w:tc>
          <w:tcPr>
            <w:tcW w:w="2045" w:type="dxa"/>
            <w:tcBorders>
              <w:top w:val="nil"/>
              <w:left w:val="nil"/>
              <w:bottom w:val="nil"/>
              <w:right w:val="nil"/>
            </w:tcBorders>
            <w:vAlign w:val="center"/>
          </w:tcPr>
          <w:p w14:paraId="54846EAC">
            <w:pPr>
              <w:spacing w:line="480" w:lineRule="auto"/>
              <w:ind w:firstLine="0" w:firstLineChars="0"/>
              <w:jc w:val="center"/>
              <w:rPr>
                <w:rFonts w:hint="eastAsia" w:eastAsia="宋体" w:cs="Times New Roman"/>
                <w:color w:val="000000"/>
                <w:sz w:val="24"/>
                <w:lang w:eastAsia="zh-CN"/>
              </w:rPr>
            </w:pPr>
            <w:r>
              <w:rPr>
                <w:rFonts w:hint="eastAsia"/>
                <w:color w:val="000000"/>
                <w:kern w:val="0"/>
                <w:sz w:val="24"/>
                <w:lang w:val="en-US" w:eastAsia="zh-CN"/>
              </w:rPr>
              <w:t>9</w:t>
            </w:r>
          </w:p>
        </w:tc>
      </w:tr>
      <w:tr w14:paraId="26DA26D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19" w:type="dxa"/>
            <w:tcBorders>
              <w:top w:val="nil"/>
              <w:left w:val="nil"/>
              <w:bottom w:val="single" w:color="auto" w:sz="12" w:space="0"/>
              <w:right w:val="nil"/>
            </w:tcBorders>
            <w:vAlign w:val="center"/>
          </w:tcPr>
          <w:p w14:paraId="67931A01">
            <w:pPr>
              <w:spacing w:line="480" w:lineRule="auto"/>
              <w:ind w:firstLine="0" w:firstLineChars="0"/>
              <w:jc w:val="center"/>
              <w:rPr>
                <w:rFonts w:cs="Times New Roman"/>
                <w:color w:val="000000"/>
                <w:sz w:val="24"/>
              </w:rPr>
            </w:pPr>
            <w:r>
              <w:rPr>
                <w:rFonts w:cs="Times New Roman"/>
                <w:color w:val="000000"/>
                <w:sz w:val="24"/>
              </w:rPr>
              <w:t>Colorimetry</w:t>
            </w:r>
          </w:p>
        </w:tc>
        <w:tc>
          <w:tcPr>
            <w:tcW w:w="2304" w:type="dxa"/>
            <w:tcBorders>
              <w:top w:val="nil"/>
              <w:left w:val="nil"/>
              <w:bottom w:val="single" w:color="auto" w:sz="12" w:space="0"/>
              <w:right w:val="nil"/>
            </w:tcBorders>
            <w:vAlign w:val="center"/>
          </w:tcPr>
          <w:p w14:paraId="11597833">
            <w:pPr>
              <w:spacing w:line="480" w:lineRule="auto"/>
              <w:ind w:firstLine="0" w:firstLineChars="0"/>
              <w:jc w:val="center"/>
              <w:rPr>
                <w:rFonts w:cs="Times New Roman"/>
                <w:color w:val="000000"/>
                <w:sz w:val="24"/>
              </w:rPr>
            </w:pPr>
            <w:r>
              <w:rPr>
                <w:rFonts w:cs="Times New Roman"/>
                <w:color w:val="000000"/>
                <w:sz w:val="24"/>
              </w:rPr>
              <w:t>1~50 μg mL</w:t>
            </w:r>
            <w:r>
              <w:rPr>
                <w:rFonts w:cs="Times New Roman"/>
                <w:color w:val="000000"/>
                <w:sz w:val="24"/>
                <w:vertAlign w:val="superscript"/>
              </w:rPr>
              <w:t>-1</w:t>
            </w:r>
          </w:p>
        </w:tc>
        <w:tc>
          <w:tcPr>
            <w:tcW w:w="1934" w:type="dxa"/>
            <w:tcBorders>
              <w:top w:val="nil"/>
              <w:left w:val="nil"/>
              <w:bottom w:val="single" w:color="auto" w:sz="12" w:space="0"/>
              <w:right w:val="nil"/>
            </w:tcBorders>
            <w:vAlign w:val="center"/>
          </w:tcPr>
          <w:p w14:paraId="3064FC38">
            <w:pPr>
              <w:spacing w:line="480" w:lineRule="auto"/>
              <w:ind w:firstLine="0" w:firstLineChars="0"/>
              <w:jc w:val="center"/>
              <w:rPr>
                <w:rFonts w:cs="Times New Roman"/>
                <w:color w:val="000000"/>
                <w:sz w:val="24"/>
              </w:rPr>
            </w:pPr>
            <w:r>
              <w:rPr>
                <w:rFonts w:cs="Times New Roman"/>
                <w:color w:val="000000"/>
                <w:sz w:val="24"/>
              </w:rPr>
              <w:t>0.14 μg mL</w:t>
            </w:r>
            <w:r>
              <w:rPr>
                <w:rFonts w:cs="Times New Roman"/>
                <w:color w:val="000000"/>
                <w:sz w:val="24"/>
                <w:vertAlign w:val="superscript"/>
              </w:rPr>
              <w:t>-1</w:t>
            </w:r>
          </w:p>
        </w:tc>
        <w:tc>
          <w:tcPr>
            <w:tcW w:w="2045" w:type="dxa"/>
            <w:tcBorders>
              <w:top w:val="nil"/>
              <w:left w:val="nil"/>
              <w:bottom w:val="single" w:color="auto" w:sz="12" w:space="0"/>
              <w:right w:val="nil"/>
            </w:tcBorders>
            <w:vAlign w:val="center"/>
          </w:tcPr>
          <w:p w14:paraId="2D2CB2F5">
            <w:pPr>
              <w:spacing w:line="480" w:lineRule="auto"/>
              <w:ind w:firstLine="0" w:firstLineChars="0"/>
              <w:jc w:val="center"/>
              <w:rPr>
                <w:rFonts w:cs="Times New Roman"/>
                <w:color w:val="000000"/>
                <w:sz w:val="24"/>
              </w:rPr>
            </w:pPr>
            <w:r>
              <w:rPr>
                <w:rFonts w:cs="Times New Roman"/>
                <w:color w:val="000000"/>
                <w:sz w:val="24"/>
              </w:rPr>
              <w:t>This work</w:t>
            </w:r>
          </w:p>
        </w:tc>
      </w:tr>
    </w:tbl>
    <w:p w14:paraId="7BCE9B09">
      <w:pPr>
        <w:spacing w:line="480" w:lineRule="auto"/>
        <w:ind w:firstLine="0" w:firstLineChars="0"/>
        <w:rPr>
          <w:b/>
          <w:color w:val="FF0000"/>
          <w:sz w:val="24"/>
          <w:lang w:val="en-GB"/>
        </w:rPr>
      </w:pPr>
      <w:r>
        <w:rPr>
          <w:rFonts w:hint="eastAsia"/>
          <w:b/>
          <w:color w:val="FF0000"/>
          <w:sz w:val="24"/>
          <w:lang w:val="en-GB"/>
        </w:rPr>
        <w:br w:type="page"/>
      </w:r>
    </w:p>
    <w:bookmarkEnd w:id="2"/>
    <w:p w14:paraId="401EB582">
      <w:pPr>
        <w:spacing w:line="480" w:lineRule="auto"/>
        <w:ind w:firstLine="0" w:firstLineChars="0"/>
        <w:rPr>
          <w:rFonts w:cs="Times New Roman"/>
          <w:b/>
          <w:bCs/>
          <w:szCs w:val="28"/>
        </w:rPr>
      </w:pPr>
      <w:r>
        <w:rPr>
          <w:rFonts w:cs="Times New Roman"/>
          <w:b/>
          <w:bCs/>
          <w:szCs w:val="28"/>
        </w:rPr>
        <w:t>References</w:t>
      </w:r>
    </w:p>
    <w:p w14:paraId="5F70DF37">
      <w:pPr>
        <w:numPr>
          <w:ilvl w:val="0"/>
          <w:numId w:val="2"/>
        </w:numPr>
        <w:spacing w:line="480" w:lineRule="auto"/>
        <w:ind w:left="425" w:leftChars="0" w:hanging="425" w:firstLineChars="0"/>
        <w:rPr>
          <w:rFonts w:hint="eastAsia" w:cs="Times New Roman"/>
          <w:b w:val="0"/>
          <w:bCs/>
          <w:color w:val="auto"/>
          <w:sz w:val="24"/>
          <w:lang w:val="en-US" w:eastAsia="zh-CN"/>
        </w:rPr>
      </w:pPr>
      <w:r>
        <w:rPr>
          <w:rFonts w:hint="eastAsia" w:cs="Times New Roman"/>
          <w:b w:val="0"/>
          <w:bCs/>
          <w:color w:val="auto"/>
          <w:sz w:val="24"/>
        </w:rPr>
        <w:t>Wang J, Huang R, Qi W, Su R, Binks B, He Z</w:t>
      </w:r>
      <w:r>
        <w:rPr>
          <w:rFonts w:hint="eastAsia" w:cs="Times New Roman"/>
          <w:b w:val="0"/>
          <w:bCs/>
          <w:color w:val="auto"/>
          <w:sz w:val="24"/>
          <w:lang w:val="en-US" w:eastAsia="zh-CN"/>
        </w:rPr>
        <w:t xml:space="preserve"> </w:t>
      </w:r>
      <w:r>
        <w:rPr>
          <w:rFonts w:hint="eastAsia" w:cs="Times New Roman"/>
          <w:b w:val="0"/>
          <w:bCs/>
          <w:color w:val="auto"/>
          <w:sz w:val="24"/>
        </w:rPr>
        <w:t xml:space="preserve">(2019) Construction of a bioinspired laccase-mimicking nanozyme </w:t>
      </w:r>
      <w:r>
        <w:rPr>
          <w:rFonts w:hint="eastAsia" w:eastAsia="等线" w:cs="Times New Roman"/>
          <w:color w:val="auto"/>
          <w:kern w:val="0"/>
          <w:sz w:val="24"/>
          <w14:ligatures w14:val="none"/>
        </w:rPr>
        <w:t xml:space="preserve">for </w:t>
      </w:r>
      <w:r>
        <w:rPr>
          <w:rFonts w:hint="eastAsia" w:cs="Times New Roman"/>
          <w:b w:val="0"/>
          <w:bCs/>
          <w:color w:val="auto"/>
          <w:sz w:val="24"/>
        </w:rPr>
        <w:t>the degradation and detection of phenolic pollutants</w:t>
      </w:r>
      <w:r>
        <w:rPr>
          <w:rFonts w:hint="eastAsia" w:cs="Times New Roman"/>
          <w:b w:val="0"/>
          <w:bCs/>
          <w:color w:val="auto"/>
          <w:sz w:val="24"/>
          <w:lang w:val="en-US" w:eastAsia="zh-CN"/>
        </w:rPr>
        <w:t>.</w:t>
      </w:r>
      <w:r>
        <w:rPr>
          <w:rFonts w:hint="eastAsia" w:cs="Times New Roman"/>
          <w:b w:val="0"/>
          <w:bCs/>
          <w:color w:val="auto"/>
          <w:sz w:val="24"/>
        </w:rPr>
        <w:t xml:space="preserve"> Appl Catal B 254: 452-462.</w:t>
      </w:r>
      <w:r>
        <w:rPr>
          <w:rFonts w:hint="eastAsia" w:cs="Times New Roman"/>
          <w:b w:val="0"/>
          <w:bCs/>
          <w:color w:val="auto"/>
          <w:sz w:val="24"/>
          <w:lang w:val="en-US" w:eastAsia="zh-CN"/>
        </w:rPr>
        <w:t xml:space="preserve"> </w:t>
      </w:r>
      <w:r>
        <w:rPr>
          <w:rFonts w:hint="eastAsia" w:cs="Times New Roman"/>
          <w:b w:val="0"/>
          <w:bCs/>
          <w:color w:val="auto"/>
          <w:sz w:val="24"/>
        </w:rPr>
        <w:fldChar w:fldCharType="begin"/>
      </w:r>
      <w:r>
        <w:rPr>
          <w:rFonts w:hint="eastAsia" w:cs="Times New Roman"/>
          <w:b w:val="0"/>
          <w:bCs/>
          <w:color w:val="auto"/>
          <w:sz w:val="24"/>
        </w:rPr>
        <w:instrText xml:space="preserve"> HYPERLINK "https://doi.org/10.1016/j.apcatb.2019.05.012." </w:instrText>
      </w:r>
      <w:r>
        <w:rPr>
          <w:rFonts w:hint="eastAsia" w:cs="Times New Roman"/>
          <w:b w:val="0"/>
          <w:bCs/>
          <w:color w:val="auto"/>
          <w:sz w:val="24"/>
        </w:rPr>
        <w:fldChar w:fldCharType="separate"/>
      </w:r>
      <w:r>
        <w:rPr>
          <w:rStyle w:val="13"/>
          <w:rFonts w:hint="eastAsia" w:cs="Times New Roman"/>
          <w:b w:val="0"/>
          <w:bCs/>
          <w:sz w:val="24"/>
        </w:rPr>
        <w:t>https://doi.org/10.1016/j.apcatb.2019.05.012</w:t>
      </w:r>
      <w:r>
        <w:rPr>
          <w:rStyle w:val="13"/>
          <w:rFonts w:hint="eastAsia" w:cs="Times New Roman"/>
          <w:b w:val="0"/>
          <w:bCs/>
          <w:sz w:val="24"/>
          <w:lang w:val="en-US" w:eastAsia="zh-CN"/>
        </w:rPr>
        <w:t>.</w:t>
      </w:r>
      <w:r>
        <w:rPr>
          <w:rFonts w:hint="eastAsia" w:cs="Times New Roman"/>
          <w:b w:val="0"/>
          <w:bCs/>
          <w:color w:val="auto"/>
          <w:sz w:val="24"/>
        </w:rPr>
        <w:fldChar w:fldCharType="end"/>
      </w:r>
    </w:p>
    <w:p w14:paraId="69215E5C">
      <w:pPr>
        <w:numPr>
          <w:ilvl w:val="0"/>
          <w:numId w:val="2"/>
        </w:numPr>
        <w:spacing w:line="480" w:lineRule="auto"/>
        <w:ind w:left="425" w:leftChars="0" w:hanging="425" w:firstLineChars="0"/>
        <w:rPr>
          <w:rFonts w:hint="default" w:cs="Times New Roman"/>
          <w:b w:val="0"/>
          <w:bCs/>
          <w:color w:val="auto"/>
          <w:sz w:val="24"/>
          <w:lang w:val="en-US" w:eastAsia="zh-CN"/>
        </w:rPr>
      </w:pPr>
      <w:r>
        <w:rPr>
          <w:rFonts w:hint="eastAsia" w:cs="Times New Roman"/>
          <w:b w:val="0"/>
          <w:bCs/>
          <w:color w:val="auto"/>
          <w:sz w:val="24"/>
        </w:rPr>
        <w:t>Wang J, Huang R, Qi W, Su R, He Z (2022) Construction of biomimetic nanozyme with high laccase- and catecholase-like activity for oxidation and detection of phenolic compounds</w:t>
      </w:r>
      <w:r>
        <w:rPr>
          <w:rFonts w:hint="eastAsia" w:cs="Times New Roman"/>
          <w:b w:val="0"/>
          <w:bCs/>
          <w:color w:val="auto"/>
          <w:sz w:val="24"/>
          <w:lang w:val="en-US" w:eastAsia="zh-CN"/>
        </w:rPr>
        <w:t>.</w:t>
      </w:r>
      <w:r>
        <w:rPr>
          <w:rFonts w:hint="eastAsia" w:cs="Times New Roman"/>
          <w:b w:val="0"/>
          <w:bCs/>
          <w:color w:val="auto"/>
          <w:sz w:val="24"/>
        </w:rPr>
        <w:t xml:space="preserve"> J Hazard. Mater 429: 128404.</w:t>
      </w:r>
      <w:r>
        <w:rPr>
          <w:rFonts w:hint="eastAsia" w:cs="Times New Roman"/>
          <w:b w:val="0"/>
          <w:bCs/>
          <w:color w:val="auto"/>
          <w:sz w:val="24"/>
          <w:lang w:val="en-US" w:eastAsia="zh-CN"/>
        </w:rPr>
        <w:t xml:space="preserve"> </w:t>
      </w:r>
      <w:r>
        <w:rPr>
          <w:rFonts w:hint="eastAsia" w:cs="Times New Roman"/>
          <w:b w:val="0"/>
          <w:bCs/>
          <w:color w:val="auto"/>
          <w:sz w:val="24"/>
          <w:lang w:val="en-US" w:eastAsia="zh-CN"/>
        </w:rPr>
        <w:fldChar w:fldCharType="begin"/>
      </w:r>
      <w:r>
        <w:rPr>
          <w:rFonts w:hint="eastAsia" w:cs="Times New Roman"/>
          <w:b w:val="0"/>
          <w:bCs/>
          <w:color w:val="auto"/>
          <w:sz w:val="24"/>
          <w:lang w:val="en-US" w:eastAsia="zh-CN"/>
        </w:rPr>
        <w:instrText xml:space="preserve"> HYPERLINK "https://doi.org/10.1016/j.jhazmat.2022.128404." </w:instrText>
      </w:r>
      <w:r>
        <w:rPr>
          <w:rFonts w:hint="eastAsia" w:cs="Times New Roman"/>
          <w:b w:val="0"/>
          <w:bCs/>
          <w:color w:val="auto"/>
          <w:sz w:val="24"/>
          <w:lang w:val="en-US" w:eastAsia="zh-CN"/>
        </w:rPr>
        <w:fldChar w:fldCharType="separate"/>
      </w:r>
      <w:r>
        <w:rPr>
          <w:rStyle w:val="13"/>
          <w:rFonts w:hint="eastAsia" w:cs="Times New Roman"/>
          <w:b w:val="0"/>
          <w:bCs/>
          <w:sz w:val="24"/>
          <w:lang w:val="en-US" w:eastAsia="zh-CN"/>
        </w:rPr>
        <w:t>https://doi.org/10.1016/j.jhazmat.2022.128404.</w:t>
      </w:r>
      <w:r>
        <w:rPr>
          <w:rFonts w:hint="eastAsia" w:cs="Times New Roman"/>
          <w:b w:val="0"/>
          <w:bCs/>
          <w:color w:val="auto"/>
          <w:sz w:val="24"/>
          <w:lang w:val="en-US" w:eastAsia="zh-CN"/>
        </w:rPr>
        <w:fldChar w:fldCharType="end"/>
      </w:r>
    </w:p>
    <w:p w14:paraId="02BCD1B5">
      <w:pPr>
        <w:numPr>
          <w:ilvl w:val="0"/>
          <w:numId w:val="2"/>
        </w:numPr>
        <w:spacing w:line="480" w:lineRule="auto"/>
        <w:ind w:left="425" w:leftChars="0" w:hanging="425" w:firstLineChars="0"/>
        <w:rPr>
          <w:rFonts w:hint="eastAsia" w:cs="Times New Roman"/>
          <w:b w:val="0"/>
          <w:bCs/>
          <w:color w:val="auto"/>
          <w:sz w:val="24"/>
          <w:lang w:val="en-US" w:eastAsia="zh-CN"/>
        </w:rPr>
      </w:pPr>
      <w:r>
        <w:rPr>
          <w:rFonts w:hint="eastAsia" w:cs="Times New Roman"/>
          <w:b w:val="0"/>
          <w:bCs/>
          <w:color w:val="auto"/>
          <w:sz w:val="24"/>
        </w:rPr>
        <w:t>Liang S, Wu X, Xiong J, Yuan X, Liu S, Zong M, Lou W (2022) Multivalent Ce-MOFs as biomimetic laccase nanozyme for environmental remediation</w:t>
      </w:r>
      <w:r>
        <w:rPr>
          <w:rFonts w:hint="eastAsia" w:cs="Times New Roman"/>
          <w:b w:val="0"/>
          <w:bCs/>
          <w:color w:val="auto"/>
          <w:sz w:val="24"/>
          <w:lang w:val="en-US" w:eastAsia="zh-CN"/>
        </w:rPr>
        <w:t>.</w:t>
      </w:r>
      <w:r>
        <w:rPr>
          <w:rFonts w:hint="eastAsia" w:cs="Times New Roman"/>
          <w:b w:val="0"/>
          <w:bCs/>
          <w:color w:val="auto"/>
          <w:sz w:val="24"/>
        </w:rPr>
        <w:t xml:space="preserve"> Chem Eng J 450: 138220.</w:t>
      </w:r>
      <w:r>
        <w:rPr>
          <w:rFonts w:hint="eastAsia" w:cs="Times New Roman"/>
          <w:b w:val="0"/>
          <w:bCs/>
          <w:color w:val="auto"/>
          <w:sz w:val="24"/>
          <w:lang w:val="en-US" w:eastAsia="zh-CN"/>
        </w:rPr>
        <w:t xml:space="preserve"> </w:t>
      </w:r>
      <w:r>
        <w:rPr>
          <w:rFonts w:hint="eastAsia" w:cs="Times New Roman"/>
          <w:b w:val="0"/>
          <w:bCs/>
          <w:color w:val="auto"/>
          <w:sz w:val="24"/>
        </w:rPr>
        <w:fldChar w:fldCharType="begin"/>
      </w:r>
      <w:r>
        <w:rPr>
          <w:rFonts w:hint="eastAsia" w:cs="Times New Roman"/>
          <w:b w:val="0"/>
          <w:bCs/>
          <w:color w:val="auto"/>
          <w:sz w:val="24"/>
        </w:rPr>
        <w:instrText xml:space="preserve"> HYPERLINK "https://doi.org/10.1016/j.cej.2022.138220." </w:instrText>
      </w:r>
      <w:r>
        <w:rPr>
          <w:rFonts w:hint="eastAsia" w:cs="Times New Roman"/>
          <w:b w:val="0"/>
          <w:bCs/>
          <w:color w:val="auto"/>
          <w:sz w:val="24"/>
        </w:rPr>
        <w:fldChar w:fldCharType="separate"/>
      </w:r>
      <w:r>
        <w:rPr>
          <w:rStyle w:val="13"/>
          <w:rFonts w:hint="eastAsia" w:cs="Times New Roman"/>
          <w:b w:val="0"/>
          <w:bCs/>
          <w:sz w:val="24"/>
        </w:rPr>
        <w:t>https://doi.org/10.1016/j.cej.2022.138220</w:t>
      </w:r>
      <w:r>
        <w:rPr>
          <w:rStyle w:val="13"/>
          <w:rFonts w:hint="eastAsia" w:cs="Times New Roman"/>
          <w:b w:val="0"/>
          <w:bCs/>
          <w:sz w:val="24"/>
          <w:lang w:val="en-US" w:eastAsia="zh-CN"/>
        </w:rPr>
        <w:t>.</w:t>
      </w:r>
      <w:r>
        <w:rPr>
          <w:rFonts w:hint="eastAsia" w:cs="Times New Roman"/>
          <w:b w:val="0"/>
          <w:bCs/>
          <w:color w:val="auto"/>
          <w:sz w:val="24"/>
        </w:rPr>
        <w:fldChar w:fldCharType="end"/>
      </w:r>
    </w:p>
    <w:p w14:paraId="53922719">
      <w:pPr>
        <w:numPr>
          <w:ilvl w:val="0"/>
          <w:numId w:val="2"/>
        </w:numPr>
        <w:spacing w:line="480" w:lineRule="auto"/>
        <w:ind w:left="425" w:leftChars="0" w:hanging="425" w:firstLineChars="0"/>
        <w:rPr>
          <w:rFonts w:hint="eastAsia" w:cs="Times New Roman"/>
          <w:b w:val="0"/>
          <w:bCs/>
          <w:color w:val="auto"/>
          <w:sz w:val="24"/>
          <w:lang w:val="en-US" w:eastAsia="zh-CN"/>
        </w:rPr>
      </w:pPr>
      <w:r>
        <w:rPr>
          <w:rFonts w:hint="eastAsia" w:cs="Times New Roman"/>
          <w:b w:val="0"/>
          <w:bCs/>
          <w:color w:val="auto"/>
          <w:sz w:val="24"/>
        </w:rPr>
        <w:t>Tang</w:t>
      </w:r>
      <w:r>
        <w:rPr>
          <w:rFonts w:hint="eastAsia" w:cs="Times New Roman"/>
          <w:b w:val="0"/>
          <w:bCs/>
          <w:color w:val="auto"/>
          <w:sz w:val="24"/>
          <w:lang w:val="en-US" w:eastAsia="zh-CN"/>
        </w:rPr>
        <w:t xml:space="preserve"> </w:t>
      </w:r>
      <w:r>
        <w:rPr>
          <w:rFonts w:hint="eastAsia" w:cs="Times New Roman"/>
          <w:b w:val="0"/>
          <w:bCs/>
          <w:color w:val="auto"/>
          <w:sz w:val="24"/>
        </w:rPr>
        <w:t>Y, Jiang S, Li W, Shah S, Zhao Z, Pan L, Zhao Z (2022) Confined construction of COF@Cu-nanozyme with high activity and stability as laccase biomimetic catalyst for the efficient degradation of phenolic pollutants</w:t>
      </w:r>
      <w:r>
        <w:rPr>
          <w:rFonts w:hint="eastAsia" w:cs="Times New Roman"/>
          <w:b w:val="0"/>
          <w:bCs/>
          <w:color w:val="auto"/>
          <w:sz w:val="24"/>
          <w:lang w:val="en-US" w:eastAsia="zh-CN"/>
        </w:rPr>
        <w:t>.</w:t>
      </w:r>
      <w:r>
        <w:rPr>
          <w:rFonts w:hint="eastAsia" w:cs="Times New Roman"/>
          <w:b w:val="0"/>
          <w:bCs/>
          <w:color w:val="auto"/>
          <w:sz w:val="24"/>
        </w:rPr>
        <w:t xml:space="preserve"> Chem Eng J</w:t>
      </w:r>
      <w:r>
        <w:rPr>
          <w:rFonts w:hint="eastAsia" w:cs="Times New Roman"/>
          <w:b w:val="0"/>
          <w:bCs/>
          <w:color w:val="auto"/>
          <w:sz w:val="24"/>
          <w:lang w:val="en-US" w:eastAsia="zh-CN"/>
        </w:rPr>
        <w:t xml:space="preserve"> </w:t>
      </w:r>
      <w:r>
        <w:rPr>
          <w:rFonts w:hint="eastAsia" w:cs="Times New Roman"/>
          <w:b w:val="0"/>
          <w:bCs/>
          <w:color w:val="auto"/>
          <w:sz w:val="24"/>
        </w:rPr>
        <w:t>448: 137701.</w:t>
      </w:r>
      <w:r>
        <w:rPr>
          <w:rFonts w:hint="eastAsia" w:cs="Times New Roman"/>
          <w:b w:val="0"/>
          <w:bCs/>
          <w:color w:val="auto"/>
          <w:sz w:val="24"/>
          <w:lang w:val="en-US" w:eastAsia="zh-CN"/>
        </w:rPr>
        <w:t xml:space="preserve"> </w:t>
      </w:r>
      <w:r>
        <w:rPr>
          <w:rFonts w:hint="eastAsia" w:cs="Times New Roman"/>
          <w:b w:val="0"/>
          <w:bCs/>
          <w:color w:val="auto"/>
          <w:sz w:val="24"/>
        </w:rPr>
        <w:fldChar w:fldCharType="begin"/>
      </w:r>
      <w:r>
        <w:rPr>
          <w:rFonts w:hint="eastAsia" w:cs="Times New Roman"/>
          <w:b w:val="0"/>
          <w:bCs/>
          <w:color w:val="auto"/>
          <w:sz w:val="24"/>
        </w:rPr>
        <w:instrText xml:space="preserve"> HYPERLINK "https://doi.org/10.1016/j.cej.2022.137701." </w:instrText>
      </w:r>
      <w:r>
        <w:rPr>
          <w:rFonts w:hint="eastAsia" w:cs="Times New Roman"/>
          <w:b w:val="0"/>
          <w:bCs/>
          <w:color w:val="auto"/>
          <w:sz w:val="24"/>
        </w:rPr>
        <w:fldChar w:fldCharType="separate"/>
      </w:r>
      <w:r>
        <w:rPr>
          <w:rStyle w:val="13"/>
          <w:rFonts w:hint="eastAsia" w:cs="Times New Roman"/>
          <w:b w:val="0"/>
          <w:bCs/>
          <w:sz w:val="24"/>
        </w:rPr>
        <w:t>https://doi.org/10.1016/j.cej.2022.137701</w:t>
      </w:r>
      <w:r>
        <w:rPr>
          <w:rStyle w:val="13"/>
          <w:rFonts w:hint="eastAsia" w:cs="Times New Roman"/>
          <w:b w:val="0"/>
          <w:bCs/>
          <w:sz w:val="24"/>
          <w:lang w:val="en-US" w:eastAsia="zh-CN"/>
        </w:rPr>
        <w:t>.</w:t>
      </w:r>
      <w:r>
        <w:rPr>
          <w:rFonts w:hint="eastAsia" w:cs="Times New Roman"/>
          <w:b w:val="0"/>
          <w:bCs/>
          <w:color w:val="auto"/>
          <w:sz w:val="24"/>
        </w:rPr>
        <w:fldChar w:fldCharType="end"/>
      </w:r>
    </w:p>
    <w:p w14:paraId="0194A470">
      <w:pPr>
        <w:keepNext w:val="0"/>
        <w:keepLines w:val="0"/>
        <w:pageBreakBefore w:val="0"/>
        <w:widowControl w:val="0"/>
        <w:numPr>
          <w:ilvl w:val="0"/>
          <w:numId w:val="2"/>
        </w:numPr>
        <w:kinsoku/>
        <w:wordWrap/>
        <w:overflowPunct/>
        <w:topLinePunct w:val="0"/>
        <w:autoSpaceDE/>
        <w:autoSpaceDN/>
        <w:bidi w:val="0"/>
        <w:adjustRightInd/>
        <w:snapToGrid/>
        <w:spacing w:line="480" w:lineRule="auto"/>
        <w:ind w:left="425" w:leftChars="0" w:hanging="425" w:firstLineChars="0"/>
        <w:textAlignment w:val="auto"/>
        <w:rPr>
          <w:rFonts w:hint="eastAsia" w:cs="Times New Roman"/>
          <w:sz w:val="24"/>
          <w:szCs w:val="22"/>
          <w:lang w:bidi="ar"/>
        </w:rPr>
      </w:pPr>
      <w:r>
        <w:rPr>
          <w:rFonts w:hint="eastAsia" w:cs="Times New Roman"/>
          <w:sz w:val="24"/>
          <w:szCs w:val="22"/>
          <w:lang w:bidi="ar"/>
        </w:rPr>
        <w:t xml:space="preserve">Zhu J, Cui Q, Long T, Wang Y, Wen W, Tian Z, Zhang X , Wang S </w:t>
      </w:r>
      <w:r>
        <w:rPr>
          <w:rFonts w:hint="eastAsia" w:cs="Times New Roman"/>
          <w:sz w:val="24"/>
          <w:szCs w:val="22"/>
          <w:lang w:val="en-US" w:eastAsia="zh-CN" w:bidi="ar"/>
        </w:rPr>
        <w:t>(</w:t>
      </w:r>
      <w:r>
        <w:rPr>
          <w:rFonts w:hint="eastAsia" w:cs="Times New Roman"/>
          <w:sz w:val="24"/>
          <w:szCs w:val="22"/>
          <w:lang w:bidi="ar"/>
        </w:rPr>
        <w:t>2023</w:t>
      </w:r>
      <w:r>
        <w:rPr>
          <w:rFonts w:hint="eastAsia" w:cs="Times New Roman"/>
          <w:sz w:val="24"/>
          <w:szCs w:val="22"/>
          <w:lang w:val="en-US" w:eastAsia="zh-CN" w:bidi="ar"/>
        </w:rPr>
        <w:t>)</w:t>
      </w:r>
      <w:r>
        <w:rPr>
          <w:rFonts w:hint="eastAsia" w:cs="Times New Roman"/>
          <w:sz w:val="24"/>
          <w:szCs w:val="22"/>
          <w:lang w:bidi="ar"/>
        </w:rPr>
        <w:t xml:space="preserve"> N-doped carbon Co/CoOx with laccase-like activity for detection of epinephrine. Microchim Acta</w:t>
      </w:r>
      <w:r>
        <w:rPr>
          <w:rFonts w:hint="eastAsia" w:cs="Times New Roman"/>
          <w:sz w:val="24"/>
          <w:szCs w:val="22"/>
          <w:lang w:val="en-US" w:eastAsia="zh-CN" w:bidi="ar"/>
        </w:rPr>
        <w:t xml:space="preserve"> </w:t>
      </w:r>
      <w:r>
        <w:rPr>
          <w:rFonts w:hint="eastAsia" w:cs="Times New Roman"/>
          <w:sz w:val="24"/>
          <w:szCs w:val="22"/>
          <w:lang w:bidi="ar"/>
        </w:rPr>
        <w:t>190:459.</w:t>
      </w:r>
      <w:r>
        <w:rPr>
          <w:rFonts w:hint="eastAsia" w:cs="Times New Roman"/>
          <w:sz w:val="24"/>
          <w:szCs w:val="22"/>
          <w:lang w:val="en-US" w:eastAsia="zh-CN" w:bidi="ar"/>
        </w:rPr>
        <w:t xml:space="preserve"> </w:t>
      </w:r>
      <w:r>
        <w:rPr>
          <w:rFonts w:hint="eastAsia" w:cs="Times New Roman"/>
          <w:sz w:val="24"/>
          <w:szCs w:val="22"/>
          <w:lang w:val="en-US" w:eastAsia="zh-CN" w:bidi="ar"/>
        </w:rPr>
        <w:fldChar w:fldCharType="begin"/>
      </w:r>
      <w:r>
        <w:rPr>
          <w:rFonts w:hint="eastAsia" w:cs="Times New Roman"/>
          <w:sz w:val="24"/>
          <w:szCs w:val="22"/>
          <w:lang w:val="en-US" w:eastAsia="zh-CN" w:bidi="ar"/>
        </w:rPr>
        <w:instrText xml:space="preserve"> HYPERLINK "https://doi.org/10.1007/s00604-023-06041-1." </w:instrText>
      </w:r>
      <w:r>
        <w:rPr>
          <w:rFonts w:hint="eastAsia" w:cs="Times New Roman"/>
          <w:sz w:val="24"/>
          <w:szCs w:val="22"/>
          <w:lang w:val="en-US" w:eastAsia="zh-CN" w:bidi="ar"/>
        </w:rPr>
        <w:fldChar w:fldCharType="separate"/>
      </w:r>
      <w:r>
        <w:rPr>
          <w:rStyle w:val="13"/>
          <w:rFonts w:hint="eastAsia" w:cs="Times New Roman"/>
          <w:sz w:val="24"/>
          <w:szCs w:val="22"/>
          <w:lang w:val="en-US" w:eastAsia="zh-CN" w:bidi="ar"/>
        </w:rPr>
        <w:t>https://doi.org/10.1007/s00604-023-06041-1.</w:t>
      </w:r>
      <w:r>
        <w:rPr>
          <w:rFonts w:hint="eastAsia" w:cs="Times New Roman"/>
          <w:sz w:val="24"/>
          <w:szCs w:val="22"/>
          <w:lang w:val="en-US" w:eastAsia="zh-CN" w:bidi="ar"/>
        </w:rPr>
        <w:fldChar w:fldCharType="end"/>
      </w:r>
    </w:p>
    <w:p w14:paraId="4930DCEA">
      <w:pPr>
        <w:keepNext w:val="0"/>
        <w:keepLines w:val="0"/>
        <w:pageBreakBefore w:val="0"/>
        <w:widowControl w:val="0"/>
        <w:numPr>
          <w:ilvl w:val="0"/>
          <w:numId w:val="2"/>
        </w:numPr>
        <w:kinsoku/>
        <w:wordWrap/>
        <w:overflowPunct/>
        <w:topLinePunct w:val="0"/>
        <w:autoSpaceDE/>
        <w:autoSpaceDN/>
        <w:bidi w:val="0"/>
        <w:adjustRightInd/>
        <w:snapToGrid/>
        <w:spacing w:line="480" w:lineRule="auto"/>
        <w:ind w:left="425" w:leftChars="0" w:hanging="425" w:firstLineChars="0"/>
        <w:textAlignment w:val="auto"/>
        <w:rPr>
          <w:rStyle w:val="13"/>
          <w:rFonts w:hint="eastAsia" w:cs="Times New Roman"/>
          <w:sz w:val="24"/>
          <w:szCs w:val="22"/>
          <w:lang w:val="en-US" w:eastAsia="zh-CN" w:bidi="ar"/>
        </w:rPr>
      </w:pPr>
      <w:r>
        <w:rPr>
          <w:rFonts w:hint="eastAsia" w:cs="Times New Roman"/>
          <w:sz w:val="24"/>
          <w:szCs w:val="22"/>
          <w:lang w:bidi="ar"/>
        </w:rPr>
        <w:t xml:space="preserve">Leau S A, Lete C, Matei C, Lupu S </w:t>
      </w:r>
      <w:r>
        <w:rPr>
          <w:rFonts w:hint="eastAsia" w:cs="Times New Roman"/>
          <w:sz w:val="24"/>
          <w:szCs w:val="22"/>
          <w:lang w:val="en-US" w:eastAsia="zh-CN" w:bidi="ar"/>
        </w:rPr>
        <w:t>(</w:t>
      </w:r>
      <w:r>
        <w:rPr>
          <w:rFonts w:hint="eastAsia" w:cs="Times New Roman"/>
          <w:sz w:val="24"/>
          <w:szCs w:val="22"/>
          <w:lang w:bidi="ar"/>
        </w:rPr>
        <w:t>2023</w:t>
      </w:r>
      <w:r>
        <w:rPr>
          <w:rFonts w:hint="eastAsia" w:cs="Times New Roman"/>
          <w:sz w:val="24"/>
          <w:szCs w:val="22"/>
          <w:lang w:val="en-US" w:eastAsia="zh-CN" w:bidi="ar"/>
        </w:rPr>
        <w:t>)</w:t>
      </w:r>
      <w:r>
        <w:rPr>
          <w:rFonts w:hint="eastAsia" w:cs="Times New Roman"/>
          <w:sz w:val="24"/>
          <w:szCs w:val="22"/>
          <w:lang w:bidi="ar"/>
        </w:rPr>
        <w:t xml:space="preserve"> Electrochemical sensing platform based on metal nanoparticles for epinephrine and serotonin. Biosensors 13:781.</w:t>
      </w:r>
      <w:r>
        <w:rPr>
          <w:rFonts w:hint="eastAsia" w:cs="Times New Roman"/>
          <w:sz w:val="24"/>
          <w:szCs w:val="22"/>
          <w:lang w:val="en-US" w:eastAsia="zh-CN" w:bidi="ar"/>
        </w:rPr>
        <w:t xml:space="preserve"> </w:t>
      </w:r>
      <w:r>
        <w:rPr>
          <w:rStyle w:val="13"/>
          <w:rFonts w:hint="eastAsia" w:cs="Times New Roman"/>
          <w:sz w:val="24"/>
          <w:szCs w:val="22"/>
          <w:lang w:val="en-US" w:eastAsia="zh-CN" w:bidi="ar"/>
        </w:rPr>
        <w:t>https://doi.org/10.3390/bios13080781</w:t>
      </w:r>
    </w:p>
    <w:p w14:paraId="6071DBCE">
      <w:pPr>
        <w:keepNext w:val="0"/>
        <w:keepLines w:val="0"/>
        <w:pageBreakBefore w:val="0"/>
        <w:widowControl w:val="0"/>
        <w:numPr>
          <w:ilvl w:val="0"/>
          <w:numId w:val="2"/>
        </w:numPr>
        <w:kinsoku/>
        <w:wordWrap/>
        <w:overflowPunct/>
        <w:topLinePunct w:val="0"/>
        <w:autoSpaceDE/>
        <w:autoSpaceDN/>
        <w:bidi w:val="0"/>
        <w:adjustRightInd/>
        <w:snapToGrid/>
        <w:spacing w:line="480" w:lineRule="auto"/>
        <w:ind w:left="425" w:leftChars="0" w:hanging="425" w:firstLineChars="0"/>
        <w:textAlignment w:val="auto"/>
        <w:rPr>
          <w:rFonts w:hint="eastAsia" w:cs="Times New Roman"/>
          <w:sz w:val="24"/>
          <w:szCs w:val="22"/>
          <w:lang w:bidi="ar"/>
        </w:rPr>
      </w:pPr>
      <w:r>
        <w:rPr>
          <w:rFonts w:hint="eastAsia" w:cs="Times New Roman"/>
          <w:sz w:val="24"/>
          <w:szCs w:val="22"/>
          <w:lang w:bidi="ar"/>
        </w:rPr>
        <w:t xml:space="preserve">Fu Q, Wang N, Zhou C, Su X </w:t>
      </w:r>
      <w:r>
        <w:rPr>
          <w:rFonts w:hint="eastAsia" w:cs="Times New Roman"/>
          <w:sz w:val="24"/>
          <w:szCs w:val="22"/>
          <w:lang w:val="en-US" w:eastAsia="zh-CN" w:bidi="ar"/>
        </w:rPr>
        <w:t>(</w:t>
      </w:r>
      <w:r>
        <w:rPr>
          <w:rFonts w:hint="eastAsia" w:cs="Times New Roman"/>
          <w:sz w:val="24"/>
          <w:szCs w:val="22"/>
          <w:lang w:bidi="ar"/>
        </w:rPr>
        <w:t>20</w:t>
      </w:r>
      <w:r>
        <w:rPr>
          <w:rFonts w:hint="eastAsia" w:cs="Times New Roman"/>
          <w:sz w:val="24"/>
          <w:szCs w:val="22"/>
          <w:lang w:val="en-US" w:eastAsia="zh-CN" w:bidi="ar"/>
        </w:rPr>
        <w:t>24)</w:t>
      </w:r>
      <w:r>
        <w:rPr>
          <w:rFonts w:hint="eastAsia" w:cs="Times New Roman"/>
          <w:sz w:val="24"/>
          <w:szCs w:val="22"/>
          <w:lang w:bidi="ar"/>
        </w:rPr>
        <w:t xml:space="preserve"> High performance boron doped peroxidase-like nanozyme Cu/B-NC for detection of epinephrine and catalase. Talanta 266: 124991.</w:t>
      </w:r>
      <w:r>
        <w:rPr>
          <w:rFonts w:hint="eastAsia" w:cs="Times New Roman"/>
          <w:sz w:val="24"/>
          <w:szCs w:val="22"/>
          <w:lang w:val="en-US" w:eastAsia="zh-CN" w:bidi="ar"/>
        </w:rPr>
        <w:t xml:space="preserve"> </w:t>
      </w:r>
      <w:r>
        <w:rPr>
          <w:rFonts w:hint="eastAsia" w:cs="Times New Roman"/>
          <w:sz w:val="24"/>
          <w:szCs w:val="22"/>
          <w:lang w:val="en-US" w:eastAsia="zh-CN" w:bidi="ar"/>
        </w:rPr>
        <w:fldChar w:fldCharType="begin"/>
      </w:r>
      <w:r>
        <w:rPr>
          <w:rFonts w:hint="eastAsia" w:cs="Times New Roman"/>
          <w:sz w:val="24"/>
          <w:szCs w:val="22"/>
          <w:lang w:val="en-US" w:eastAsia="zh-CN" w:bidi="ar"/>
        </w:rPr>
        <w:instrText xml:space="preserve"> HYPERLINK "https://doi.org/10.1016/j.talanta.2023.124991." </w:instrText>
      </w:r>
      <w:r>
        <w:rPr>
          <w:rFonts w:hint="eastAsia" w:cs="Times New Roman"/>
          <w:sz w:val="24"/>
          <w:szCs w:val="22"/>
          <w:lang w:val="en-US" w:eastAsia="zh-CN" w:bidi="ar"/>
        </w:rPr>
        <w:fldChar w:fldCharType="separate"/>
      </w:r>
      <w:r>
        <w:rPr>
          <w:rStyle w:val="13"/>
          <w:rFonts w:hint="eastAsia" w:cs="Times New Roman"/>
          <w:sz w:val="24"/>
          <w:szCs w:val="22"/>
          <w:lang w:val="en-US" w:eastAsia="zh-CN" w:bidi="ar"/>
        </w:rPr>
        <w:t>https://doi.org/10.1016/j.talanta.2023.124991.</w:t>
      </w:r>
      <w:r>
        <w:rPr>
          <w:rFonts w:hint="eastAsia" w:cs="Times New Roman"/>
          <w:sz w:val="24"/>
          <w:szCs w:val="22"/>
          <w:lang w:val="en-US" w:eastAsia="zh-CN" w:bidi="ar"/>
        </w:rPr>
        <w:fldChar w:fldCharType="end"/>
      </w:r>
    </w:p>
    <w:p w14:paraId="7EB1C8FA">
      <w:pPr>
        <w:keepNext w:val="0"/>
        <w:keepLines w:val="0"/>
        <w:pageBreakBefore w:val="0"/>
        <w:widowControl w:val="0"/>
        <w:numPr>
          <w:ilvl w:val="0"/>
          <w:numId w:val="2"/>
        </w:numPr>
        <w:kinsoku/>
        <w:wordWrap/>
        <w:overflowPunct/>
        <w:topLinePunct w:val="0"/>
        <w:autoSpaceDE/>
        <w:autoSpaceDN/>
        <w:bidi w:val="0"/>
        <w:adjustRightInd/>
        <w:snapToGrid/>
        <w:spacing w:line="480" w:lineRule="auto"/>
        <w:ind w:left="425" w:leftChars="0" w:hanging="425" w:firstLineChars="0"/>
        <w:textAlignment w:val="auto"/>
        <w:rPr>
          <w:rFonts w:hint="eastAsia" w:cs="Times New Roman"/>
          <w:sz w:val="24"/>
          <w:szCs w:val="22"/>
          <w:lang w:bidi="ar"/>
        </w:rPr>
      </w:pPr>
      <w:r>
        <w:rPr>
          <w:rFonts w:hint="eastAsia" w:cs="Times New Roman"/>
          <w:sz w:val="24"/>
          <w:szCs w:val="22"/>
          <w:lang w:bidi="ar"/>
        </w:rPr>
        <w:t xml:space="preserve">Baluta S, Malecha K, Świst A, Cabaj J </w:t>
      </w:r>
      <w:r>
        <w:rPr>
          <w:rFonts w:hint="eastAsia" w:cs="Times New Roman"/>
          <w:sz w:val="24"/>
          <w:szCs w:val="22"/>
          <w:lang w:val="en-US" w:eastAsia="zh-CN" w:bidi="ar"/>
        </w:rPr>
        <w:t>(</w:t>
      </w:r>
      <w:r>
        <w:rPr>
          <w:rFonts w:hint="eastAsia" w:cs="Times New Roman"/>
          <w:sz w:val="24"/>
          <w:szCs w:val="22"/>
          <w:lang w:bidi="ar"/>
        </w:rPr>
        <w:t>202</w:t>
      </w:r>
      <w:r>
        <w:rPr>
          <w:rFonts w:hint="eastAsia" w:cs="Times New Roman"/>
          <w:sz w:val="24"/>
          <w:szCs w:val="22"/>
          <w:lang w:val="en-US" w:eastAsia="zh-CN" w:bidi="ar"/>
        </w:rPr>
        <w:t>0)</w:t>
      </w:r>
      <w:r>
        <w:rPr>
          <w:rFonts w:hint="eastAsia" w:cs="Times New Roman"/>
          <w:sz w:val="24"/>
          <w:szCs w:val="22"/>
          <w:lang w:bidi="ar"/>
        </w:rPr>
        <w:t xml:space="preserve"> Fluorescence sensing platforms for epinephrine detection based on low temperature cofired ceramics. Sensors</w:t>
      </w:r>
      <w:r>
        <w:rPr>
          <w:rFonts w:hint="eastAsia" w:cs="Times New Roman"/>
          <w:sz w:val="24"/>
          <w:szCs w:val="22"/>
          <w:lang w:val="en-US" w:eastAsia="zh-CN" w:bidi="ar"/>
        </w:rPr>
        <w:t xml:space="preserve"> </w:t>
      </w:r>
      <w:r>
        <w:rPr>
          <w:rFonts w:hint="eastAsia" w:cs="Times New Roman"/>
          <w:sz w:val="24"/>
          <w:szCs w:val="22"/>
          <w:lang w:bidi="ar"/>
        </w:rPr>
        <w:t>20:1429.</w:t>
      </w:r>
      <w:r>
        <w:rPr>
          <w:rFonts w:hint="eastAsia" w:cs="Times New Roman"/>
          <w:sz w:val="24"/>
          <w:szCs w:val="22"/>
          <w:lang w:val="en-US" w:eastAsia="zh-CN" w:bidi="ar"/>
        </w:rPr>
        <w:t xml:space="preserve"> </w:t>
      </w:r>
      <w:r>
        <w:rPr>
          <w:rFonts w:hint="eastAsia" w:cs="Times New Roman"/>
          <w:sz w:val="24"/>
          <w:szCs w:val="22"/>
          <w:lang w:val="en-US" w:eastAsia="zh-CN" w:bidi="ar"/>
        </w:rPr>
        <w:fldChar w:fldCharType="begin"/>
      </w:r>
      <w:r>
        <w:rPr>
          <w:rFonts w:hint="eastAsia" w:cs="Times New Roman"/>
          <w:sz w:val="24"/>
          <w:szCs w:val="22"/>
          <w:lang w:val="en-US" w:eastAsia="zh-CN" w:bidi="ar"/>
        </w:rPr>
        <w:instrText xml:space="preserve"> HYPERLINK "https://doi.org/10.3390/s20051429." </w:instrText>
      </w:r>
      <w:r>
        <w:rPr>
          <w:rFonts w:hint="eastAsia" w:cs="Times New Roman"/>
          <w:sz w:val="24"/>
          <w:szCs w:val="22"/>
          <w:lang w:val="en-US" w:eastAsia="zh-CN" w:bidi="ar"/>
        </w:rPr>
        <w:fldChar w:fldCharType="separate"/>
      </w:r>
      <w:r>
        <w:rPr>
          <w:rStyle w:val="13"/>
          <w:rFonts w:hint="eastAsia" w:cs="Times New Roman"/>
          <w:sz w:val="24"/>
          <w:szCs w:val="22"/>
          <w:lang w:val="en-US" w:eastAsia="zh-CN" w:bidi="ar"/>
        </w:rPr>
        <w:t>https://doi.org/10.3390/s20051429.</w:t>
      </w:r>
      <w:r>
        <w:rPr>
          <w:rFonts w:hint="eastAsia" w:cs="Times New Roman"/>
          <w:sz w:val="24"/>
          <w:szCs w:val="22"/>
          <w:lang w:val="en-US" w:eastAsia="zh-CN" w:bidi="ar"/>
        </w:rPr>
        <w:fldChar w:fldCharType="end"/>
      </w:r>
    </w:p>
    <w:p w14:paraId="34D71A1D">
      <w:pPr>
        <w:keepNext w:val="0"/>
        <w:keepLines w:val="0"/>
        <w:pageBreakBefore w:val="0"/>
        <w:widowControl w:val="0"/>
        <w:numPr>
          <w:ilvl w:val="0"/>
          <w:numId w:val="2"/>
        </w:numPr>
        <w:kinsoku/>
        <w:wordWrap/>
        <w:overflowPunct/>
        <w:topLinePunct w:val="0"/>
        <w:autoSpaceDE/>
        <w:autoSpaceDN/>
        <w:bidi w:val="0"/>
        <w:adjustRightInd/>
        <w:snapToGrid/>
        <w:spacing w:line="480" w:lineRule="auto"/>
        <w:ind w:left="425" w:leftChars="0" w:hanging="425" w:firstLineChars="0"/>
        <w:textAlignment w:val="auto"/>
        <w:rPr>
          <w:rFonts w:hint="eastAsia" w:cs="Times New Roman"/>
          <w:sz w:val="24"/>
          <w:szCs w:val="22"/>
          <w:lang w:val="en-US" w:eastAsia="zh-CN" w:bidi="ar"/>
        </w:rPr>
      </w:pPr>
      <w:r>
        <w:rPr>
          <w:rFonts w:hint="eastAsia" w:cs="Times New Roman"/>
          <w:sz w:val="24"/>
          <w:szCs w:val="22"/>
          <w:lang w:bidi="ar"/>
        </w:rPr>
        <w:t xml:space="preserve">Luo C, Chen Y, Gu J, Cai H, Lin H, Jin Z, Huang C </w:t>
      </w:r>
      <w:r>
        <w:rPr>
          <w:rFonts w:hint="eastAsia" w:cs="Times New Roman"/>
          <w:sz w:val="24"/>
          <w:szCs w:val="22"/>
          <w:lang w:val="en-US" w:eastAsia="zh-CN" w:bidi="ar"/>
        </w:rPr>
        <w:t>(</w:t>
      </w:r>
      <w:r>
        <w:rPr>
          <w:rFonts w:hint="eastAsia" w:cs="Times New Roman"/>
          <w:sz w:val="24"/>
          <w:szCs w:val="22"/>
          <w:lang w:bidi="ar"/>
        </w:rPr>
        <w:t>202</w:t>
      </w:r>
      <w:r>
        <w:rPr>
          <w:rFonts w:hint="eastAsia" w:cs="Times New Roman"/>
          <w:sz w:val="24"/>
          <w:szCs w:val="22"/>
          <w:lang w:val="en-US" w:eastAsia="zh-CN" w:bidi="ar"/>
        </w:rPr>
        <w:t>4)</w:t>
      </w:r>
      <w:r>
        <w:rPr>
          <w:rFonts w:hint="eastAsia" w:cs="Times New Roman"/>
          <w:sz w:val="24"/>
          <w:szCs w:val="22"/>
          <w:lang w:bidi="ar"/>
        </w:rPr>
        <w:t xml:space="preserve"> Activatable NIR fluorescence probe for epinephrine detection and bioimaging based on anionic heptamethine cyanine. Anal Chem</w:t>
      </w:r>
      <w:r>
        <w:rPr>
          <w:rFonts w:hint="eastAsia" w:cs="Times New Roman"/>
          <w:sz w:val="24"/>
          <w:szCs w:val="22"/>
          <w:lang w:val="en-US" w:eastAsia="zh-CN" w:bidi="ar"/>
        </w:rPr>
        <w:t xml:space="preserve"> </w:t>
      </w:r>
      <w:r>
        <w:rPr>
          <w:rFonts w:hint="eastAsia" w:cs="Times New Roman"/>
          <w:sz w:val="24"/>
          <w:szCs w:val="22"/>
          <w:lang w:bidi="ar"/>
        </w:rPr>
        <w:t>96:9969-9974.</w:t>
      </w:r>
      <w:r>
        <w:rPr>
          <w:rFonts w:hint="eastAsia" w:cs="Times New Roman"/>
          <w:sz w:val="24"/>
          <w:szCs w:val="22"/>
          <w:lang w:val="en-US" w:eastAsia="zh-CN" w:bidi="ar"/>
        </w:rPr>
        <w:t xml:space="preserve"> </w:t>
      </w:r>
      <w:r>
        <w:rPr>
          <w:rFonts w:hint="eastAsia" w:cs="Times New Roman"/>
          <w:sz w:val="24"/>
          <w:szCs w:val="22"/>
          <w:lang w:val="en-US" w:eastAsia="zh-CN" w:bidi="ar"/>
        </w:rPr>
        <w:fldChar w:fldCharType="begin"/>
      </w:r>
      <w:r>
        <w:rPr>
          <w:rFonts w:hint="eastAsia" w:cs="Times New Roman"/>
          <w:sz w:val="24"/>
          <w:szCs w:val="22"/>
          <w:lang w:val="en-US" w:eastAsia="zh-CN" w:bidi="ar"/>
        </w:rPr>
        <w:instrText xml:space="preserve"> HYPERLINK "https://doi.org/10.1021/acs.analchem.4c01309." </w:instrText>
      </w:r>
      <w:r>
        <w:rPr>
          <w:rFonts w:hint="eastAsia" w:cs="Times New Roman"/>
          <w:sz w:val="24"/>
          <w:szCs w:val="22"/>
          <w:lang w:val="en-US" w:eastAsia="zh-CN" w:bidi="ar"/>
        </w:rPr>
        <w:fldChar w:fldCharType="separate"/>
      </w:r>
      <w:r>
        <w:rPr>
          <w:rStyle w:val="13"/>
          <w:rFonts w:hint="eastAsia" w:cs="Times New Roman"/>
          <w:sz w:val="24"/>
          <w:szCs w:val="22"/>
          <w:lang w:val="en-US" w:eastAsia="zh-CN" w:bidi="ar"/>
        </w:rPr>
        <w:t>https://doi.org/10.1021/acs.analchem.4c01309.</w:t>
      </w:r>
      <w:r>
        <w:rPr>
          <w:rFonts w:hint="eastAsia" w:cs="Times New Roman"/>
          <w:sz w:val="24"/>
          <w:szCs w:val="22"/>
          <w:lang w:val="en-US" w:eastAsia="zh-CN" w:bidi="ar"/>
        </w:rPr>
        <w:fldChar w:fldCharType="end"/>
      </w:r>
    </w:p>
    <w:p w14:paraId="04D0CEDB">
      <w:pPr>
        <w:keepNext w:val="0"/>
        <w:keepLines w:val="0"/>
        <w:pageBreakBefore w:val="0"/>
        <w:widowControl w:val="0"/>
        <w:numPr>
          <w:numId w:val="0"/>
        </w:numPr>
        <w:kinsoku/>
        <w:wordWrap/>
        <w:overflowPunct/>
        <w:topLinePunct w:val="0"/>
        <w:autoSpaceDE/>
        <w:autoSpaceDN/>
        <w:bidi w:val="0"/>
        <w:adjustRightInd/>
        <w:snapToGrid/>
        <w:spacing w:line="480" w:lineRule="auto"/>
        <w:ind w:leftChars="0"/>
        <w:textAlignment w:val="auto"/>
        <w:rPr>
          <w:rFonts w:hint="eastAsia" w:cs="Times New Roman"/>
          <w:sz w:val="24"/>
          <w:szCs w:val="22"/>
          <w:lang w:val="en-US" w:eastAsia="zh-CN" w:bidi="ar"/>
        </w:rPr>
      </w:pPr>
    </w:p>
    <w:sectPr>
      <w:pgSz w:w="11906" w:h="16838"/>
      <w:pgMar w:top="1440" w:right="1800" w:bottom="1440" w:left="1800" w:header="851" w:footer="992" w:gutter="0"/>
      <w:pgBorders>
        <w:top w:val="none" w:sz="0" w:space="0"/>
        <w:left w:val="none" w:sz="0" w:space="0"/>
        <w:bottom w:val="none" w:sz="0" w:space="0"/>
        <w:right w:val="none" w:sz="0" w:space="0"/>
      </w:pgBorders>
      <w:lnNumType w:countBy="0" w:restart="continuous"/>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9043277"/>
      <w:docPartObj>
        <w:docPartGallery w:val="autotext"/>
      </w:docPartObj>
    </w:sdtPr>
    <w:sdtEndPr>
      <w:rPr>
        <w:rFonts w:cs="Times New Roman"/>
        <w:sz w:val="24"/>
        <w:szCs w:val="24"/>
      </w:rPr>
    </w:sdtEndPr>
    <w:sdtContent>
      <w:p w14:paraId="7E5966D1">
        <w:pPr>
          <w:pStyle w:val="5"/>
          <w:ind w:firstLine="360"/>
          <w:jc w:val="center"/>
          <w:rPr>
            <w:rFonts w:cs="Times New Roman"/>
            <w:sz w:val="24"/>
            <w:szCs w:val="24"/>
          </w:rPr>
        </w:pPr>
        <w:r>
          <w:rPr>
            <w:rFonts w:hint="eastAsia" w:cs="Times New Roman"/>
            <w:sz w:val="24"/>
            <w:szCs w:val="24"/>
          </w:rPr>
          <w:t>S</w:t>
        </w:r>
        <w:r>
          <w:rPr>
            <w:rFonts w:cs="Times New Roman"/>
            <w:sz w:val="24"/>
            <w:szCs w:val="24"/>
          </w:rPr>
          <w:t>-</w:t>
        </w:r>
        <w:r>
          <w:rPr>
            <w:rFonts w:cs="Times New Roman"/>
            <w:sz w:val="24"/>
            <w:szCs w:val="24"/>
          </w:rPr>
          <w:fldChar w:fldCharType="begin"/>
        </w:r>
        <w:r>
          <w:rPr>
            <w:rFonts w:cs="Times New Roman"/>
            <w:sz w:val="24"/>
            <w:szCs w:val="24"/>
          </w:rPr>
          <w:instrText xml:space="preserve">PAGE   \* MERGEFORMAT</w:instrText>
        </w:r>
        <w:r>
          <w:rPr>
            <w:rFonts w:cs="Times New Roman"/>
            <w:sz w:val="24"/>
            <w:szCs w:val="24"/>
          </w:rPr>
          <w:fldChar w:fldCharType="separate"/>
        </w:r>
        <w:r>
          <w:rPr>
            <w:rFonts w:cs="Times New Roman"/>
            <w:sz w:val="24"/>
            <w:szCs w:val="24"/>
            <w:lang w:val="zh-CN"/>
          </w:rPr>
          <w:t>2</w:t>
        </w:r>
        <w:r>
          <w:rPr>
            <w:rFonts w:cs="Times New Roman"/>
            <w:sz w:val="24"/>
            <w:szCs w:val="24"/>
          </w:rPr>
          <w:fldChar w:fldCharType="end"/>
        </w:r>
      </w:p>
    </w:sdtContent>
  </w:sdt>
  <w:p w14:paraId="0F278618">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4BB9E">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2ABC1A"/>
    <w:multiLevelType w:val="singleLevel"/>
    <w:tmpl w:val="C62ABC1A"/>
    <w:lvl w:ilvl="0" w:tentative="0">
      <w:start w:val="1"/>
      <w:numFmt w:val="decimal"/>
      <w:lvlText w:val="%1."/>
      <w:lvlJc w:val="left"/>
      <w:pPr>
        <w:ind w:left="425" w:hanging="425"/>
      </w:pPr>
      <w:rPr>
        <w:rFonts w:hint="default"/>
      </w:rPr>
    </w:lvl>
  </w:abstractNum>
  <w:abstractNum w:abstractNumId="1">
    <w:nsid w:val="E15402E7"/>
    <w:multiLevelType w:val="singleLevel"/>
    <w:tmpl w:val="E15402E7"/>
    <w:lvl w:ilvl="0" w:tentative="0">
      <w:start w:val="1"/>
      <w:numFmt w:val="decimal"/>
      <w:lvlText w:val="%1."/>
      <w:lvlJc w:val="left"/>
      <w:pPr>
        <w:ind w:left="425" w:hanging="425"/>
      </w:pPr>
      <w:rPr>
        <w:rFonts w:hint="default"/>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xMjcwNjkzYmYwY2VmNjQyMTNmNjg5MDU1MGIzZTYifQ=="/>
  </w:docVars>
  <w:rsids>
    <w:rsidRoot w:val="00F92F4E"/>
    <w:rsid w:val="00000817"/>
    <w:rsid w:val="000128A6"/>
    <w:rsid w:val="00050BF4"/>
    <w:rsid w:val="00052ADF"/>
    <w:rsid w:val="00056B6E"/>
    <w:rsid w:val="00057137"/>
    <w:rsid w:val="00062051"/>
    <w:rsid w:val="000640DB"/>
    <w:rsid w:val="000724DC"/>
    <w:rsid w:val="0007630F"/>
    <w:rsid w:val="00085CCF"/>
    <w:rsid w:val="000A1EBD"/>
    <w:rsid w:val="000B22C6"/>
    <w:rsid w:val="000B2C40"/>
    <w:rsid w:val="000B33F6"/>
    <w:rsid w:val="000B5440"/>
    <w:rsid w:val="000C6B18"/>
    <w:rsid w:val="000D2AC0"/>
    <w:rsid w:val="000D4839"/>
    <w:rsid w:val="000D74EB"/>
    <w:rsid w:val="000E77DF"/>
    <w:rsid w:val="000F17C9"/>
    <w:rsid w:val="00101A54"/>
    <w:rsid w:val="00101AF9"/>
    <w:rsid w:val="00102742"/>
    <w:rsid w:val="001042F7"/>
    <w:rsid w:val="0010751E"/>
    <w:rsid w:val="001113F6"/>
    <w:rsid w:val="00117203"/>
    <w:rsid w:val="00117429"/>
    <w:rsid w:val="00117994"/>
    <w:rsid w:val="001217CB"/>
    <w:rsid w:val="00131DA8"/>
    <w:rsid w:val="00132FB1"/>
    <w:rsid w:val="001401CC"/>
    <w:rsid w:val="0015166F"/>
    <w:rsid w:val="00152D3E"/>
    <w:rsid w:val="00153B3E"/>
    <w:rsid w:val="0017138C"/>
    <w:rsid w:val="00174CE7"/>
    <w:rsid w:val="0018035E"/>
    <w:rsid w:val="00184887"/>
    <w:rsid w:val="00186ECF"/>
    <w:rsid w:val="001A20A0"/>
    <w:rsid w:val="001A5F87"/>
    <w:rsid w:val="001B0265"/>
    <w:rsid w:val="001B67B6"/>
    <w:rsid w:val="001C0C85"/>
    <w:rsid w:val="001C0ECC"/>
    <w:rsid w:val="001C4F71"/>
    <w:rsid w:val="001D610E"/>
    <w:rsid w:val="001E1BC1"/>
    <w:rsid w:val="001F585D"/>
    <w:rsid w:val="00201C1B"/>
    <w:rsid w:val="00202DB8"/>
    <w:rsid w:val="00215F46"/>
    <w:rsid w:val="00221765"/>
    <w:rsid w:val="002218D1"/>
    <w:rsid w:val="0023446E"/>
    <w:rsid w:val="00236A4A"/>
    <w:rsid w:val="00241AF2"/>
    <w:rsid w:val="002430EC"/>
    <w:rsid w:val="00244EFC"/>
    <w:rsid w:val="0024786B"/>
    <w:rsid w:val="00247EBE"/>
    <w:rsid w:val="00252444"/>
    <w:rsid w:val="002553D7"/>
    <w:rsid w:val="002610C4"/>
    <w:rsid w:val="0026733F"/>
    <w:rsid w:val="00270126"/>
    <w:rsid w:val="00274A80"/>
    <w:rsid w:val="00275B6E"/>
    <w:rsid w:val="00285A4D"/>
    <w:rsid w:val="00290EB7"/>
    <w:rsid w:val="00293533"/>
    <w:rsid w:val="002A0063"/>
    <w:rsid w:val="002A1749"/>
    <w:rsid w:val="002A213A"/>
    <w:rsid w:val="002B4FA0"/>
    <w:rsid w:val="002B692D"/>
    <w:rsid w:val="002B7D25"/>
    <w:rsid w:val="002D2DFD"/>
    <w:rsid w:val="002E0450"/>
    <w:rsid w:val="002E4D9F"/>
    <w:rsid w:val="002E4FB7"/>
    <w:rsid w:val="002E714C"/>
    <w:rsid w:val="002F421E"/>
    <w:rsid w:val="002F465D"/>
    <w:rsid w:val="002F63D0"/>
    <w:rsid w:val="00303A44"/>
    <w:rsid w:val="00305AB3"/>
    <w:rsid w:val="00321FA0"/>
    <w:rsid w:val="00323853"/>
    <w:rsid w:val="003265B6"/>
    <w:rsid w:val="0033495D"/>
    <w:rsid w:val="00337B4C"/>
    <w:rsid w:val="00337B78"/>
    <w:rsid w:val="003472CF"/>
    <w:rsid w:val="00347D4E"/>
    <w:rsid w:val="003559AB"/>
    <w:rsid w:val="003629EA"/>
    <w:rsid w:val="00367F4E"/>
    <w:rsid w:val="00373015"/>
    <w:rsid w:val="00380005"/>
    <w:rsid w:val="0038249D"/>
    <w:rsid w:val="00395E77"/>
    <w:rsid w:val="003A36F5"/>
    <w:rsid w:val="003A3F9A"/>
    <w:rsid w:val="003A5B32"/>
    <w:rsid w:val="003B1D38"/>
    <w:rsid w:val="003B5FD0"/>
    <w:rsid w:val="003B7EF0"/>
    <w:rsid w:val="003C0A2E"/>
    <w:rsid w:val="003D2944"/>
    <w:rsid w:val="00401C04"/>
    <w:rsid w:val="00404BB9"/>
    <w:rsid w:val="004079B1"/>
    <w:rsid w:val="0041505F"/>
    <w:rsid w:val="00415934"/>
    <w:rsid w:val="00430112"/>
    <w:rsid w:val="004448E9"/>
    <w:rsid w:val="004544CB"/>
    <w:rsid w:val="00454513"/>
    <w:rsid w:val="0045735B"/>
    <w:rsid w:val="004654CD"/>
    <w:rsid w:val="00467614"/>
    <w:rsid w:val="0048372B"/>
    <w:rsid w:val="00487F3E"/>
    <w:rsid w:val="004A7E4C"/>
    <w:rsid w:val="004C0513"/>
    <w:rsid w:val="004C5A0C"/>
    <w:rsid w:val="004D1158"/>
    <w:rsid w:val="004D44D8"/>
    <w:rsid w:val="004E286C"/>
    <w:rsid w:val="004E2961"/>
    <w:rsid w:val="004F23AA"/>
    <w:rsid w:val="004F3672"/>
    <w:rsid w:val="004F3A35"/>
    <w:rsid w:val="0050703A"/>
    <w:rsid w:val="005120DB"/>
    <w:rsid w:val="005165FA"/>
    <w:rsid w:val="0051661A"/>
    <w:rsid w:val="005252D1"/>
    <w:rsid w:val="00525F69"/>
    <w:rsid w:val="0053231E"/>
    <w:rsid w:val="00533DAB"/>
    <w:rsid w:val="00534F0E"/>
    <w:rsid w:val="005378C1"/>
    <w:rsid w:val="005420E8"/>
    <w:rsid w:val="00545996"/>
    <w:rsid w:val="005525DA"/>
    <w:rsid w:val="005601D2"/>
    <w:rsid w:val="005663BE"/>
    <w:rsid w:val="0056664B"/>
    <w:rsid w:val="00573324"/>
    <w:rsid w:val="005748E5"/>
    <w:rsid w:val="00574BE3"/>
    <w:rsid w:val="00575BD9"/>
    <w:rsid w:val="0058002E"/>
    <w:rsid w:val="00594D49"/>
    <w:rsid w:val="005A45FC"/>
    <w:rsid w:val="005A540A"/>
    <w:rsid w:val="005A5F0B"/>
    <w:rsid w:val="005B0346"/>
    <w:rsid w:val="005B1752"/>
    <w:rsid w:val="005B6053"/>
    <w:rsid w:val="005C2F06"/>
    <w:rsid w:val="005C4816"/>
    <w:rsid w:val="005C5285"/>
    <w:rsid w:val="005D2524"/>
    <w:rsid w:val="005D261C"/>
    <w:rsid w:val="005D4CB5"/>
    <w:rsid w:val="005E0C53"/>
    <w:rsid w:val="005E25D8"/>
    <w:rsid w:val="005E2988"/>
    <w:rsid w:val="005E2CCC"/>
    <w:rsid w:val="005F6275"/>
    <w:rsid w:val="005F7132"/>
    <w:rsid w:val="00600F49"/>
    <w:rsid w:val="00604179"/>
    <w:rsid w:val="006204CC"/>
    <w:rsid w:val="00660F38"/>
    <w:rsid w:val="0067614D"/>
    <w:rsid w:val="00686AAB"/>
    <w:rsid w:val="00687018"/>
    <w:rsid w:val="00696789"/>
    <w:rsid w:val="006A16BD"/>
    <w:rsid w:val="006A4424"/>
    <w:rsid w:val="006A6738"/>
    <w:rsid w:val="006B188C"/>
    <w:rsid w:val="006B6971"/>
    <w:rsid w:val="006C515C"/>
    <w:rsid w:val="006D28E7"/>
    <w:rsid w:val="006D3912"/>
    <w:rsid w:val="006D5658"/>
    <w:rsid w:val="006E0D3F"/>
    <w:rsid w:val="006E73A5"/>
    <w:rsid w:val="006F22E3"/>
    <w:rsid w:val="00700F48"/>
    <w:rsid w:val="00701036"/>
    <w:rsid w:val="00701F31"/>
    <w:rsid w:val="007103C0"/>
    <w:rsid w:val="00713E07"/>
    <w:rsid w:val="007145BA"/>
    <w:rsid w:val="00720C01"/>
    <w:rsid w:val="007210BC"/>
    <w:rsid w:val="00725413"/>
    <w:rsid w:val="00743427"/>
    <w:rsid w:val="00745E09"/>
    <w:rsid w:val="007461E2"/>
    <w:rsid w:val="00757AB4"/>
    <w:rsid w:val="007640AA"/>
    <w:rsid w:val="0078049A"/>
    <w:rsid w:val="00793AD3"/>
    <w:rsid w:val="00794E63"/>
    <w:rsid w:val="007950EF"/>
    <w:rsid w:val="007B1996"/>
    <w:rsid w:val="007B485E"/>
    <w:rsid w:val="007B6F78"/>
    <w:rsid w:val="007C10E2"/>
    <w:rsid w:val="007C2DEF"/>
    <w:rsid w:val="007C6E5D"/>
    <w:rsid w:val="007C7D3B"/>
    <w:rsid w:val="007D279B"/>
    <w:rsid w:val="007D6C5B"/>
    <w:rsid w:val="007E14CA"/>
    <w:rsid w:val="007F44FB"/>
    <w:rsid w:val="00822317"/>
    <w:rsid w:val="00831AA7"/>
    <w:rsid w:val="00832A3F"/>
    <w:rsid w:val="00833872"/>
    <w:rsid w:val="00836BFA"/>
    <w:rsid w:val="00837C66"/>
    <w:rsid w:val="00842B81"/>
    <w:rsid w:val="00842EB4"/>
    <w:rsid w:val="00845778"/>
    <w:rsid w:val="00847BF3"/>
    <w:rsid w:val="0085280C"/>
    <w:rsid w:val="00861F05"/>
    <w:rsid w:val="00863F27"/>
    <w:rsid w:val="00865247"/>
    <w:rsid w:val="00865F93"/>
    <w:rsid w:val="00866E10"/>
    <w:rsid w:val="00881F2B"/>
    <w:rsid w:val="00881F69"/>
    <w:rsid w:val="00883964"/>
    <w:rsid w:val="00883FBA"/>
    <w:rsid w:val="00884473"/>
    <w:rsid w:val="0089423E"/>
    <w:rsid w:val="00894D89"/>
    <w:rsid w:val="008C4407"/>
    <w:rsid w:val="008D7708"/>
    <w:rsid w:val="008E29E4"/>
    <w:rsid w:val="008F0B2C"/>
    <w:rsid w:val="00906B68"/>
    <w:rsid w:val="009327B0"/>
    <w:rsid w:val="00956C3E"/>
    <w:rsid w:val="00961A3A"/>
    <w:rsid w:val="00975AD0"/>
    <w:rsid w:val="00976312"/>
    <w:rsid w:val="00997594"/>
    <w:rsid w:val="009A6974"/>
    <w:rsid w:val="009B1EC2"/>
    <w:rsid w:val="009B44DB"/>
    <w:rsid w:val="009C23E1"/>
    <w:rsid w:val="009C3BD8"/>
    <w:rsid w:val="009C5FED"/>
    <w:rsid w:val="009D19EB"/>
    <w:rsid w:val="009D27AD"/>
    <w:rsid w:val="009D7169"/>
    <w:rsid w:val="009E3855"/>
    <w:rsid w:val="009E6CAE"/>
    <w:rsid w:val="009F4555"/>
    <w:rsid w:val="009F7AFA"/>
    <w:rsid w:val="00A0084D"/>
    <w:rsid w:val="00A009A0"/>
    <w:rsid w:val="00A00CFD"/>
    <w:rsid w:val="00A02E82"/>
    <w:rsid w:val="00A14F26"/>
    <w:rsid w:val="00A16977"/>
    <w:rsid w:val="00A26EB4"/>
    <w:rsid w:val="00A438B9"/>
    <w:rsid w:val="00A44A6D"/>
    <w:rsid w:val="00A47CC5"/>
    <w:rsid w:val="00A559D3"/>
    <w:rsid w:val="00A62164"/>
    <w:rsid w:val="00A655D7"/>
    <w:rsid w:val="00A66DBB"/>
    <w:rsid w:val="00A81E11"/>
    <w:rsid w:val="00A91B4D"/>
    <w:rsid w:val="00A92457"/>
    <w:rsid w:val="00AA367B"/>
    <w:rsid w:val="00AE0C7C"/>
    <w:rsid w:val="00AE1AA9"/>
    <w:rsid w:val="00AF4661"/>
    <w:rsid w:val="00B02916"/>
    <w:rsid w:val="00B03A7E"/>
    <w:rsid w:val="00B23CBB"/>
    <w:rsid w:val="00B24D1A"/>
    <w:rsid w:val="00B31B58"/>
    <w:rsid w:val="00B37E27"/>
    <w:rsid w:val="00B53478"/>
    <w:rsid w:val="00B55E54"/>
    <w:rsid w:val="00B57AC2"/>
    <w:rsid w:val="00B619AA"/>
    <w:rsid w:val="00B653DC"/>
    <w:rsid w:val="00B670B5"/>
    <w:rsid w:val="00B77F37"/>
    <w:rsid w:val="00B91153"/>
    <w:rsid w:val="00B97161"/>
    <w:rsid w:val="00B97A33"/>
    <w:rsid w:val="00BA0ED3"/>
    <w:rsid w:val="00BB43E8"/>
    <w:rsid w:val="00BC49A8"/>
    <w:rsid w:val="00BD212B"/>
    <w:rsid w:val="00BD5D6A"/>
    <w:rsid w:val="00BD663D"/>
    <w:rsid w:val="00BE389F"/>
    <w:rsid w:val="00BE4FE3"/>
    <w:rsid w:val="00BF010D"/>
    <w:rsid w:val="00BF2636"/>
    <w:rsid w:val="00C03C10"/>
    <w:rsid w:val="00C13ABE"/>
    <w:rsid w:val="00C15ACD"/>
    <w:rsid w:val="00C263E4"/>
    <w:rsid w:val="00C34E4F"/>
    <w:rsid w:val="00C4404C"/>
    <w:rsid w:val="00C57A94"/>
    <w:rsid w:val="00C57C70"/>
    <w:rsid w:val="00C67009"/>
    <w:rsid w:val="00C70D78"/>
    <w:rsid w:val="00C775FB"/>
    <w:rsid w:val="00C90D45"/>
    <w:rsid w:val="00CA071F"/>
    <w:rsid w:val="00CA6ABC"/>
    <w:rsid w:val="00CB0079"/>
    <w:rsid w:val="00CB40ED"/>
    <w:rsid w:val="00CD2BE4"/>
    <w:rsid w:val="00CD5733"/>
    <w:rsid w:val="00CE2588"/>
    <w:rsid w:val="00CE4107"/>
    <w:rsid w:val="00CF2461"/>
    <w:rsid w:val="00CF6295"/>
    <w:rsid w:val="00D11FDC"/>
    <w:rsid w:val="00D158B8"/>
    <w:rsid w:val="00D16B67"/>
    <w:rsid w:val="00D24B75"/>
    <w:rsid w:val="00D358F3"/>
    <w:rsid w:val="00D364AE"/>
    <w:rsid w:val="00D36641"/>
    <w:rsid w:val="00D429A1"/>
    <w:rsid w:val="00D466AB"/>
    <w:rsid w:val="00D50F22"/>
    <w:rsid w:val="00D52D0E"/>
    <w:rsid w:val="00D57573"/>
    <w:rsid w:val="00D670A1"/>
    <w:rsid w:val="00D75205"/>
    <w:rsid w:val="00D87BD9"/>
    <w:rsid w:val="00DA2BB1"/>
    <w:rsid w:val="00DB3B98"/>
    <w:rsid w:val="00DB5D2D"/>
    <w:rsid w:val="00DC7987"/>
    <w:rsid w:val="00DE2037"/>
    <w:rsid w:val="00DE4235"/>
    <w:rsid w:val="00DF1F33"/>
    <w:rsid w:val="00DF4230"/>
    <w:rsid w:val="00E011A6"/>
    <w:rsid w:val="00E02F22"/>
    <w:rsid w:val="00E0325C"/>
    <w:rsid w:val="00E0332D"/>
    <w:rsid w:val="00E0416F"/>
    <w:rsid w:val="00E048E1"/>
    <w:rsid w:val="00E12743"/>
    <w:rsid w:val="00E23C3A"/>
    <w:rsid w:val="00E32815"/>
    <w:rsid w:val="00E40E05"/>
    <w:rsid w:val="00E45BE0"/>
    <w:rsid w:val="00E6402E"/>
    <w:rsid w:val="00E920F8"/>
    <w:rsid w:val="00EA342B"/>
    <w:rsid w:val="00EA47F4"/>
    <w:rsid w:val="00EB462C"/>
    <w:rsid w:val="00EB5763"/>
    <w:rsid w:val="00EB665B"/>
    <w:rsid w:val="00EC0D43"/>
    <w:rsid w:val="00EC0DBE"/>
    <w:rsid w:val="00EC6B9C"/>
    <w:rsid w:val="00ED1872"/>
    <w:rsid w:val="00ED1E75"/>
    <w:rsid w:val="00EF6B33"/>
    <w:rsid w:val="00EF6BC2"/>
    <w:rsid w:val="00F06639"/>
    <w:rsid w:val="00F31458"/>
    <w:rsid w:val="00F3399E"/>
    <w:rsid w:val="00F348CB"/>
    <w:rsid w:val="00F363B6"/>
    <w:rsid w:val="00F6205B"/>
    <w:rsid w:val="00F73F30"/>
    <w:rsid w:val="00F7721F"/>
    <w:rsid w:val="00F8089F"/>
    <w:rsid w:val="00F92F4E"/>
    <w:rsid w:val="00FA4780"/>
    <w:rsid w:val="00FA7499"/>
    <w:rsid w:val="00FB1BB3"/>
    <w:rsid w:val="00FB223D"/>
    <w:rsid w:val="00FB43D2"/>
    <w:rsid w:val="00FB60FF"/>
    <w:rsid w:val="00FB6823"/>
    <w:rsid w:val="00FB6EEB"/>
    <w:rsid w:val="00FD3D76"/>
    <w:rsid w:val="00FD55AE"/>
    <w:rsid w:val="00FD633B"/>
    <w:rsid w:val="00FD64A9"/>
    <w:rsid w:val="03BB3894"/>
    <w:rsid w:val="062549FB"/>
    <w:rsid w:val="098B6D14"/>
    <w:rsid w:val="0FC71E06"/>
    <w:rsid w:val="11A50413"/>
    <w:rsid w:val="1D92100A"/>
    <w:rsid w:val="21134610"/>
    <w:rsid w:val="24014A2E"/>
    <w:rsid w:val="255053B1"/>
    <w:rsid w:val="2653619F"/>
    <w:rsid w:val="2AC25FE0"/>
    <w:rsid w:val="2F852C64"/>
    <w:rsid w:val="328F03A0"/>
    <w:rsid w:val="35232BEC"/>
    <w:rsid w:val="382316B2"/>
    <w:rsid w:val="3AC428AC"/>
    <w:rsid w:val="3DCD508E"/>
    <w:rsid w:val="3E854AB7"/>
    <w:rsid w:val="42D15E22"/>
    <w:rsid w:val="479E3B7D"/>
    <w:rsid w:val="48DD102B"/>
    <w:rsid w:val="492921A2"/>
    <w:rsid w:val="4A12577C"/>
    <w:rsid w:val="4A7C5F77"/>
    <w:rsid w:val="4ED811D6"/>
    <w:rsid w:val="4F635CC6"/>
    <w:rsid w:val="521E31BF"/>
    <w:rsid w:val="54A9795F"/>
    <w:rsid w:val="579655C8"/>
    <w:rsid w:val="58A5317E"/>
    <w:rsid w:val="5E1E2904"/>
    <w:rsid w:val="68584FA4"/>
    <w:rsid w:val="69DA1D9F"/>
    <w:rsid w:val="6A064CEA"/>
    <w:rsid w:val="70E55565"/>
    <w:rsid w:val="79E84E22"/>
    <w:rsid w:val="7A874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00" w:firstLineChars="200"/>
      <w:jc w:val="both"/>
    </w:pPr>
    <w:rPr>
      <w:rFonts w:ascii="Times New Roman" w:hAnsi="Times New Roman" w:eastAsia="宋体" w:cs="Segoe UI"/>
      <w:color w:val="000000" w:themeColor="text1"/>
      <w:kern w:val="2"/>
      <w:sz w:val="28"/>
      <w:szCs w:val="24"/>
      <w:lang w:val="en-US" w:eastAsia="zh-CN" w:bidi="ar-SA"/>
      <w14:textFill>
        <w14:solidFill>
          <w14:schemeClr w14:val="tx1"/>
        </w14:solidFill>
      </w14:textFill>
      <w14:ligatures w14:val="standardContextual"/>
    </w:rPr>
  </w:style>
  <w:style w:type="paragraph" w:styleId="2">
    <w:name w:val="heading 1"/>
    <w:basedOn w:val="1"/>
    <w:link w:val="18"/>
    <w:qFormat/>
    <w:uiPriority w:val="9"/>
    <w:pPr>
      <w:keepNext/>
      <w:keepLines/>
      <w:spacing w:before="340" w:after="330" w:line="578" w:lineRule="auto"/>
      <w:jc w:val="left"/>
      <w:outlineLvl w:val="0"/>
    </w:pPr>
    <w:rPr>
      <w:b/>
      <w:bCs/>
      <w:kern w:val="44"/>
      <w:sz w:val="30"/>
      <w:szCs w:val="44"/>
    </w:rPr>
  </w:style>
  <w:style w:type="paragraph" w:styleId="3">
    <w:name w:val="heading 2"/>
    <w:basedOn w:val="1"/>
    <w:next w:val="1"/>
    <w:link w:val="19"/>
    <w:unhideWhenUsed/>
    <w:qFormat/>
    <w:uiPriority w:val="9"/>
    <w:pPr>
      <w:keepNext/>
      <w:keepLines/>
      <w:spacing w:before="260" w:after="260" w:line="416" w:lineRule="auto"/>
      <w:jc w:val="left"/>
      <w:outlineLvl w:val="1"/>
    </w:pPr>
    <w:rPr>
      <w:rFonts w:cstheme="majorBidi"/>
      <w:b/>
      <w:bCs/>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1"/>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tabs>
        <w:tab w:val="center" w:pos="4153"/>
        <w:tab w:val="right" w:pos="8306"/>
      </w:tabs>
      <w:snapToGrid w:val="0"/>
      <w:jc w:val="center"/>
    </w:pPr>
    <w:rPr>
      <w:sz w:val="18"/>
      <w:szCs w:val="18"/>
    </w:rPr>
  </w:style>
  <w:style w:type="paragraph" w:styleId="7">
    <w:name w:val="footnote text"/>
    <w:basedOn w:val="1"/>
    <w:link w:val="28"/>
    <w:semiHidden/>
    <w:unhideWhenUsed/>
    <w:qFormat/>
    <w:uiPriority w:val="99"/>
    <w:pPr>
      <w:snapToGrid w:val="0"/>
      <w:jc w:val="left"/>
    </w:pPr>
    <w:rPr>
      <w:sz w:val="18"/>
      <w:szCs w:val="18"/>
    </w:rPr>
  </w:style>
  <w:style w:type="paragraph" w:styleId="8">
    <w:name w:val="Normal (Web)"/>
    <w:basedOn w:val="1"/>
    <w:semiHidden/>
    <w:unhideWhenUsed/>
    <w:qFormat/>
    <w:uiPriority w:val="99"/>
    <w:rPr>
      <w:sz w:val="24"/>
    </w:rPr>
  </w:style>
  <w:style w:type="paragraph" w:styleId="9">
    <w:name w:val="Title"/>
    <w:basedOn w:val="1"/>
    <w:next w:val="1"/>
    <w:link w:val="17"/>
    <w:qFormat/>
    <w:uiPriority w:val="0"/>
    <w:pPr>
      <w:widowControl w:val="0"/>
      <w:spacing w:before="156" w:beforeLines="50" w:after="156" w:afterLines="50" w:line="360" w:lineRule="auto"/>
      <w:jc w:val="center"/>
      <w:outlineLvl w:val="0"/>
    </w:pPr>
    <w:rPr>
      <w:rFonts w:ascii="黑体" w:hAnsi="等线 Light" w:eastAsia="黑体" w:cs="Times New Roman"/>
      <w:bCs/>
      <w:color w:val="auto"/>
      <w:sz w:val="36"/>
      <w:szCs w:val="32"/>
    </w:rPr>
  </w:style>
  <w:style w:type="character" w:styleId="12">
    <w:name w:val="line number"/>
    <w:basedOn w:val="11"/>
    <w:semiHidden/>
    <w:unhideWhenUsed/>
    <w:qFormat/>
    <w:uiPriority w:val="99"/>
  </w:style>
  <w:style w:type="character" w:styleId="13">
    <w:name w:val="Hyperlink"/>
    <w:qFormat/>
    <w:uiPriority w:val="0"/>
    <w:rPr>
      <w:color w:val="0000FF"/>
      <w:u w:val="single"/>
    </w:rPr>
  </w:style>
  <w:style w:type="character" w:styleId="14">
    <w:name w:val="footnote reference"/>
    <w:basedOn w:val="11"/>
    <w:semiHidden/>
    <w:unhideWhenUsed/>
    <w:qFormat/>
    <w:uiPriority w:val="99"/>
    <w:rPr>
      <w:vertAlign w:val="superscript"/>
    </w:rPr>
  </w:style>
  <w:style w:type="character" w:customStyle="1" w:styleId="15">
    <w:name w:val="页眉 字符"/>
    <w:basedOn w:val="11"/>
    <w:link w:val="6"/>
    <w:qFormat/>
    <w:uiPriority w:val="99"/>
    <w:rPr>
      <w:sz w:val="18"/>
      <w:szCs w:val="18"/>
    </w:rPr>
  </w:style>
  <w:style w:type="character" w:customStyle="1" w:styleId="16">
    <w:name w:val="页脚 字符"/>
    <w:basedOn w:val="11"/>
    <w:link w:val="5"/>
    <w:qFormat/>
    <w:uiPriority w:val="99"/>
    <w:rPr>
      <w:sz w:val="18"/>
      <w:szCs w:val="18"/>
    </w:rPr>
  </w:style>
  <w:style w:type="character" w:customStyle="1" w:styleId="17">
    <w:name w:val="标题 字符"/>
    <w:basedOn w:val="11"/>
    <w:link w:val="9"/>
    <w:qFormat/>
    <w:uiPriority w:val="0"/>
    <w:rPr>
      <w:rFonts w:ascii="黑体" w:hAnsi="等线 Light" w:eastAsia="黑体" w:cs="Times New Roman"/>
      <w:bCs/>
      <w:color w:val="auto"/>
      <w:sz w:val="36"/>
      <w:szCs w:val="32"/>
      <w:vertAlign w:val="baseline"/>
    </w:rPr>
  </w:style>
  <w:style w:type="character" w:customStyle="1" w:styleId="18">
    <w:name w:val="标题 1 字符"/>
    <w:basedOn w:val="11"/>
    <w:link w:val="2"/>
    <w:qFormat/>
    <w:uiPriority w:val="9"/>
    <w:rPr>
      <w:rFonts w:cs="Segoe UI"/>
      <w:b/>
      <w:bCs/>
      <w:color w:val="555555"/>
      <w:kern w:val="44"/>
      <w:sz w:val="30"/>
      <w:szCs w:val="44"/>
      <w14:ligatures w14:val="standardContextual"/>
    </w:rPr>
  </w:style>
  <w:style w:type="character" w:customStyle="1" w:styleId="19">
    <w:name w:val="标题 2 字符"/>
    <w:basedOn w:val="11"/>
    <w:link w:val="3"/>
    <w:qFormat/>
    <w:uiPriority w:val="9"/>
    <w:rPr>
      <w:rFonts w:cstheme="majorBidi"/>
      <w:b/>
      <w:bCs/>
      <w:color w:val="555555"/>
      <w:kern w:val="2"/>
      <w:sz w:val="28"/>
      <w:szCs w:val="32"/>
      <w14:ligatures w14:val="standardContextual"/>
    </w:rPr>
  </w:style>
  <w:style w:type="character" w:styleId="20">
    <w:name w:val="Placeholder Text"/>
    <w:basedOn w:val="11"/>
    <w:unhideWhenUsed/>
    <w:qFormat/>
    <w:uiPriority w:val="99"/>
    <w:rPr>
      <w:color w:val="666666"/>
    </w:rPr>
  </w:style>
  <w:style w:type="character" w:customStyle="1" w:styleId="21">
    <w:name w:val="批注框文本 字符"/>
    <w:basedOn w:val="11"/>
    <w:link w:val="4"/>
    <w:semiHidden/>
    <w:qFormat/>
    <w:uiPriority w:val="99"/>
    <w:rPr>
      <w:rFonts w:cs="Segoe UI"/>
      <w:color w:val="555555"/>
      <w:kern w:val="2"/>
      <w:sz w:val="18"/>
      <w:szCs w:val="18"/>
      <w14:ligatures w14:val="standardContextual"/>
    </w:rPr>
  </w:style>
  <w:style w:type="character" w:customStyle="1" w:styleId="22">
    <w:name w:val="null"/>
    <w:basedOn w:val="11"/>
    <w:qFormat/>
    <w:uiPriority w:val="0"/>
  </w:style>
  <w:style w:type="paragraph" w:customStyle="1" w:styleId="23">
    <w:name w:val="TA_Main_Text"/>
    <w:basedOn w:val="1"/>
    <w:qFormat/>
    <w:uiPriority w:val="0"/>
    <w:pPr>
      <w:spacing w:line="480" w:lineRule="auto"/>
      <w:ind w:firstLine="202" w:firstLineChars="0"/>
    </w:pPr>
    <w:rPr>
      <w:rFonts w:ascii="Times" w:hAnsi="Times" w:cs="Times New Roman"/>
      <w:color w:val="auto"/>
      <w:kern w:val="0"/>
      <w:sz w:val="24"/>
    </w:rPr>
  </w:style>
  <w:style w:type="character" w:customStyle="1" w:styleId="24">
    <w:name w:val="single_highlight_class"/>
    <w:basedOn w:val="11"/>
    <w:qFormat/>
    <w:uiPriority w:val="0"/>
  </w:style>
  <w:style w:type="paragraph" w:styleId="25">
    <w:name w:val="List Paragraph"/>
    <w:basedOn w:val="1"/>
    <w:unhideWhenUsed/>
    <w:qFormat/>
    <w:uiPriority w:val="99"/>
    <w:pPr>
      <w:ind w:firstLine="420"/>
    </w:pPr>
  </w:style>
  <w:style w:type="paragraph" w:customStyle="1" w:styleId="26">
    <w:name w:val="1111"/>
    <w:basedOn w:val="1"/>
    <w:link w:val="27"/>
    <w:qFormat/>
    <w:uiPriority w:val="0"/>
    <w:pPr>
      <w:spacing w:line="480" w:lineRule="auto"/>
      <w:ind w:firstLine="0" w:firstLineChars="0"/>
    </w:pPr>
    <w:rPr>
      <w:rFonts w:cs="Times New Roman"/>
      <w:bCs/>
      <w:color w:val="auto"/>
      <w:sz w:val="24"/>
      <w:lang w:val="en-GB"/>
      <w14:ligatures w14:val="none"/>
    </w:rPr>
  </w:style>
  <w:style w:type="character" w:customStyle="1" w:styleId="27">
    <w:name w:val="1111 字符"/>
    <w:basedOn w:val="11"/>
    <w:link w:val="26"/>
    <w:qFormat/>
    <w:uiPriority w:val="0"/>
    <w:rPr>
      <w:bCs/>
      <w:kern w:val="2"/>
      <w:sz w:val="24"/>
      <w:szCs w:val="24"/>
      <w:lang w:val="en-GB"/>
    </w:rPr>
  </w:style>
  <w:style w:type="character" w:customStyle="1" w:styleId="28">
    <w:name w:val="脚注文本 字符"/>
    <w:basedOn w:val="11"/>
    <w:link w:val="7"/>
    <w:semiHidden/>
    <w:qFormat/>
    <w:uiPriority w:val="99"/>
    <w:rPr>
      <w:rFonts w:ascii="Times New Roman" w:hAnsi="Times New Roman" w:eastAsia="宋体" w:cs="Segoe UI"/>
      <w:color w:val="000000" w:themeColor="text1"/>
      <w:kern w:val="2"/>
      <w:sz w:val="18"/>
      <w:szCs w:val="18"/>
      <w14:textFill>
        <w14:solidFill>
          <w14:schemeClr w14:val="tx1"/>
        </w14:solidFill>
      </w14:textFill>
      <w14:ligatures w14:val="standardContextual"/>
    </w:rPr>
  </w:style>
  <w:style w:type="character" w:customStyle="1" w:styleId="29">
    <w:name w:val="未处理的提及1"/>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D3465-1750-4B7F-9FF8-DDF952EE90E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8</Pages>
  <Words>585</Words>
  <Characters>3670</Characters>
  <Lines>133</Lines>
  <Paragraphs>87</Paragraphs>
  <TotalTime>0</TotalTime>
  <ScaleCrop>false</ScaleCrop>
  <LinksUpToDate>false</LinksUpToDate>
  <CharactersWithSpaces>4186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2025-04-28T13:20:00Z</dcterms:created>
  <dc:creator>然 纳</dc:creator>
  <cp:lastModifiedBy>super&amp;Na</cp:lastModifiedBy>
  <dcterms:modified xsi:type="dcterms:W3CDTF">2025-07-22T09:09:19Z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9B98291601254C0399870A4E279C647A_12</vt:lpwstr>
  </property>
  <property fmtid="{D5CDD505-2E9C-101B-9397-08002B2CF9AE}" pid="4" name="KSOTemplateDocerSaveRecord">
    <vt:lpwstr>eyJoZGlkIjoiMGIxMjcwNjkzYmYwY2VmNjQyMTNmNjg5MDU1MGIzZTYiLCJ1c2VySWQiOiI4NjU2NTg3NTgifQ==</vt:lpwstr>
  </property>
</Properties>
</file>