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3D737C" w14:textId="40272FCA" w:rsidR="001B633D" w:rsidRPr="001B633D" w:rsidRDefault="001B633D" w:rsidP="00BE059E">
      <w:r w:rsidRPr="001B633D">
        <w:t>Supp</w:t>
      </w:r>
      <w:r w:rsidR="00C111A0">
        <w:t>orting</w:t>
      </w:r>
      <w:r w:rsidRPr="001B633D">
        <w:t xml:space="preserve"> Information for</w:t>
      </w:r>
    </w:p>
    <w:p w14:paraId="4AFF1E9F" w14:textId="1560EA40" w:rsidR="001B633D" w:rsidRDefault="001B633D" w:rsidP="00BE059E">
      <w:r w:rsidRPr="001B633D">
        <w:t>Regionalized Characterization Factors for Microplastic Emissions in Life Cycle Assessment Considering Multimedia Fate Modelling</w:t>
      </w:r>
    </w:p>
    <w:p w14:paraId="51A2DF0F" w14:textId="206BE1EA" w:rsidR="001B633D" w:rsidRPr="00CC6229" w:rsidRDefault="001B633D" w:rsidP="00BE059E">
      <w:pPr>
        <w:rPr>
          <w:vertAlign w:val="superscript"/>
        </w:rPr>
      </w:pPr>
      <w:r w:rsidRPr="00CC6229">
        <w:t>Juliette Louvet</w:t>
      </w:r>
      <w:r w:rsidRPr="00CC6229">
        <w:rPr>
          <w:vertAlign w:val="superscript"/>
        </w:rPr>
        <w:t>1</w:t>
      </w:r>
      <w:r w:rsidRPr="00CC6229">
        <w:t>, Joris</w:t>
      </w:r>
      <w:r w:rsidR="00C97735">
        <w:t xml:space="preserve"> T. K.</w:t>
      </w:r>
      <w:r w:rsidRPr="00CC6229">
        <w:t xml:space="preserve"> Quik</w:t>
      </w:r>
      <w:r w:rsidRPr="00CC6229">
        <w:rPr>
          <w:vertAlign w:val="superscript"/>
        </w:rPr>
        <w:t>2</w:t>
      </w:r>
      <w:r w:rsidRPr="00CC6229">
        <w:t>, Anne-Marie Boulay</w:t>
      </w:r>
      <w:r w:rsidRPr="00CC6229">
        <w:rPr>
          <w:vertAlign w:val="superscript"/>
        </w:rPr>
        <w:t>1</w:t>
      </w:r>
    </w:p>
    <w:p w14:paraId="7054129F" w14:textId="77777777" w:rsidR="001B633D" w:rsidRPr="001E4A17" w:rsidRDefault="001B633D" w:rsidP="001B633D">
      <w:pPr>
        <w:pStyle w:val="Default"/>
        <w:spacing w:line="276" w:lineRule="auto"/>
        <w:jc w:val="both"/>
        <w:rPr>
          <w:rFonts w:ascii="Times New Roman" w:hAnsi="Times New Roman" w:cs="Times New Roman"/>
          <w:lang w:val="en-US"/>
        </w:rPr>
      </w:pPr>
      <w:r w:rsidRPr="001E4A17">
        <w:rPr>
          <w:rFonts w:ascii="Times New Roman" w:hAnsi="Times New Roman" w:cs="Times New Roman"/>
          <w:vertAlign w:val="superscript"/>
          <w:lang w:val="en-US"/>
        </w:rPr>
        <w:t>1</w:t>
      </w:r>
      <w:r w:rsidRPr="001E4A17">
        <w:rPr>
          <w:rFonts w:ascii="Times New Roman" w:hAnsi="Times New Roman" w:cs="Times New Roman"/>
          <w:lang w:val="en-US"/>
        </w:rPr>
        <w:t>Department of Chemical Engineering, CIRAIG, Polytechnique Montréal, Montreal, QC, Canada</w:t>
      </w:r>
    </w:p>
    <w:p w14:paraId="645B453C" w14:textId="77777777" w:rsidR="001B633D" w:rsidRPr="001E4A17" w:rsidRDefault="001B633D" w:rsidP="001B633D">
      <w:pPr>
        <w:pStyle w:val="Default"/>
        <w:spacing w:line="276" w:lineRule="auto"/>
        <w:jc w:val="both"/>
        <w:rPr>
          <w:rFonts w:ascii="Times New Roman" w:hAnsi="Times New Roman" w:cs="Times New Roman"/>
          <w:lang w:val="en-US"/>
        </w:rPr>
      </w:pPr>
      <w:r w:rsidRPr="001E4A17">
        <w:rPr>
          <w:rFonts w:ascii="Times New Roman" w:hAnsi="Times New Roman" w:cs="Times New Roman"/>
          <w:vertAlign w:val="superscript"/>
          <w:lang w:val="en-US"/>
        </w:rPr>
        <w:t>2</w:t>
      </w:r>
      <w:r w:rsidRPr="001E4A17">
        <w:rPr>
          <w:rFonts w:ascii="Times New Roman" w:hAnsi="Times New Roman" w:cs="Times New Roman"/>
          <w:lang w:val="en-US"/>
        </w:rPr>
        <w:t xml:space="preserve">National Institute for Public Health and Environment (RIVM), Centre for Sustainability, Health and Environment, </w:t>
      </w:r>
      <w:proofErr w:type="spellStart"/>
      <w:r w:rsidRPr="001E4A17">
        <w:rPr>
          <w:rFonts w:ascii="Times New Roman" w:hAnsi="Times New Roman" w:cs="Times New Roman"/>
          <w:lang w:val="en-US"/>
        </w:rPr>
        <w:t>Bilthoven</w:t>
      </w:r>
      <w:proofErr w:type="spellEnd"/>
      <w:r w:rsidRPr="001E4A17">
        <w:rPr>
          <w:rFonts w:ascii="Times New Roman" w:hAnsi="Times New Roman" w:cs="Times New Roman"/>
          <w:lang w:val="en-US"/>
        </w:rPr>
        <w:t>, the Netherlands</w:t>
      </w:r>
    </w:p>
    <w:p w14:paraId="20876934" w14:textId="77777777" w:rsidR="001B633D" w:rsidRDefault="001B633D" w:rsidP="00BE059E"/>
    <w:p w14:paraId="5D780EC2" w14:textId="48148E98" w:rsidR="001B633D" w:rsidRDefault="001B633D" w:rsidP="00BE059E">
      <w:pPr>
        <w:pStyle w:val="Titre1"/>
      </w:pPr>
      <w:bookmarkStart w:id="0" w:name="_Toc199581128"/>
      <w:r w:rsidRPr="001B633D">
        <w:t>Table of contents</w:t>
      </w:r>
      <w:bookmarkEnd w:id="0"/>
      <w:r w:rsidRPr="001B633D">
        <w:t xml:space="preserve"> </w:t>
      </w:r>
    </w:p>
    <w:sdt>
      <w:sdtPr>
        <w:rPr>
          <w:rFonts w:eastAsiaTheme="minorHAnsi"/>
        </w:rPr>
        <w:id w:val="-1740544782"/>
        <w:docPartObj>
          <w:docPartGallery w:val="Table of Contents"/>
          <w:docPartUnique/>
        </w:docPartObj>
      </w:sdtPr>
      <w:sdtEndPr>
        <w:rPr>
          <w:rFonts w:ascii="Times New Roman" w:hAnsi="Times New Roman" w:cs="Times New Roman"/>
          <w:color w:val="000000"/>
          <w:sz w:val="24"/>
          <w:szCs w:val="24"/>
          <w:lang w:val="en-US" w:eastAsia="en-US"/>
          <w14:ligatures w14:val="standardContextual"/>
        </w:rPr>
      </w:sdtEndPr>
      <w:sdtContent>
        <w:p w14:paraId="5A596747" w14:textId="7F118070" w:rsidR="00325B44" w:rsidRDefault="00325B44" w:rsidP="00BE059E">
          <w:pPr>
            <w:pStyle w:val="En-ttedetabledesmatires"/>
          </w:pPr>
        </w:p>
        <w:p w14:paraId="74EE2FE0" w14:textId="467E16F8" w:rsidR="00BE059E" w:rsidRDefault="00325B44">
          <w:pPr>
            <w:pStyle w:val="TM1"/>
            <w:tabs>
              <w:tab w:val="left" w:pos="440"/>
              <w:tab w:val="right" w:leader="dot" w:pos="9062"/>
            </w:tabs>
            <w:rPr>
              <w:rFonts w:asciiTheme="minorHAnsi" w:eastAsiaTheme="minorEastAsia" w:hAnsiTheme="minorHAnsi" w:cstheme="minorBidi"/>
              <w:noProof/>
              <w:color w:val="auto"/>
              <w:kern w:val="2"/>
              <w:lang w:val="fr-FR" w:eastAsia="fr-FR"/>
            </w:rPr>
          </w:pPr>
          <w:r w:rsidRPr="00F6147A">
            <w:fldChar w:fldCharType="begin"/>
          </w:r>
          <w:r w:rsidRPr="00F6147A">
            <w:instrText xml:space="preserve"> TOC \o "1-3" \h \z \u </w:instrText>
          </w:r>
          <w:r w:rsidRPr="00F6147A">
            <w:fldChar w:fldCharType="separate"/>
          </w:r>
          <w:hyperlink w:anchor="_Toc199581128" w:history="1">
            <w:r w:rsidR="00BE059E" w:rsidRPr="00550A3E">
              <w:rPr>
                <w:rStyle w:val="Lienhypertexte"/>
                <w:noProof/>
              </w:rPr>
              <w:t>1.</w:t>
            </w:r>
            <w:r w:rsidR="00BE059E">
              <w:rPr>
                <w:rFonts w:asciiTheme="minorHAnsi" w:eastAsiaTheme="minorEastAsia" w:hAnsiTheme="minorHAnsi" w:cstheme="minorBidi"/>
                <w:noProof/>
                <w:color w:val="auto"/>
                <w:kern w:val="2"/>
                <w:lang w:val="fr-FR" w:eastAsia="fr-FR"/>
              </w:rPr>
              <w:tab/>
            </w:r>
            <w:r w:rsidR="00BE059E" w:rsidRPr="00550A3E">
              <w:rPr>
                <w:rStyle w:val="Lienhypertexte"/>
                <w:noProof/>
              </w:rPr>
              <w:t>Table of contents</w:t>
            </w:r>
            <w:r w:rsidR="00BE059E">
              <w:rPr>
                <w:noProof/>
                <w:webHidden/>
              </w:rPr>
              <w:tab/>
            </w:r>
            <w:r w:rsidR="00BE059E">
              <w:rPr>
                <w:noProof/>
                <w:webHidden/>
              </w:rPr>
              <w:fldChar w:fldCharType="begin"/>
            </w:r>
            <w:r w:rsidR="00BE059E">
              <w:rPr>
                <w:noProof/>
                <w:webHidden/>
              </w:rPr>
              <w:instrText xml:space="preserve"> PAGEREF _Toc199581128 \h </w:instrText>
            </w:r>
            <w:r w:rsidR="00BE059E">
              <w:rPr>
                <w:noProof/>
                <w:webHidden/>
              </w:rPr>
            </w:r>
            <w:r w:rsidR="00BE059E">
              <w:rPr>
                <w:noProof/>
                <w:webHidden/>
              </w:rPr>
              <w:fldChar w:fldCharType="separate"/>
            </w:r>
            <w:r w:rsidR="00BE059E">
              <w:rPr>
                <w:noProof/>
                <w:webHidden/>
              </w:rPr>
              <w:t>1</w:t>
            </w:r>
            <w:r w:rsidR="00BE059E">
              <w:rPr>
                <w:noProof/>
                <w:webHidden/>
              </w:rPr>
              <w:fldChar w:fldCharType="end"/>
            </w:r>
          </w:hyperlink>
        </w:p>
        <w:p w14:paraId="70AF9238" w14:textId="46068D27" w:rsidR="00BE059E" w:rsidRDefault="00BE059E">
          <w:pPr>
            <w:pStyle w:val="TM1"/>
            <w:tabs>
              <w:tab w:val="left" w:pos="440"/>
              <w:tab w:val="right" w:leader="dot" w:pos="9062"/>
            </w:tabs>
            <w:rPr>
              <w:rFonts w:asciiTheme="minorHAnsi" w:eastAsiaTheme="minorEastAsia" w:hAnsiTheme="minorHAnsi" w:cstheme="minorBidi"/>
              <w:noProof/>
              <w:color w:val="auto"/>
              <w:kern w:val="2"/>
              <w:lang w:val="fr-FR" w:eastAsia="fr-FR"/>
            </w:rPr>
          </w:pPr>
          <w:hyperlink w:anchor="_Toc199581129" w:history="1">
            <w:r w:rsidRPr="00550A3E">
              <w:rPr>
                <w:rStyle w:val="Lienhypertexte"/>
                <w:noProof/>
              </w:rPr>
              <w:t>2.</w:t>
            </w:r>
            <w:r>
              <w:rPr>
                <w:rFonts w:asciiTheme="minorHAnsi" w:eastAsiaTheme="minorEastAsia" w:hAnsiTheme="minorHAnsi" w:cstheme="minorBidi"/>
                <w:noProof/>
                <w:color w:val="auto"/>
                <w:kern w:val="2"/>
                <w:lang w:val="fr-FR" w:eastAsia="fr-FR"/>
              </w:rPr>
              <w:tab/>
            </w:r>
            <w:r w:rsidRPr="00550A3E">
              <w:rPr>
                <w:rStyle w:val="Lienhypertexte"/>
                <w:noProof/>
              </w:rPr>
              <w:t>Descriptions of the changes made in SimpleBox4Plastics</w:t>
            </w:r>
            <w:r>
              <w:rPr>
                <w:noProof/>
                <w:webHidden/>
              </w:rPr>
              <w:tab/>
            </w:r>
            <w:r>
              <w:rPr>
                <w:noProof/>
                <w:webHidden/>
              </w:rPr>
              <w:fldChar w:fldCharType="begin"/>
            </w:r>
            <w:r>
              <w:rPr>
                <w:noProof/>
                <w:webHidden/>
              </w:rPr>
              <w:instrText xml:space="preserve"> PAGEREF _Toc199581129 \h </w:instrText>
            </w:r>
            <w:r>
              <w:rPr>
                <w:noProof/>
                <w:webHidden/>
              </w:rPr>
            </w:r>
            <w:r>
              <w:rPr>
                <w:noProof/>
                <w:webHidden/>
              </w:rPr>
              <w:fldChar w:fldCharType="separate"/>
            </w:r>
            <w:r>
              <w:rPr>
                <w:noProof/>
                <w:webHidden/>
              </w:rPr>
              <w:t>2</w:t>
            </w:r>
            <w:r>
              <w:rPr>
                <w:noProof/>
                <w:webHidden/>
              </w:rPr>
              <w:fldChar w:fldCharType="end"/>
            </w:r>
          </w:hyperlink>
        </w:p>
        <w:p w14:paraId="1A895346" w14:textId="12E37C48" w:rsidR="00BE059E" w:rsidRDefault="00BE059E">
          <w:pPr>
            <w:pStyle w:val="TM2"/>
            <w:tabs>
              <w:tab w:val="left" w:pos="960"/>
              <w:tab w:val="right" w:leader="dot" w:pos="9062"/>
            </w:tabs>
            <w:rPr>
              <w:rFonts w:asciiTheme="minorHAnsi" w:eastAsiaTheme="minorEastAsia" w:hAnsiTheme="minorHAnsi" w:cstheme="minorBidi"/>
              <w:noProof/>
              <w:color w:val="auto"/>
              <w:kern w:val="2"/>
              <w:lang w:val="fr-FR" w:eastAsia="fr-FR"/>
            </w:rPr>
          </w:pPr>
          <w:hyperlink w:anchor="_Toc199581130" w:history="1">
            <w:r w:rsidRPr="00550A3E">
              <w:rPr>
                <w:rStyle w:val="Lienhypertexte"/>
                <w:noProof/>
              </w:rPr>
              <w:t>2.1.</w:t>
            </w:r>
            <w:r>
              <w:rPr>
                <w:rFonts w:asciiTheme="minorHAnsi" w:eastAsiaTheme="minorEastAsia" w:hAnsiTheme="minorHAnsi" w:cstheme="minorBidi"/>
                <w:noProof/>
                <w:color w:val="auto"/>
                <w:kern w:val="2"/>
                <w:lang w:val="fr-FR" w:eastAsia="fr-FR"/>
              </w:rPr>
              <w:tab/>
            </w:r>
            <w:r w:rsidRPr="00550A3E">
              <w:rPr>
                <w:rStyle w:val="Lienhypertexte"/>
                <w:noProof/>
              </w:rPr>
              <w:t>Model scales</w:t>
            </w:r>
            <w:r>
              <w:rPr>
                <w:noProof/>
                <w:webHidden/>
              </w:rPr>
              <w:tab/>
            </w:r>
            <w:r>
              <w:rPr>
                <w:noProof/>
                <w:webHidden/>
              </w:rPr>
              <w:fldChar w:fldCharType="begin"/>
            </w:r>
            <w:r>
              <w:rPr>
                <w:noProof/>
                <w:webHidden/>
              </w:rPr>
              <w:instrText xml:space="preserve"> PAGEREF _Toc199581130 \h </w:instrText>
            </w:r>
            <w:r>
              <w:rPr>
                <w:noProof/>
                <w:webHidden/>
              </w:rPr>
            </w:r>
            <w:r>
              <w:rPr>
                <w:noProof/>
                <w:webHidden/>
              </w:rPr>
              <w:fldChar w:fldCharType="separate"/>
            </w:r>
            <w:r>
              <w:rPr>
                <w:noProof/>
                <w:webHidden/>
              </w:rPr>
              <w:t>2</w:t>
            </w:r>
            <w:r>
              <w:rPr>
                <w:noProof/>
                <w:webHidden/>
              </w:rPr>
              <w:fldChar w:fldCharType="end"/>
            </w:r>
          </w:hyperlink>
        </w:p>
        <w:p w14:paraId="214C71AF" w14:textId="78AB062A" w:rsidR="00BE059E" w:rsidRDefault="00BE059E">
          <w:pPr>
            <w:pStyle w:val="TM2"/>
            <w:tabs>
              <w:tab w:val="left" w:pos="960"/>
              <w:tab w:val="right" w:leader="dot" w:pos="9062"/>
            </w:tabs>
            <w:rPr>
              <w:rFonts w:asciiTheme="minorHAnsi" w:eastAsiaTheme="minorEastAsia" w:hAnsiTheme="minorHAnsi" w:cstheme="minorBidi"/>
              <w:noProof/>
              <w:color w:val="auto"/>
              <w:kern w:val="2"/>
              <w:lang w:val="fr-FR" w:eastAsia="fr-FR"/>
            </w:rPr>
          </w:pPr>
          <w:hyperlink w:anchor="_Toc199581131" w:history="1">
            <w:r w:rsidRPr="00550A3E">
              <w:rPr>
                <w:rStyle w:val="Lienhypertexte"/>
                <w:noProof/>
              </w:rPr>
              <w:t>2.2.</w:t>
            </w:r>
            <w:r>
              <w:rPr>
                <w:rFonts w:asciiTheme="minorHAnsi" w:eastAsiaTheme="minorEastAsia" w:hAnsiTheme="minorHAnsi" w:cstheme="minorBidi"/>
                <w:noProof/>
                <w:color w:val="auto"/>
                <w:kern w:val="2"/>
                <w:lang w:val="fr-FR" w:eastAsia="fr-FR"/>
              </w:rPr>
              <w:tab/>
            </w:r>
            <w:r w:rsidRPr="00550A3E">
              <w:rPr>
                <w:rStyle w:val="Lienhypertexte"/>
                <w:noProof/>
              </w:rPr>
              <w:t>Removal of the other soil compartment</w:t>
            </w:r>
            <w:r>
              <w:rPr>
                <w:noProof/>
                <w:webHidden/>
              </w:rPr>
              <w:tab/>
            </w:r>
            <w:r>
              <w:rPr>
                <w:noProof/>
                <w:webHidden/>
              </w:rPr>
              <w:fldChar w:fldCharType="begin"/>
            </w:r>
            <w:r>
              <w:rPr>
                <w:noProof/>
                <w:webHidden/>
              </w:rPr>
              <w:instrText xml:space="preserve"> PAGEREF _Toc199581131 \h </w:instrText>
            </w:r>
            <w:r>
              <w:rPr>
                <w:noProof/>
                <w:webHidden/>
              </w:rPr>
            </w:r>
            <w:r>
              <w:rPr>
                <w:noProof/>
                <w:webHidden/>
              </w:rPr>
              <w:fldChar w:fldCharType="separate"/>
            </w:r>
            <w:r>
              <w:rPr>
                <w:noProof/>
                <w:webHidden/>
              </w:rPr>
              <w:t>2</w:t>
            </w:r>
            <w:r>
              <w:rPr>
                <w:noProof/>
                <w:webHidden/>
              </w:rPr>
              <w:fldChar w:fldCharType="end"/>
            </w:r>
          </w:hyperlink>
        </w:p>
        <w:p w14:paraId="0CB20478" w14:textId="3099EEAF" w:rsidR="00BE059E" w:rsidRDefault="00BE059E">
          <w:pPr>
            <w:pStyle w:val="TM2"/>
            <w:tabs>
              <w:tab w:val="left" w:pos="960"/>
              <w:tab w:val="right" w:leader="dot" w:pos="9062"/>
            </w:tabs>
            <w:rPr>
              <w:rFonts w:asciiTheme="minorHAnsi" w:eastAsiaTheme="minorEastAsia" w:hAnsiTheme="minorHAnsi" w:cstheme="minorBidi"/>
              <w:noProof/>
              <w:color w:val="auto"/>
              <w:kern w:val="2"/>
              <w:lang w:val="fr-FR" w:eastAsia="fr-FR"/>
            </w:rPr>
          </w:pPr>
          <w:hyperlink w:anchor="_Toc199581132" w:history="1">
            <w:r w:rsidRPr="00550A3E">
              <w:rPr>
                <w:rStyle w:val="Lienhypertexte"/>
                <w:noProof/>
              </w:rPr>
              <w:t>2.3.</w:t>
            </w:r>
            <w:r>
              <w:rPr>
                <w:rFonts w:asciiTheme="minorHAnsi" w:eastAsiaTheme="minorEastAsia" w:hAnsiTheme="minorHAnsi" w:cstheme="minorBidi"/>
                <w:noProof/>
                <w:color w:val="auto"/>
                <w:kern w:val="2"/>
                <w:lang w:val="fr-FR" w:eastAsia="fr-FR"/>
              </w:rPr>
              <w:tab/>
            </w:r>
            <w:r w:rsidRPr="00550A3E">
              <w:rPr>
                <w:rStyle w:val="Lienhypertexte"/>
                <w:noProof/>
              </w:rPr>
              <w:t>Calculation of the degradation mechanism and removal of the fragmentation</w:t>
            </w:r>
            <w:r>
              <w:rPr>
                <w:noProof/>
                <w:webHidden/>
              </w:rPr>
              <w:tab/>
            </w:r>
            <w:r>
              <w:rPr>
                <w:noProof/>
                <w:webHidden/>
              </w:rPr>
              <w:fldChar w:fldCharType="begin"/>
            </w:r>
            <w:r>
              <w:rPr>
                <w:noProof/>
                <w:webHidden/>
              </w:rPr>
              <w:instrText xml:space="preserve"> PAGEREF _Toc199581132 \h </w:instrText>
            </w:r>
            <w:r>
              <w:rPr>
                <w:noProof/>
                <w:webHidden/>
              </w:rPr>
            </w:r>
            <w:r>
              <w:rPr>
                <w:noProof/>
                <w:webHidden/>
              </w:rPr>
              <w:fldChar w:fldCharType="separate"/>
            </w:r>
            <w:r>
              <w:rPr>
                <w:noProof/>
                <w:webHidden/>
              </w:rPr>
              <w:t>2</w:t>
            </w:r>
            <w:r>
              <w:rPr>
                <w:noProof/>
                <w:webHidden/>
              </w:rPr>
              <w:fldChar w:fldCharType="end"/>
            </w:r>
          </w:hyperlink>
        </w:p>
        <w:p w14:paraId="2462246C" w14:textId="7BEA9E2F" w:rsidR="00BE059E" w:rsidRDefault="00BE059E">
          <w:pPr>
            <w:pStyle w:val="TM2"/>
            <w:tabs>
              <w:tab w:val="left" w:pos="960"/>
              <w:tab w:val="right" w:leader="dot" w:pos="9062"/>
            </w:tabs>
            <w:rPr>
              <w:rFonts w:asciiTheme="minorHAnsi" w:eastAsiaTheme="minorEastAsia" w:hAnsiTheme="minorHAnsi" w:cstheme="minorBidi"/>
              <w:noProof/>
              <w:color w:val="auto"/>
              <w:kern w:val="2"/>
              <w:lang w:val="fr-FR" w:eastAsia="fr-FR"/>
            </w:rPr>
          </w:pPr>
          <w:hyperlink w:anchor="_Toc199581133" w:history="1">
            <w:r w:rsidRPr="00550A3E">
              <w:rPr>
                <w:rStyle w:val="Lienhypertexte"/>
                <w:noProof/>
              </w:rPr>
              <w:t>2.4.</w:t>
            </w:r>
            <w:r>
              <w:rPr>
                <w:rFonts w:asciiTheme="minorHAnsi" w:eastAsiaTheme="minorEastAsia" w:hAnsiTheme="minorHAnsi" w:cstheme="minorBidi"/>
                <w:noProof/>
                <w:color w:val="auto"/>
                <w:kern w:val="2"/>
                <w:lang w:val="fr-FR" w:eastAsia="fr-FR"/>
              </w:rPr>
              <w:tab/>
            </w:r>
            <w:r w:rsidRPr="00550A3E">
              <w:rPr>
                <w:rStyle w:val="Lienhypertexte"/>
                <w:noProof/>
              </w:rPr>
              <w:t>Modification of runoff</w:t>
            </w:r>
            <w:r>
              <w:rPr>
                <w:noProof/>
                <w:webHidden/>
              </w:rPr>
              <w:tab/>
            </w:r>
            <w:r>
              <w:rPr>
                <w:noProof/>
                <w:webHidden/>
              </w:rPr>
              <w:fldChar w:fldCharType="begin"/>
            </w:r>
            <w:r>
              <w:rPr>
                <w:noProof/>
                <w:webHidden/>
              </w:rPr>
              <w:instrText xml:space="preserve"> PAGEREF _Toc199581133 \h </w:instrText>
            </w:r>
            <w:r>
              <w:rPr>
                <w:noProof/>
                <w:webHidden/>
              </w:rPr>
            </w:r>
            <w:r>
              <w:rPr>
                <w:noProof/>
                <w:webHidden/>
              </w:rPr>
              <w:fldChar w:fldCharType="separate"/>
            </w:r>
            <w:r>
              <w:rPr>
                <w:noProof/>
                <w:webHidden/>
              </w:rPr>
              <w:t>3</w:t>
            </w:r>
            <w:r>
              <w:rPr>
                <w:noProof/>
                <w:webHidden/>
              </w:rPr>
              <w:fldChar w:fldCharType="end"/>
            </w:r>
          </w:hyperlink>
        </w:p>
        <w:p w14:paraId="641BF8E2" w14:textId="3E24B2DE" w:rsidR="00BE059E" w:rsidRDefault="00BE059E">
          <w:pPr>
            <w:pStyle w:val="TM2"/>
            <w:tabs>
              <w:tab w:val="left" w:pos="960"/>
              <w:tab w:val="right" w:leader="dot" w:pos="9062"/>
            </w:tabs>
            <w:rPr>
              <w:rFonts w:asciiTheme="minorHAnsi" w:eastAsiaTheme="minorEastAsia" w:hAnsiTheme="minorHAnsi" w:cstheme="minorBidi"/>
              <w:noProof/>
              <w:color w:val="auto"/>
              <w:kern w:val="2"/>
              <w:lang w:val="fr-FR" w:eastAsia="fr-FR"/>
            </w:rPr>
          </w:pPr>
          <w:hyperlink w:anchor="_Toc199581134" w:history="1">
            <w:r w:rsidRPr="00550A3E">
              <w:rPr>
                <w:rStyle w:val="Lienhypertexte"/>
                <w:noProof/>
              </w:rPr>
              <w:t>2.5.</w:t>
            </w:r>
            <w:r>
              <w:rPr>
                <w:rFonts w:asciiTheme="minorHAnsi" w:eastAsiaTheme="minorEastAsia" w:hAnsiTheme="minorHAnsi" w:cstheme="minorBidi"/>
                <w:noProof/>
                <w:color w:val="auto"/>
                <w:kern w:val="2"/>
                <w:lang w:val="fr-FR" w:eastAsia="fr-FR"/>
              </w:rPr>
              <w:tab/>
            </w:r>
            <w:r w:rsidRPr="00550A3E">
              <w:rPr>
                <w:rStyle w:val="Lienhypertexte"/>
                <w:noProof/>
              </w:rPr>
              <w:t>Modification of the sedimentation rate</w:t>
            </w:r>
            <w:r>
              <w:rPr>
                <w:noProof/>
                <w:webHidden/>
              </w:rPr>
              <w:tab/>
            </w:r>
            <w:r>
              <w:rPr>
                <w:noProof/>
                <w:webHidden/>
              </w:rPr>
              <w:fldChar w:fldCharType="begin"/>
            </w:r>
            <w:r>
              <w:rPr>
                <w:noProof/>
                <w:webHidden/>
              </w:rPr>
              <w:instrText xml:space="preserve"> PAGEREF _Toc199581134 \h </w:instrText>
            </w:r>
            <w:r>
              <w:rPr>
                <w:noProof/>
                <w:webHidden/>
              </w:rPr>
            </w:r>
            <w:r>
              <w:rPr>
                <w:noProof/>
                <w:webHidden/>
              </w:rPr>
              <w:fldChar w:fldCharType="separate"/>
            </w:r>
            <w:r>
              <w:rPr>
                <w:noProof/>
                <w:webHidden/>
              </w:rPr>
              <w:t>3</w:t>
            </w:r>
            <w:r>
              <w:rPr>
                <w:noProof/>
                <w:webHidden/>
              </w:rPr>
              <w:fldChar w:fldCharType="end"/>
            </w:r>
          </w:hyperlink>
        </w:p>
        <w:p w14:paraId="2027D20A" w14:textId="58CCBEED" w:rsidR="00BE059E" w:rsidRDefault="00BE059E">
          <w:pPr>
            <w:pStyle w:val="TM2"/>
            <w:tabs>
              <w:tab w:val="left" w:pos="960"/>
              <w:tab w:val="right" w:leader="dot" w:pos="9062"/>
            </w:tabs>
            <w:rPr>
              <w:rFonts w:asciiTheme="minorHAnsi" w:eastAsiaTheme="minorEastAsia" w:hAnsiTheme="minorHAnsi" w:cstheme="minorBidi"/>
              <w:noProof/>
              <w:color w:val="auto"/>
              <w:kern w:val="2"/>
              <w:lang w:val="fr-FR" w:eastAsia="fr-FR"/>
            </w:rPr>
          </w:pPr>
          <w:hyperlink w:anchor="_Toc199581135" w:history="1">
            <w:r w:rsidRPr="00550A3E">
              <w:rPr>
                <w:rStyle w:val="Lienhypertexte"/>
                <w:noProof/>
              </w:rPr>
              <w:t>2.6.</w:t>
            </w:r>
            <w:r>
              <w:rPr>
                <w:rFonts w:asciiTheme="minorHAnsi" w:eastAsiaTheme="minorEastAsia" w:hAnsiTheme="minorHAnsi" w:cstheme="minorBidi"/>
                <w:noProof/>
                <w:color w:val="auto"/>
                <w:kern w:val="2"/>
                <w:lang w:val="fr-FR" w:eastAsia="fr-FR"/>
              </w:rPr>
              <w:tab/>
            </w:r>
            <w:r w:rsidRPr="00550A3E">
              <w:rPr>
                <w:rStyle w:val="Lienhypertexte"/>
                <w:noProof/>
              </w:rPr>
              <w:t>Aggregation of the air and the cloud water compartment</w:t>
            </w:r>
            <w:r>
              <w:rPr>
                <w:noProof/>
                <w:webHidden/>
              </w:rPr>
              <w:tab/>
            </w:r>
            <w:r>
              <w:rPr>
                <w:noProof/>
                <w:webHidden/>
              </w:rPr>
              <w:fldChar w:fldCharType="begin"/>
            </w:r>
            <w:r>
              <w:rPr>
                <w:noProof/>
                <w:webHidden/>
              </w:rPr>
              <w:instrText xml:space="preserve"> PAGEREF _Toc199581135 \h </w:instrText>
            </w:r>
            <w:r>
              <w:rPr>
                <w:noProof/>
                <w:webHidden/>
              </w:rPr>
            </w:r>
            <w:r>
              <w:rPr>
                <w:noProof/>
                <w:webHidden/>
              </w:rPr>
              <w:fldChar w:fldCharType="separate"/>
            </w:r>
            <w:r>
              <w:rPr>
                <w:noProof/>
                <w:webHidden/>
              </w:rPr>
              <w:t>3</w:t>
            </w:r>
            <w:r>
              <w:rPr>
                <w:noProof/>
                <w:webHidden/>
              </w:rPr>
              <w:fldChar w:fldCharType="end"/>
            </w:r>
          </w:hyperlink>
        </w:p>
        <w:p w14:paraId="32B19E9A" w14:textId="19889910" w:rsidR="00BE059E" w:rsidRDefault="00BE059E">
          <w:pPr>
            <w:pStyle w:val="TM2"/>
            <w:tabs>
              <w:tab w:val="left" w:pos="960"/>
              <w:tab w:val="right" w:leader="dot" w:pos="9062"/>
            </w:tabs>
            <w:rPr>
              <w:rFonts w:asciiTheme="minorHAnsi" w:eastAsiaTheme="minorEastAsia" w:hAnsiTheme="minorHAnsi" w:cstheme="minorBidi"/>
              <w:noProof/>
              <w:color w:val="auto"/>
              <w:kern w:val="2"/>
              <w:lang w:val="fr-FR" w:eastAsia="fr-FR"/>
            </w:rPr>
          </w:pPr>
          <w:hyperlink w:anchor="_Toc199581136" w:history="1">
            <w:r w:rsidRPr="00550A3E">
              <w:rPr>
                <w:rStyle w:val="Lienhypertexte"/>
                <w:noProof/>
              </w:rPr>
              <w:t>2.7.</w:t>
            </w:r>
            <w:r>
              <w:rPr>
                <w:rFonts w:asciiTheme="minorHAnsi" w:eastAsiaTheme="minorEastAsia" w:hAnsiTheme="minorHAnsi" w:cstheme="minorBidi"/>
                <w:noProof/>
                <w:color w:val="auto"/>
                <w:kern w:val="2"/>
                <w:lang w:val="fr-FR" w:eastAsia="fr-FR"/>
              </w:rPr>
              <w:tab/>
            </w:r>
            <w:r w:rsidRPr="00550A3E">
              <w:rPr>
                <w:rStyle w:val="Lienhypertexte"/>
                <w:noProof/>
              </w:rPr>
              <w:t>Aggregation of the different species of plastic particles</w:t>
            </w:r>
            <w:r>
              <w:rPr>
                <w:noProof/>
                <w:webHidden/>
              </w:rPr>
              <w:tab/>
            </w:r>
            <w:r>
              <w:rPr>
                <w:noProof/>
                <w:webHidden/>
              </w:rPr>
              <w:fldChar w:fldCharType="begin"/>
            </w:r>
            <w:r>
              <w:rPr>
                <w:noProof/>
                <w:webHidden/>
              </w:rPr>
              <w:instrText xml:space="preserve"> PAGEREF _Toc199581136 \h </w:instrText>
            </w:r>
            <w:r>
              <w:rPr>
                <w:noProof/>
                <w:webHidden/>
              </w:rPr>
            </w:r>
            <w:r>
              <w:rPr>
                <w:noProof/>
                <w:webHidden/>
              </w:rPr>
              <w:fldChar w:fldCharType="separate"/>
            </w:r>
            <w:r>
              <w:rPr>
                <w:noProof/>
                <w:webHidden/>
              </w:rPr>
              <w:t>4</w:t>
            </w:r>
            <w:r>
              <w:rPr>
                <w:noProof/>
                <w:webHidden/>
              </w:rPr>
              <w:fldChar w:fldCharType="end"/>
            </w:r>
          </w:hyperlink>
        </w:p>
        <w:p w14:paraId="631E5309" w14:textId="473CA8BD" w:rsidR="00BE059E" w:rsidRDefault="00BE059E">
          <w:pPr>
            <w:pStyle w:val="TM2"/>
            <w:tabs>
              <w:tab w:val="left" w:pos="960"/>
              <w:tab w:val="right" w:leader="dot" w:pos="9062"/>
            </w:tabs>
            <w:rPr>
              <w:rFonts w:asciiTheme="minorHAnsi" w:eastAsiaTheme="minorEastAsia" w:hAnsiTheme="minorHAnsi" w:cstheme="minorBidi"/>
              <w:noProof/>
              <w:color w:val="auto"/>
              <w:kern w:val="2"/>
              <w:lang w:val="fr-FR" w:eastAsia="fr-FR"/>
            </w:rPr>
          </w:pPr>
          <w:hyperlink w:anchor="_Toc199581137" w:history="1">
            <w:r w:rsidRPr="00550A3E">
              <w:rPr>
                <w:rStyle w:val="Lienhypertexte"/>
                <w:noProof/>
              </w:rPr>
              <w:t>2.8.</w:t>
            </w:r>
            <w:r>
              <w:rPr>
                <w:rFonts w:asciiTheme="minorHAnsi" w:eastAsiaTheme="minorEastAsia" w:hAnsiTheme="minorHAnsi" w:cstheme="minorBidi"/>
                <w:noProof/>
                <w:color w:val="auto"/>
                <w:kern w:val="2"/>
                <w:lang w:val="fr-FR" w:eastAsia="fr-FR"/>
              </w:rPr>
              <w:tab/>
            </w:r>
            <w:r w:rsidRPr="00550A3E">
              <w:rPr>
                <w:rStyle w:val="Lienhypertexte"/>
                <w:noProof/>
              </w:rPr>
              <w:t>Regionalization</w:t>
            </w:r>
            <w:r>
              <w:rPr>
                <w:noProof/>
                <w:webHidden/>
              </w:rPr>
              <w:tab/>
            </w:r>
            <w:r>
              <w:rPr>
                <w:noProof/>
                <w:webHidden/>
              </w:rPr>
              <w:fldChar w:fldCharType="begin"/>
            </w:r>
            <w:r>
              <w:rPr>
                <w:noProof/>
                <w:webHidden/>
              </w:rPr>
              <w:instrText xml:space="preserve"> PAGEREF _Toc199581137 \h </w:instrText>
            </w:r>
            <w:r>
              <w:rPr>
                <w:noProof/>
                <w:webHidden/>
              </w:rPr>
            </w:r>
            <w:r>
              <w:rPr>
                <w:noProof/>
                <w:webHidden/>
              </w:rPr>
              <w:fldChar w:fldCharType="separate"/>
            </w:r>
            <w:r>
              <w:rPr>
                <w:noProof/>
                <w:webHidden/>
              </w:rPr>
              <w:t>4</w:t>
            </w:r>
            <w:r>
              <w:rPr>
                <w:noProof/>
                <w:webHidden/>
              </w:rPr>
              <w:fldChar w:fldCharType="end"/>
            </w:r>
          </w:hyperlink>
        </w:p>
        <w:p w14:paraId="1D6458FD" w14:textId="5E7F1927" w:rsidR="00BE059E" w:rsidRDefault="00BE059E">
          <w:pPr>
            <w:pStyle w:val="TM3"/>
            <w:tabs>
              <w:tab w:val="left" w:pos="1440"/>
              <w:tab w:val="right" w:leader="dot" w:pos="9062"/>
            </w:tabs>
            <w:rPr>
              <w:rFonts w:asciiTheme="minorHAnsi" w:eastAsiaTheme="minorEastAsia" w:hAnsiTheme="minorHAnsi" w:cstheme="minorBidi"/>
              <w:noProof/>
              <w:color w:val="auto"/>
              <w:kern w:val="2"/>
              <w:lang w:val="fr-FR" w:eastAsia="fr-FR"/>
            </w:rPr>
          </w:pPr>
          <w:hyperlink w:anchor="_Toc199581138" w:history="1">
            <w:r w:rsidRPr="00550A3E">
              <w:rPr>
                <w:rStyle w:val="Lienhypertexte"/>
                <w:noProof/>
              </w:rPr>
              <w:t>2.8.1.</w:t>
            </w:r>
            <w:r>
              <w:rPr>
                <w:rFonts w:asciiTheme="minorHAnsi" w:eastAsiaTheme="minorEastAsia" w:hAnsiTheme="minorHAnsi" w:cstheme="minorBidi"/>
                <w:noProof/>
                <w:color w:val="auto"/>
                <w:kern w:val="2"/>
                <w:lang w:val="fr-FR" w:eastAsia="fr-FR"/>
              </w:rPr>
              <w:tab/>
            </w:r>
            <w:r w:rsidRPr="00550A3E">
              <w:rPr>
                <w:rStyle w:val="Lienhypertexte"/>
                <w:noProof/>
              </w:rPr>
              <w:t>Land area fractions</w:t>
            </w:r>
            <w:r>
              <w:rPr>
                <w:noProof/>
                <w:webHidden/>
              </w:rPr>
              <w:tab/>
            </w:r>
            <w:r>
              <w:rPr>
                <w:noProof/>
                <w:webHidden/>
              </w:rPr>
              <w:fldChar w:fldCharType="begin"/>
            </w:r>
            <w:r>
              <w:rPr>
                <w:noProof/>
                <w:webHidden/>
              </w:rPr>
              <w:instrText xml:space="preserve"> PAGEREF _Toc199581138 \h </w:instrText>
            </w:r>
            <w:r>
              <w:rPr>
                <w:noProof/>
                <w:webHidden/>
              </w:rPr>
            </w:r>
            <w:r>
              <w:rPr>
                <w:noProof/>
                <w:webHidden/>
              </w:rPr>
              <w:fldChar w:fldCharType="separate"/>
            </w:r>
            <w:r>
              <w:rPr>
                <w:noProof/>
                <w:webHidden/>
              </w:rPr>
              <w:t>4</w:t>
            </w:r>
            <w:r>
              <w:rPr>
                <w:noProof/>
                <w:webHidden/>
              </w:rPr>
              <w:fldChar w:fldCharType="end"/>
            </w:r>
          </w:hyperlink>
        </w:p>
        <w:p w14:paraId="2DB697C9" w14:textId="14611552" w:rsidR="00BE059E" w:rsidRDefault="00BE059E">
          <w:pPr>
            <w:pStyle w:val="TM3"/>
            <w:tabs>
              <w:tab w:val="left" w:pos="1440"/>
              <w:tab w:val="right" w:leader="dot" w:pos="9062"/>
            </w:tabs>
            <w:rPr>
              <w:rFonts w:asciiTheme="minorHAnsi" w:eastAsiaTheme="minorEastAsia" w:hAnsiTheme="minorHAnsi" w:cstheme="minorBidi"/>
              <w:noProof/>
              <w:color w:val="auto"/>
              <w:kern w:val="2"/>
              <w:lang w:val="fr-FR" w:eastAsia="fr-FR"/>
            </w:rPr>
          </w:pPr>
          <w:hyperlink w:anchor="_Toc199581139" w:history="1">
            <w:r w:rsidRPr="00550A3E">
              <w:rPr>
                <w:rStyle w:val="Lienhypertexte"/>
                <w:noProof/>
              </w:rPr>
              <w:t>2.8.2.</w:t>
            </w:r>
            <w:r>
              <w:rPr>
                <w:rFonts w:asciiTheme="minorHAnsi" w:eastAsiaTheme="minorEastAsia" w:hAnsiTheme="minorHAnsi" w:cstheme="minorBidi"/>
                <w:noProof/>
                <w:color w:val="auto"/>
                <w:kern w:val="2"/>
                <w:lang w:val="fr-FR" w:eastAsia="fr-FR"/>
              </w:rPr>
              <w:tab/>
            </w:r>
            <w:r w:rsidRPr="00550A3E">
              <w:rPr>
                <w:rStyle w:val="Lienhypertexte"/>
                <w:noProof/>
              </w:rPr>
              <w:t>Depths of lake water and freshwater</w:t>
            </w:r>
            <w:r>
              <w:rPr>
                <w:noProof/>
                <w:webHidden/>
              </w:rPr>
              <w:tab/>
            </w:r>
            <w:r>
              <w:rPr>
                <w:noProof/>
                <w:webHidden/>
              </w:rPr>
              <w:fldChar w:fldCharType="begin"/>
            </w:r>
            <w:r>
              <w:rPr>
                <w:noProof/>
                <w:webHidden/>
              </w:rPr>
              <w:instrText xml:space="preserve"> PAGEREF _Toc199581139 \h </w:instrText>
            </w:r>
            <w:r>
              <w:rPr>
                <w:noProof/>
                <w:webHidden/>
              </w:rPr>
            </w:r>
            <w:r>
              <w:rPr>
                <w:noProof/>
                <w:webHidden/>
              </w:rPr>
              <w:fldChar w:fldCharType="separate"/>
            </w:r>
            <w:r>
              <w:rPr>
                <w:noProof/>
                <w:webHidden/>
              </w:rPr>
              <w:t>5</w:t>
            </w:r>
            <w:r>
              <w:rPr>
                <w:noProof/>
                <w:webHidden/>
              </w:rPr>
              <w:fldChar w:fldCharType="end"/>
            </w:r>
          </w:hyperlink>
        </w:p>
        <w:p w14:paraId="50E9C47F" w14:textId="6E1394AB" w:rsidR="00BE059E" w:rsidRDefault="00BE059E">
          <w:pPr>
            <w:pStyle w:val="TM1"/>
            <w:tabs>
              <w:tab w:val="left" w:pos="440"/>
              <w:tab w:val="right" w:leader="dot" w:pos="9062"/>
            </w:tabs>
            <w:rPr>
              <w:rFonts w:asciiTheme="minorHAnsi" w:eastAsiaTheme="minorEastAsia" w:hAnsiTheme="minorHAnsi" w:cstheme="minorBidi"/>
              <w:noProof/>
              <w:color w:val="auto"/>
              <w:kern w:val="2"/>
              <w:lang w:val="fr-FR" w:eastAsia="fr-FR"/>
            </w:rPr>
          </w:pPr>
          <w:hyperlink w:anchor="_Toc199581140" w:history="1">
            <w:r w:rsidRPr="00550A3E">
              <w:rPr>
                <w:rStyle w:val="Lienhypertexte"/>
                <w:noProof/>
              </w:rPr>
              <w:t>3.</w:t>
            </w:r>
            <w:r>
              <w:rPr>
                <w:rFonts w:asciiTheme="minorHAnsi" w:eastAsiaTheme="minorEastAsia" w:hAnsiTheme="minorHAnsi" w:cstheme="minorBidi"/>
                <w:noProof/>
                <w:color w:val="auto"/>
                <w:kern w:val="2"/>
                <w:lang w:val="fr-FR" w:eastAsia="fr-FR"/>
              </w:rPr>
              <w:tab/>
            </w:r>
            <w:r w:rsidRPr="00550A3E">
              <w:rPr>
                <w:rStyle w:val="Lienhypertexte"/>
                <w:noProof/>
              </w:rPr>
              <w:t>Calculation of the SDFs</w:t>
            </w:r>
            <w:r>
              <w:rPr>
                <w:noProof/>
                <w:webHidden/>
              </w:rPr>
              <w:tab/>
            </w:r>
            <w:r>
              <w:rPr>
                <w:noProof/>
                <w:webHidden/>
              </w:rPr>
              <w:fldChar w:fldCharType="begin"/>
            </w:r>
            <w:r>
              <w:rPr>
                <w:noProof/>
                <w:webHidden/>
              </w:rPr>
              <w:instrText xml:space="preserve"> PAGEREF _Toc199581140 \h </w:instrText>
            </w:r>
            <w:r>
              <w:rPr>
                <w:noProof/>
                <w:webHidden/>
              </w:rPr>
            </w:r>
            <w:r>
              <w:rPr>
                <w:noProof/>
                <w:webHidden/>
              </w:rPr>
              <w:fldChar w:fldCharType="separate"/>
            </w:r>
            <w:r>
              <w:rPr>
                <w:noProof/>
                <w:webHidden/>
              </w:rPr>
              <w:t>5</w:t>
            </w:r>
            <w:r>
              <w:rPr>
                <w:noProof/>
                <w:webHidden/>
              </w:rPr>
              <w:fldChar w:fldCharType="end"/>
            </w:r>
          </w:hyperlink>
        </w:p>
        <w:p w14:paraId="33242B1B" w14:textId="40D3050F" w:rsidR="00BE059E" w:rsidRDefault="00BE059E">
          <w:pPr>
            <w:pStyle w:val="TM2"/>
            <w:tabs>
              <w:tab w:val="left" w:pos="960"/>
              <w:tab w:val="right" w:leader="dot" w:pos="9062"/>
            </w:tabs>
            <w:rPr>
              <w:rFonts w:asciiTheme="minorHAnsi" w:eastAsiaTheme="minorEastAsia" w:hAnsiTheme="minorHAnsi" w:cstheme="minorBidi"/>
              <w:noProof/>
              <w:color w:val="auto"/>
              <w:kern w:val="2"/>
              <w:lang w:val="fr-FR" w:eastAsia="fr-FR"/>
            </w:rPr>
          </w:pPr>
          <w:hyperlink w:anchor="_Toc199581141" w:history="1">
            <w:r w:rsidRPr="00550A3E">
              <w:rPr>
                <w:rStyle w:val="Lienhypertexte"/>
                <w:noProof/>
              </w:rPr>
              <w:t>3.1.</w:t>
            </w:r>
            <w:r>
              <w:rPr>
                <w:rFonts w:asciiTheme="minorHAnsi" w:eastAsiaTheme="minorEastAsia" w:hAnsiTheme="minorHAnsi" w:cstheme="minorBidi"/>
                <w:noProof/>
                <w:color w:val="auto"/>
                <w:kern w:val="2"/>
                <w:lang w:val="fr-FR" w:eastAsia="fr-FR"/>
              </w:rPr>
              <w:tab/>
            </w:r>
            <w:r w:rsidRPr="00550A3E">
              <w:rPr>
                <w:rStyle w:val="Lienhypertexte"/>
                <w:noProof/>
              </w:rPr>
              <w:t>Marine ecosystem</w:t>
            </w:r>
            <w:r>
              <w:rPr>
                <w:noProof/>
                <w:webHidden/>
              </w:rPr>
              <w:tab/>
            </w:r>
            <w:r>
              <w:rPr>
                <w:noProof/>
                <w:webHidden/>
              </w:rPr>
              <w:fldChar w:fldCharType="begin"/>
            </w:r>
            <w:r>
              <w:rPr>
                <w:noProof/>
                <w:webHidden/>
              </w:rPr>
              <w:instrText xml:space="preserve"> PAGEREF _Toc199581141 \h </w:instrText>
            </w:r>
            <w:r>
              <w:rPr>
                <w:noProof/>
                <w:webHidden/>
              </w:rPr>
            </w:r>
            <w:r>
              <w:rPr>
                <w:noProof/>
                <w:webHidden/>
              </w:rPr>
              <w:fldChar w:fldCharType="separate"/>
            </w:r>
            <w:r>
              <w:rPr>
                <w:noProof/>
                <w:webHidden/>
              </w:rPr>
              <w:t>5</w:t>
            </w:r>
            <w:r>
              <w:rPr>
                <w:noProof/>
                <w:webHidden/>
              </w:rPr>
              <w:fldChar w:fldCharType="end"/>
            </w:r>
          </w:hyperlink>
        </w:p>
        <w:p w14:paraId="0D968507" w14:textId="6EB3F931" w:rsidR="00BE059E" w:rsidRDefault="00BE059E">
          <w:pPr>
            <w:pStyle w:val="TM3"/>
            <w:tabs>
              <w:tab w:val="left" w:pos="1440"/>
              <w:tab w:val="right" w:leader="dot" w:pos="9062"/>
            </w:tabs>
            <w:rPr>
              <w:rFonts w:asciiTheme="minorHAnsi" w:eastAsiaTheme="minorEastAsia" w:hAnsiTheme="minorHAnsi" w:cstheme="minorBidi"/>
              <w:noProof/>
              <w:color w:val="auto"/>
              <w:kern w:val="2"/>
              <w:lang w:val="fr-FR" w:eastAsia="fr-FR"/>
            </w:rPr>
          </w:pPr>
          <w:hyperlink w:anchor="_Toc199581142" w:history="1">
            <w:r w:rsidRPr="00550A3E">
              <w:rPr>
                <w:rStyle w:val="Lienhypertexte"/>
                <w:noProof/>
              </w:rPr>
              <w:t>3.1.1.</w:t>
            </w:r>
            <w:r>
              <w:rPr>
                <w:rFonts w:asciiTheme="minorHAnsi" w:eastAsiaTheme="minorEastAsia" w:hAnsiTheme="minorHAnsi" w:cstheme="minorBidi"/>
                <w:noProof/>
                <w:color w:val="auto"/>
                <w:kern w:val="2"/>
                <w:lang w:val="fr-FR" w:eastAsia="fr-FR"/>
              </w:rPr>
              <w:tab/>
            </w:r>
            <w:r w:rsidRPr="00550A3E">
              <w:rPr>
                <w:rStyle w:val="Lienhypertexte"/>
                <w:noProof/>
              </w:rPr>
              <w:t>Fraction continental/global</w:t>
            </w:r>
            <w:r>
              <w:rPr>
                <w:noProof/>
                <w:webHidden/>
              </w:rPr>
              <w:tab/>
            </w:r>
            <w:r>
              <w:rPr>
                <w:noProof/>
                <w:webHidden/>
              </w:rPr>
              <w:fldChar w:fldCharType="begin"/>
            </w:r>
            <w:r>
              <w:rPr>
                <w:noProof/>
                <w:webHidden/>
              </w:rPr>
              <w:instrText xml:space="preserve"> PAGEREF _Toc199581142 \h </w:instrText>
            </w:r>
            <w:r>
              <w:rPr>
                <w:noProof/>
                <w:webHidden/>
              </w:rPr>
            </w:r>
            <w:r>
              <w:rPr>
                <w:noProof/>
                <w:webHidden/>
              </w:rPr>
              <w:fldChar w:fldCharType="separate"/>
            </w:r>
            <w:r>
              <w:rPr>
                <w:noProof/>
                <w:webHidden/>
              </w:rPr>
              <w:t>5</w:t>
            </w:r>
            <w:r>
              <w:rPr>
                <w:noProof/>
                <w:webHidden/>
              </w:rPr>
              <w:fldChar w:fldCharType="end"/>
            </w:r>
          </w:hyperlink>
        </w:p>
        <w:p w14:paraId="627A0554" w14:textId="45017051" w:rsidR="00BE059E" w:rsidRDefault="00BE059E">
          <w:pPr>
            <w:pStyle w:val="TM2"/>
            <w:tabs>
              <w:tab w:val="left" w:pos="960"/>
              <w:tab w:val="right" w:leader="dot" w:pos="9062"/>
            </w:tabs>
            <w:rPr>
              <w:rFonts w:asciiTheme="minorHAnsi" w:eastAsiaTheme="minorEastAsia" w:hAnsiTheme="minorHAnsi" w:cstheme="minorBidi"/>
              <w:noProof/>
              <w:color w:val="auto"/>
              <w:kern w:val="2"/>
              <w:lang w:val="fr-FR" w:eastAsia="fr-FR"/>
            </w:rPr>
          </w:pPr>
          <w:hyperlink w:anchor="_Toc199581143" w:history="1">
            <w:r w:rsidRPr="00550A3E">
              <w:rPr>
                <w:rStyle w:val="Lienhypertexte"/>
                <w:noProof/>
              </w:rPr>
              <w:t>3.2.</w:t>
            </w:r>
            <w:r>
              <w:rPr>
                <w:rFonts w:asciiTheme="minorHAnsi" w:eastAsiaTheme="minorEastAsia" w:hAnsiTheme="minorHAnsi" w:cstheme="minorBidi"/>
                <w:noProof/>
                <w:color w:val="auto"/>
                <w:kern w:val="2"/>
                <w:lang w:val="fr-FR" w:eastAsia="fr-FR"/>
              </w:rPr>
              <w:tab/>
            </w:r>
            <w:r w:rsidRPr="00550A3E">
              <w:rPr>
                <w:rStyle w:val="Lienhypertexte"/>
                <w:noProof/>
              </w:rPr>
              <w:t>Freshwater ecosystem</w:t>
            </w:r>
            <w:r>
              <w:rPr>
                <w:noProof/>
                <w:webHidden/>
              </w:rPr>
              <w:tab/>
            </w:r>
            <w:r>
              <w:rPr>
                <w:noProof/>
                <w:webHidden/>
              </w:rPr>
              <w:fldChar w:fldCharType="begin"/>
            </w:r>
            <w:r>
              <w:rPr>
                <w:noProof/>
                <w:webHidden/>
              </w:rPr>
              <w:instrText xml:space="preserve"> PAGEREF _Toc199581143 \h </w:instrText>
            </w:r>
            <w:r>
              <w:rPr>
                <w:noProof/>
                <w:webHidden/>
              </w:rPr>
            </w:r>
            <w:r>
              <w:rPr>
                <w:noProof/>
                <w:webHidden/>
              </w:rPr>
              <w:fldChar w:fldCharType="separate"/>
            </w:r>
            <w:r>
              <w:rPr>
                <w:noProof/>
                <w:webHidden/>
              </w:rPr>
              <w:t>6</w:t>
            </w:r>
            <w:r>
              <w:rPr>
                <w:noProof/>
                <w:webHidden/>
              </w:rPr>
              <w:fldChar w:fldCharType="end"/>
            </w:r>
          </w:hyperlink>
        </w:p>
        <w:p w14:paraId="7E2B52A9" w14:textId="7889F2DA" w:rsidR="00BE059E" w:rsidRDefault="00BE059E">
          <w:pPr>
            <w:pStyle w:val="TM3"/>
            <w:tabs>
              <w:tab w:val="left" w:pos="1440"/>
              <w:tab w:val="right" w:leader="dot" w:pos="9062"/>
            </w:tabs>
            <w:rPr>
              <w:rFonts w:asciiTheme="minorHAnsi" w:eastAsiaTheme="minorEastAsia" w:hAnsiTheme="minorHAnsi" w:cstheme="minorBidi"/>
              <w:noProof/>
              <w:color w:val="auto"/>
              <w:kern w:val="2"/>
              <w:lang w:val="fr-FR" w:eastAsia="fr-FR"/>
            </w:rPr>
          </w:pPr>
          <w:hyperlink w:anchor="_Toc199581144" w:history="1">
            <w:r w:rsidRPr="00550A3E">
              <w:rPr>
                <w:rStyle w:val="Lienhypertexte"/>
                <w:noProof/>
              </w:rPr>
              <w:t>3.2.1.</w:t>
            </w:r>
            <w:r>
              <w:rPr>
                <w:rFonts w:asciiTheme="minorHAnsi" w:eastAsiaTheme="minorEastAsia" w:hAnsiTheme="minorHAnsi" w:cstheme="minorBidi"/>
                <w:noProof/>
                <w:color w:val="auto"/>
                <w:kern w:val="2"/>
                <w:lang w:val="fr-FR" w:eastAsia="fr-FR"/>
              </w:rPr>
              <w:tab/>
            </w:r>
            <w:r w:rsidRPr="00550A3E">
              <w:rPr>
                <w:rStyle w:val="Lienhypertexte"/>
                <w:noProof/>
              </w:rPr>
              <w:t>Fraction sediment/water column</w:t>
            </w:r>
            <w:r>
              <w:rPr>
                <w:noProof/>
                <w:webHidden/>
              </w:rPr>
              <w:tab/>
            </w:r>
            <w:r>
              <w:rPr>
                <w:noProof/>
                <w:webHidden/>
              </w:rPr>
              <w:fldChar w:fldCharType="begin"/>
            </w:r>
            <w:r>
              <w:rPr>
                <w:noProof/>
                <w:webHidden/>
              </w:rPr>
              <w:instrText xml:space="preserve"> PAGEREF _Toc199581144 \h </w:instrText>
            </w:r>
            <w:r>
              <w:rPr>
                <w:noProof/>
                <w:webHidden/>
              </w:rPr>
            </w:r>
            <w:r>
              <w:rPr>
                <w:noProof/>
                <w:webHidden/>
              </w:rPr>
              <w:fldChar w:fldCharType="separate"/>
            </w:r>
            <w:r>
              <w:rPr>
                <w:noProof/>
                <w:webHidden/>
              </w:rPr>
              <w:t>6</w:t>
            </w:r>
            <w:r>
              <w:rPr>
                <w:noProof/>
                <w:webHidden/>
              </w:rPr>
              <w:fldChar w:fldCharType="end"/>
            </w:r>
          </w:hyperlink>
        </w:p>
        <w:p w14:paraId="5F0F13DB" w14:textId="41C9E2A3" w:rsidR="00BE059E" w:rsidRDefault="00BE059E">
          <w:pPr>
            <w:pStyle w:val="TM3"/>
            <w:tabs>
              <w:tab w:val="left" w:pos="1440"/>
              <w:tab w:val="right" w:leader="dot" w:pos="9062"/>
            </w:tabs>
            <w:rPr>
              <w:rFonts w:asciiTheme="minorHAnsi" w:eastAsiaTheme="minorEastAsia" w:hAnsiTheme="minorHAnsi" w:cstheme="minorBidi"/>
              <w:noProof/>
              <w:color w:val="auto"/>
              <w:kern w:val="2"/>
              <w:lang w:val="fr-FR" w:eastAsia="fr-FR"/>
            </w:rPr>
          </w:pPr>
          <w:hyperlink w:anchor="_Toc199581145" w:history="1">
            <w:r w:rsidRPr="00550A3E">
              <w:rPr>
                <w:rStyle w:val="Lienhypertexte"/>
                <w:noProof/>
              </w:rPr>
              <w:t>3.2.2.</w:t>
            </w:r>
            <w:r>
              <w:rPr>
                <w:rFonts w:asciiTheme="minorHAnsi" w:eastAsiaTheme="minorEastAsia" w:hAnsiTheme="minorHAnsi" w:cstheme="minorBidi"/>
                <w:noProof/>
                <w:color w:val="auto"/>
                <w:kern w:val="2"/>
                <w:lang w:val="fr-FR" w:eastAsia="fr-FR"/>
              </w:rPr>
              <w:tab/>
            </w:r>
            <w:r w:rsidRPr="00550A3E">
              <w:rPr>
                <w:rStyle w:val="Lienhypertexte"/>
                <w:noProof/>
              </w:rPr>
              <w:t>Fraction continental/global</w:t>
            </w:r>
            <w:r>
              <w:rPr>
                <w:noProof/>
                <w:webHidden/>
              </w:rPr>
              <w:tab/>
            </w:r>
            <w:r>
              <w:rPr>
                <w:noProof/>
                <w:webHidden/>
              </w:rPr>
              <w:fldChar w:fldCharType="begin"/>
            </w:r>
            <w:r>
              <w:rPr>
                <w:noProof/>
                <w:webHidden/>
              </w:rPr>
              <w:instrText xml:space="preserve"> PAGEREF _Toc199581145 \h </w:instrText>
            </w:r>
            <w:r>
              <w:rPr>
                <w:noProof/>
                <w:webHidden/>
              </w:rPr>
            </w:r>
            <w:r>
              <w:rPr>
                <w:noProof/>
                <w:webHidden/>
              </w:rPr>
              <w:fldChar w:fldCharType="separate"/>
            </w:r>
            <w:r>
              <w:rPr>
                <w:noProof/>
                <w:webHidden/>
              </w:rPr>
              <w:t>6</w:t>
            </w:r>
            <w:r>
              <w:rPr>
                <w:noProof/>
                <w:webHidden/>
              </w:rPr>
              <w:fldChar w:fldCharType="end"/>
            </w:r>
          </w:hyperlink>
        </w:p>
        <w:p w14:paraId="60799924" w14:textId="6BDB0FE5" w:rsidR="00BE059E" w:rsidRDefault="00BE059E">
          <w:pPr>
            <w:pStyle w:val="TM2"/>
            <w:tabs>
              <w:tab w:val="left" w:pos="960"/>
              <w:tab w:val="right" w:leader="dot" w:pos="9062"/>
            </w:tabs>
            <w:rPr>
              <w:rFonts w:asciiTheme="minorHAnsi" w:eastAsiaTheme="minorEastAsia" w:hAnsiTheme="minorHAnsi" w:cstheme="minorBidi"/>
              <w:noProof/>
              <w:color w:val="auto"/>
              <w:kern w:val="2"/>
              <w:lang w:val="fr-FR" w:eastAsia="fr-FR"/>
            </w:rPr>
          </w:pPr>
          <w:hyperlink w:anchor="_Toc199581146" w:history="1">
            <w:r w:rsidRPr="00550A3E">
              <w:rPr>
                <w:rStyle w:val="Lienhypertexte"/>
                <w:noProof/>
              </w:rPr>
              <w:t>3.3.</w:t>
            </w:r>
            <w:r>
              <w:rPr>
                <w:rFonts w:asciiTheme="minorHAnsi" w:eastAsiaTheme="minorEastAsia" w:hAnsiTheme="minorHAnsi" w:cstheme="minorBidi"/>
                <w:noProof/>
                <w:color w:val="auto"/>
                <w:kern w:val="2"/>
                <w:lang w:val="fr-FR" w:eastAsia="fr-FR"/>
              </w:rPr>
              <w:tab/>
            </w:r>
            <w:r w:rsidRPr="00550A3E">
              <w:rPr>
                <w:rStyle w:val="Lienhypertexte"/>
                <w:noProof/>
              </w:rPr>
              <w:t>Terrestrial ecosystem</w:t>
            </w:r>
            <w:r>
              <w:rPr>
                <w:noProof/>
                <w:webHidden/>
              </w:rPr>
              <w:tab/>
            </w:r>
            <w:r>
              <w:rPr>
                <w:noProof/>
                <w:webHidden/>
              </w:rPr>
              <w:fldChar w:fldCharType="begin"/>
            </w:r>
            <w:r>
              <w:rPr>
                <w:noProof/>
                <w:webHidden/>
              </w:rPr>
              <w:instrText xml:space="preserve"> PAGEREF _Toc199581146 \h </w:instrText>
            </w:r>
            <w:r>
              <w:rPr>
                <w:noProof/>
                <w:webHidden/>
              </w:rPr>
            </w:r>
            <w:r>
              <w:rPr>
                <w:noProof/>
                <w:webHidden/>
              </w:rPr>
              <w:fldChar w:fldCharType="separate"/>
            </w:r>
            <w:r>
              <w:rPr>
                <w:noProof/>
                <w:webHidden/>
              </w:rPr>
              <w:t>6</w:t>
            </w:r>
            <w:r>
              <w:rPr>
                <w:noProof/>
                <w:webHidden/>
              </w:rPr>
              <w:fldChar w:fldCharType="end"/>
            </w:r>
          </w:hyperlink>
        </w:p>
        <w:p w14:paraId="33F4D917" w14:textId="148DD103" w:rsidR="00BE059E" w:rsidRDefault="00BE059E">
          <w:pPr>
            <w:pStyle w:val="TM3"/>
            <w:tabs>
              <w:tab w:val="left" w:pos="1440"/>
              <w:tab w:val="right" w:leader="dot" w:pos="9062"/>
            </w:tabs>
            <w:rPr>
              <w:rFonts w:asciiTheme="minorHAnsi" w:eastAsiaTheme="minorEastAsia" w:hAnsiTheme="minorHAnsi" w:cstheme="minorBidi"/>
              <w:noProof/>
              <w:color w:val="auto"/>
              <w:kern w:val="2"/>
              <w:lang w:val="fr-FR" w:eastAsia="fr-FR"/>
            </w:rPr>
          </w:pPr>
          <w:hyperlink w:anchor="_Toc199581147" w:history="1">
            <w:r w:rsidRPr="00550A3E">
              <w:rPr>
                <w:rStyle w:val="Lienhypertexte"/>
                <w:noProof/>
              </w:rPr>
              <w:t>3.3.1.</w:t>
            </w:r>
            <w:r>
              <w:rPr>
                <w:rFonts w:asciiTheme="minorHAnsi" w:eastAsiaTheme="minorEastAsia" w:hAnsiTheme="minorHAnsi" w:cstheme="minorBidi"/>
                <w:noProof/>
                <w:color w:val="auto"/>
                <w:kern w:val="2"/>
                <w:lang w:val="fr-FR" w:eastAsia="fr-FR"/>
              </w:rPr>
              <w:tab/>
            </w:r>
            <w:r w:rsidRPr="00550A3E">
              <w:rPr>
                <w:rStyle w:val="Lienhypertexte"/>
                <w:noProof/>
              </w:rPr>
              <w:t>Fraction natural soil/agricultural soil</w:t>
            </w:r>
            <w:r>
              <w:rPr>
                <w:noProof/>
                <w:webHidden/>
              </w:rPr>
              <w:tab/>
            </w:r>
            <w:r>
              <w:rPr>
                <w:noProof/>
                <w:webHidden/>
              </w:rPr>
              <w:fldChar w:fldCharType="begin"/>
            </w:r>
            <w:r>
              <w:rPr>
                <w:noProof/>
                <w:webHidden/>
              </w:rPr>
              <w:instrText xml:space="preserve"> PAGEREF _Toc199581147 \h </w:instrText>
            </w:r>
            <w:r>
              <w:rPr>
                <w:noProof/>
                <w:webHidden/>
              </w:rPr>
            </w:r>
            <w:r>
              <w:rPr>
                <w:noProof/>
                <w:webHidden/>
              </w:rPr>
              <w:fldChar w:fldCharType="separate"/>
            </w:r>
            <w:r>
              <w:rPr>
                <w:noProof/>
                <w:webHidden/>
              </w:rPr>
              <w:t>6</w:t>
            </w:r>
            <w:r>
              <w:rPr>
                <w:noProof/>
                <w:webHidden/>
              </w:rPr>
              <w:fldChar w:fldCharType="end"/>
            </w:r>
          </w:hyperlink>
        </w:p>
        <w:p w14:paraId="5339071E" w14:textId="3AA20244" w:rsidR="00BE059E" w:rsidRDefault="00BE059E">
          <w:pPr>
            <w:pStyle w:val="TM3"/>
            <w:tabs>
              <w:tab w:val="left" w:pos="1440"/>
              <w:tab w:val="right" w:leader="dot" w:pos="9062"/>
            </w:tabs>
            <w:rPr>
              <w:rFonts w:asciiTheme="minorHAnsi" w:eastAsiaTheme="minorEastAsia" w:hAnsiTheme="minorHAnsi" w:cstheme="minorBidi"/>
              <w:noProof/>
              <w:color w:val="auto"/>
              <w:kern w:val="2"/>
              <w:lang w:val="fr-FR" w:eastAsia="fr-FR"/>
            </w:rPr>
          </w:pPr>
          <w:hyperlink w:anchor="_Toc199581148" w:history="1">
            <w:r w:rsidRPr="00550A3E">
              <w:rPr>
                <w:rStyle w:val="Lienhypertexte"/>
                <w:noProof/>
              </w:rPr>
              <w:t>3.3.2.</w:t>
            </w:r>
            <w:r>
              <w:rPr>
                <w:rFonts w:asciiTheme="minorHAnsi" w:eastAsiaTheme="minorEastAsia" w:hAnsiTheme="minorHAnsi" w:cstheme="minorBidi"/>
                <w:noProof/>
                <w:color w:val="auto"/>
                <w:kern w:val="2"/>
                <w:lang w:val="fr-FR" w:eastAsia="fr-FR"/>
              </w:rPr>
              <w:tab/>
            </w:r>
            <w:r w:rsidRPr="00550A3E">
              <w:rPr>
                <w:rStyle w:val="Lienhypertexte"/>
                <w:noProof/>
              </w:rPr>
              <w:t>Fraction continental/global</w:t>
            </w:r>
            <w:r>
              <w:rPr>
                <w:noProof/>
                <w:webHidden/>
              </w:rPr>
              <w:tab/>
            </w:r>
            <w:r>
              <w:rPr>
                <w:noProof/>
                <w:webHidden/>
              </w:rPr>
              <w:fldChar w:fldCharType="begin"/>
            </w:r>
            <w:r>
              <w:rPr>
                <w:noProof/>
                <w:webHidden/>
              </w:rPr>
              <w:instrText xml:space="preserve"> PAGEREF _Toc199581148 \h </w:instrText>
            </w:r>
            <w:r>
              <w:rPr>
                <w:noProof/>
                <w:webHidden/>
              </w:rPr>
            </w:r>
            <w:r>
              <w:rPr>
                <w:noProof/>
                <w:webHidden/>
              </w:rPr>
              <w:fldChar w:fldCharType="separate"/>
            </w:r>
            <w:r>
              <w:rPr>
                <w:noProof/>
                <w:webHidden/>
              </w:rPr>
              <w:t>6</w:t>
            </w:r>
            <w:r>
              <w:rPr>
                <w:noProof/>
                <w:webHidden/>
              </w:rPr>
              <w:fldChar w:fldCharType="end"/>
            </w:r>
          </w:hyperlink>
        </w:p>
        <w:p w14:paraId="4DD2F9D7" w14:textId="0CDF41B4" w:rsidR="00BE059E" w:rsidRDefault="00BE059E">
          <w:pPr>
            <w:pStyle w:val="TM1"/>
            <w:tabs>
              <w:tab w:val="left" w:pos="440"/>
              <w:tab w:val="right" w:leader="dot" w:pos="9062"/>
            </w:tabs>
            <w:rPr>
              <w:rFonts w:asciiTheme="minorHAnsi" w:eastAsiaTheme="minorEastAsia" w:hAnsiTheme="minorHAnsi" w:cstheme="minorBidi"/>
              <w:noProof/>
              <w:color w:val="auto"/>
              <w:kern w:val="2"/>
              <w:lang w:val="fr-FR" w:eastAsia="fr-FR"/>
            </w:rPr>
          </w:pPr>
          <w:hyperlink w:anchor="_Toc199581149" w:history="1">
            <w:r w:rsidRPr="00550A3E">
              <w:rPr>
                <w:rStyle w:val="Lienhypertexte"/>
                <w:noProof/>
              </w:rPr>
              <w:t>4.</w:t>
            </w:r>
            <w:r>
              <w:rPr>
                <w:rFonts w:asciiTheme="minorHAnsi" w:eastAsiaTheme="minorEastAsia" w:hAnsiTheme="minorHAnsi" w:cstheme="minorBidi"/>
                <w:noProof/>
                <w:color w:val="auto"/>
                <w:kern w:val="2"/>
                <w:lang w:val="fr-FR" w:eastAsia="fr-FR"/>
              </w:rPr>
              <w:tab/>
            </w:r>
            <w:r w:rsidRPr="00550A3E">
              <w:rPr>
                <w:rStyle w:val="Lienhypertexte"/>
                <w:noProof/>
              </w:rPr>
              <w:t>Details on the case study</w:t>
            </w:r>
            <w:r>
              <w:rPr>
                <w:noProof/>
                <w:webHidden/>
              </w:rPr>
              <w:tab/>
            </w:r>
            <w:r>
              <w:rPr>
                <w:noProof/>
                <w:webHidden/>
              </w:rPr>
              <w:fldChar w:fldCharType="begin"/>
            </w:r>
            <w:r>
              <w:rPr>
                <w:noProof/>
                <w:webHidden/>
              </w:rPr>
              <w:instrText xml:space="preserve"> PAGEREF _Toc199581149 \h </w:instrText>
            </w:r>
            <w:r>
              <w:rPr>
                <w:noProof/>
                <w:webHidden/>
              </w:rPr>
            </w:r>
            <w:r>
              <w:rPr>
                <w:noProof/>
                <w:webHidden/>
              </w:rPr>
              <w:fldChar w:fldCharType="separate"/>
            </w:r>
            <w:r>
              <w:rPr>
                <w:noProof/>
                <w:webHidden/>
              </w:rPr>
              <w:t>7</w:t>
            </w:r>
            <w:r>
              <w:rPr>
                <w:noProof/>
                <w:webHidden/>
              </w:rPr>
              <w:fldChar w:fldCharType="end"/>
            </w:r>
          </w:hyperlink>
        </w:p>
        <w:p w14:paraId="31C7952F" w14:textId="369CF873" w:rsidR="00BE059E" w:rsidRDefault="00BE059E">
          <w:pPr>
            <w:pStyle w:val="TM2"/>
            <w:tabs>
              <w:tab w:val="left" w:pos="960"/>
              <w:tab w:val="right" w:leader="dot" w:pos="9062"/>
            </w:tabs>
            <w:rPr>
              <w:rFonts w:asciiTheme="minorHAnsi" w:eastAsiaTheme="minorEastAsia" w:hAnsiTheme="minorHAnsi" w:cstheme="minorBidi"/>
              <w:noProof/>
              <w:color w:val="auto"/>
              <w:kern w:val="2"/>
              <w:lang w:val="fr-FR" w:eastAsia="fr-FR"/>
            </w:rPr>
          </w:pPr>
          <w:hyperlink w:anchor="_Toc199581150" w:history="1">
            <w:r w:rsidRPr="00550A3E">
              <w:rPr>
                <w:rStyle w:val="Lienhypertexte"/>
                <w:noProof/>
              </w:rPr>
              <w:t>4.1.</w:t>
            </w:r>
            <w:r>
              <w:rPr>
                <w:rFonts w:asciiTheme="minorHAnsi" w:eastAsiaTheme="minorEastAsia" w:hAnsiTheme="minorHAnsi" w:cstheme="minorBidi"/>
                <w:noProof/>
                <w:color w:val="auto"/>
                <w:kern w:val="2"/>
                <w:lang w:val="fr-FR" w:eastAsia="fr-FR"/>
              </w:rPr>
              <w:tab/>
            </w:r>
            <w:r w:rsidRPr="00550A3E">
              <w:rPr>
                <w:rStyle w:val="Lienhypertexte"/>
                <w:noProof/>
              </w:rPr>
              <w:t>Inventory</w:t>
            </w:r>
            <w:r>
              <w:rPr>
                <w:noProof/>
                <w:webHidden/>
              </w:rPr>
              <w:tab/>
            </w:r>
            <w:r>
              <w:rPr>
                <w:noProof/>
                <w:webHidden/>
              </w:rPr>
              <w:fldChar w:fldCharType="begin"/>
            </w:r>
            <w:r>
              <w:rPr>
                <w:noProof/>
                <w:webHidden/>
              </w:rPr>
              <w:instrText xml:space="preserve"> PAGEREF _Toc199581150 \h </w:instrText>
            </w:r>
            <w:r>
              <w:rPr>
                <w:noProof/>
                <w:webHidden/>
              </w:rPr>
            </w:r>
            <w:r>
              <w:rPr>
                <w:noProof/>
                <w:webHidden/>
              </w:rPr>
              <w:fldChar w:fldCharType="separate"/>
            </w:r>
            <w:r>
              <w:rPr>
                <w:noProof/>
                <w:webHidden/>
              </w:rPr>
              <w:t>7</w:t>
            </w:r>
            <w:r>
              <w:rPr>
                <w:noProof/>
                <w:webHidden/>
              </w:rPr>
              <w:fldChar w:fldCharType="end"/>
            </w:r>
          </w:hyperlink>
        </w:p>
        <w:p w14:paraId="50B2EB03" w14:textId="143D4F8B" w:rsidR="00BE059E" w:rsidRDefault="00BE059E">
          <w:pPr>
            <w:pStyle w:val="TM2"/>
            <w:tabs>
              <w:tab w:val="left" w:pos="960"/>
              <w:tab w:val="right" w:leader="dot" w:pos="9062"/>
            </w:tabs>
            <w:rPr>
              <w:rFonts w:asciiTheme="minorHAnsi" w:eastAsiaTheme="minorEastAsia" w:hAnsiTheme="minorHAnsi" w:cstheme="minorBidi"/>
              <w:noProof/>
              <w:color w:val="auto"/>
              <w:kern w:val="2"/>
              <w:lang w:val="fr-FR" w:eastAsia="fr-FR"/>
            </w:rPr>
          </w:pPr>
          <w:hyperlink w:anchor="_Toc199581151" w:history="1">
            <w:r w:rsidRPr="00550A3E">
              <w:rPr>
                <w:rStyle w:val="Lienhypertexte"/>
                <w:noProof/>
              </w:rPr>
              <w:t>4.2.</w:t>
            </w:r>
            <w:r>
              <w:rPr>
                <w:rFonts w:asciiTheme="minorHAnsi" w:eastAsiaTheme="minorEastAsia" w:hAnsiTheme="minorHAnsi" w:cstheme="minorBidi"/>
                <w:noProof/>
                <w:color w:val="auto"/>
                <w:kern w:val="2"/>
                <w:lang w:val="fr-FR" w:eastAsia="fr-FR"/>
              </w:rPr>
              <w:tab/>
            </w:r>
            <w:r w:rsidRPr="00550A3E">
              <w:rPr>
                <w:rStyle w:val="Lienhypertexte"/>
                <w:noProof/>
              </w:rPr>
              <w:t>CFs used</w:t>
            </w:r>
            <w:r>
              <w:rPr>
                <w:noProof/>
                <w:webHidden/>
              </w:rPr>
              <w:tab/>
            </w:r>
            <w:r>
              <w:rPr>
                <w:noProof/>
                <w:webHidden/>
              </w:rPr>
              <w:fldChar w:fldCharType="begin"/>
            </w:r>
            <w:r>
              <w:rPr>
                <w:noProof/>
                <w:webHidden/>
              </w:rPr>
              <w:instrText xml:space="preserve"> PAGEREF _Toc199581151 \h </w:instrText>
            </w:r>
            <w:r>
              <w:rPr>
                <w:noProof/>
                <w:webHidden/>
              </w:rPr>
            </w:r>
            <w:r>
              <w:rPr>
                <w:noProof/>
                <w:webHidden/>
              </w:rPr>
              <w:fldChar w:fldCharType="separate"/>
            </w:r>
            <w:r>
              <w:rPr>
                <w:noProof/>
                <w:webHidden/>
              </w:rPr>
              <w:t>7</w:t>
            </w:r>
            <w:r>
              <w:rPr>
                <w:noProof/>
                <w:webHidden/>
              </w:rPr>
              <w:fldChar w:fldCharType="end"/>
            </w:r>
          </w:hyperlink>
        </w:p>
        <w:p w14:paraId="7AEEC21B" w14:textId="74410C63" w:rsidR="00BE059E" w:rsidRDefault="00BE059E">
          <w:pPr>
            <w:pStyle w:val="TM2"/>
            <w:tabs>
              <w:tab w:val="left" w:pos="960"/>
              <w:tab w:val="right" w:leader="dot" w:pos="9062"/>
            </w:tabs>
            <w:rPr>
              <w:rFonts w:asciiTheme="minorHAnsi" w:eastAsiaTheme="minorEastAsia" w:hAnsiTheme="minorHAnsi" w:cstheme="minorBidi"/>
              <w:noProof/>
              <w:color w:val="auto"/>
              <w:kern w:val="2"/>
              <w:lang w:val="fr-FR" w:eastAsia="fr-FR"/>
            </w:rPr>
          </w:pPr>
          <w:hyperlink w:anchor="_Toc199581152" w:history="1">
            <w:r w:rsidRPr="00550A3E">
              <w:rPr>
                <w:rStyle w:val="Lienhypertexte"/>
                <w:noProof/>
              </w:rPr>
              <w:t>4.3.</w:t>
            </w:r>
            <w:r>
              <w:rPr>
                <w:rFonts w:asciiTheme="minorHAnsi" w:eastAsiaTheme="minorEastAsia" w:hAnsiTheme="minorHAnsi" w:cstheme="minorBidi"/>
                <w:noProof/>
                <w:color w:val="auto"/>
                <w:kern w:val="2"/>
                <w:lang w:val="fr-FR" w:eastAsia="fr-FR"/>
              </w:rPr>
              <w:tab/>
            </w:r>
            <w:r w:rsidRPr="00550A3E">
              <w:rPr>
                <w:rStyle w:val="Lienhypertexte"/>
                <w:noProof/>
              </w:rPr>
              <w:t>Method used</w:t>
            </w:r>
            <w:r>
              <w:rPr>
                <w:noProof/>
                <w:webHidden/>
              </w:rPr>
              <w:tab/>
            </w:r>
            <w:r>
              <w:rPr>
                <w:noProof/>
                <w:webHidden/>
              </w:rPr>
              <w:fldChar w:fldCharType="begin"/>
            </w:r>
            <w:r>
              <w:rPr>
                <w:noProof/>
                <w:webHidden/>
              </w:rPr>
              <w:instrText xml:space="preserve"> PAGEREF _Toc199581152 \h </w:instrText>
            </w:r>
            <w:r>
              <w:rPr>
                <w:noProof/>
                <w:webHidden/>
              </w:rPr>
            </w:r>
            <w:r>
              <w:rPr>
                <w:noProof/>
                <w:webHidden/>
              </w:rPr>
              <w:fldChar w:fldCharType="separate"/>
            </w:r>
            <w:r>
              <w:rPr>
                <w:noProof/>
                <w:webHidden/>
              </w:rPr>
              <w:t>7</w:t>
            </w:r>
            <w:r>
              <w:rPr>
                <w:noProof/>
                <w:webHidden/>
              </w:rPr>
              <w:fldChar w:fldCharType="end"/>
            </w:r>
          </w:hyperlink>
        </w:p>
        <w:p w14:paraId="349974DA" w14:textId="14800BAA" w:rsidR="00BE059E" w:rsidRDefault="00BE059E">
          <w:pPr>
            <w:pStyle w:val="TM1"/>
            <w:tabs>
              <w:tab w:val="left" w:pos="440"/>
              <w:tab w:val="right" w:leader="dot" w:pos="9062"/>
            </w:tabs>
            <w:rPr>
              <w:rFonts w:asciiTheme="minorHAnsi" w:eastAsiaTheme="minorEastAsia" w:hAnsiTheme="minorHAnsi" w:cstheme="minorBidi"/>
              <w:noProof/>
              <w:color w:val="auto"/>
              <w:kern w:val="2"/>
              <w:lang w:val="fr-FR" w:eastAsia="fr-FR"/>
            </w:rPr>
          </w:pPr>
          <w:hyperlink w:anchor="_Toc199581153" w:history="1">
            <w:r w:rsidRPr="00550A3E">
              <w:rPr>
                <w:rStyle w:val="Lienhypertexte"/>
                <w:noProof/>
              </w:rPr>
              <w:t>5.</w:t>
            </w:r>
            <w:r>
              <w:rPr>
                <w:rFonts w:asciiTheme="minorHAnsi" w:eastAsiaTheme="minorEastAsia" w:hAnsiTheme="minorHAnsi" w:cstheme="minorBidi"/>
                <w:noProof/>
                <w:color w:val="auto"/>
                <w:kern w:val="2"/>
                <w:lang w:val="fr-FR" w:eastAsia="fr-FR"/>
              </w:rPr>
              <w:tab/>
            </w:r>
            <w:r w:rsidRPr="00550A3E">
              <w:rPr>
                <w:rStyle w:val="Lienhypertexte"/>
                <w:noProof/>
              </w:rPr>
              <w:t>Additional figure: CF</w:t>
            </w:r>
            <w:r w:rsidRPr="00550A3E">
              <w:rPr>
                <w:rStyle w:val="Lienhypertexte"/>
                <w:noProof/>
                <w:vertAlign w:val="subscript"/>
              </w:rPr>
              <w:t>comp</w:t>
            </w:r>
            <w:r w:rsidRPr="00550A3E">
              <w:rPr>
                <w:rStyle w:val="Lienhypertexte"/>
                <w:noProof/>
              </w:rPr>
              <w:t xml:space="preserve"> matrix</w:t>
            </w:r>
            <w:r>
              <w:rPr>
                <w:noProof/>
                <w:webHidden/>
              </w:rPr>
              <w:tab/>
            </w:r>
            <w:r>
              <w:rPr>
                <w:noProof/>
                <w:webHidden/>
              </w:rPr>
              <w:fldChar w:fldCharType="begin"/>
            </w:r>
            <w:r>
              <w:rPr>
                <w:noProof/>
                <w:webHidden/>
              </w:rPr>
              <w:instrText xml:space="preserve"> PAGEREF _Toc199581153 \h </w:instrText>
            </w:r>
            <w:r>
              <w:rPr>
                <w:noProof/>
                <w:webHidden/>
              </w:rPr>
            </w:r>
            <w:r>
              <w:rPr>
                <w:noProof/>
                <w:webHidden/>
              </w:rPr>
              <w:fldChar w:fldCharType="separate"/>
            </w:r>
            <w:r>
              <w:rPr>
                <w:noProof/>
                <w:webHidden/>
              </w:rPr>
              <w:t>8</w:t>
            </w:r>
            <w:r>
              <w:rPr>
                <w:noProof/>
                <w:webHidden/>
              </w:rPr>
              <w:fldChar w:fldCharType="end"/>
            </w:r>
          </w:hyperlink>
        </w:p>
        <w:p w14:paraId="7E24B086" w14:textId="1AAF8288" w:rsidR="00BE059E" w:rsidRDefault="00BE059E">
          <w:pPr>
            <w:pStyle w:val="TM1"/>
            <w:tabs>
              <w:tab w:val="left" w:pos="440"/>
              <w:tab w:val="right" w:leader="dot" w:pos="9062"/>
            </w:tabs>
            <w:rPr>
              <w:rFonts w:asciiTheme="minorHAnsi" w:eastAsiaTheme="minorEastAsia" w:hAnsiTheme="minorHAnsi" w:cstheme="minorBidi"/>
              <w:noProof/>
              <w:color w:val="auto"/>
              <w:kern w:val="2"/>
              <w:lang w:val="fr-FR" w:eastAsia="fr-FR"/>
            </w:rPr>
          </w:pPr>
          <w:hyperlink w:anchor="_Toc199581154" w:history="1">
            <w:r w:rsidRPr="00550A3E">
              <w:rPr>
                <w:rStyle w:val="Lienhypertexte"/>
                <w:noProof/>
              </w:rPr>
              <w:t>6.</w:t>
            </w:r>
            <w:r>
              <w:rPr>
                <w:rFonts w:asciiTheme="minorHAnsi" w:eastAsiaTheme="minorEastAsia" w:hAnsiTheme="minorHAnsi" w:cstheme="minorBidi"/>
                <w:noProof/>
                <w:color w:val="auto"/>
                <w:kern w:val="2"/>
                <w:lang w:val="fr-FR" w:eastAsia="fr-FR"/>
              </w:rPr>
              <w:tab/>
            </w:r>
            <w:r w:rsidRPr="00550A3E">
              <w:rPr>
                <w:rStyle w:val="Lienhypertexte"/>
                <w:noProof/>
              </w:rPr>
              <w:t>Additional figure: CFs by region in PDF·m</w:t>
            </w:r>
            <w:r w:rsidRPr="00550A3E">
              <w:rPr>
                <w:rStyle w:val="Lienhypertexte"/>
                <w:noProof/>
                <w:vertAlign w:val="superscript"/>
              </w:rPr>
              <w:t>2</w:t>
            </w:r>
            <w:r w:rsidRPr="00550A3E">
              <w:rPr>
                <w:rStyle w:val="Lienhypertexte"/>
                <w:noProof/>
              </w:rPr>
              <w:t>·year/kg</w:t>
            </w:r>
            <w:r>
              <w:rPr>
                <w:noProof/>
                <w:webHidden/>
              </w:rPr>
              <w:tab/>
            </w:r>
            <w:r>
              <w:rPr>
                <w:noProof/>
                <w:webHidden/>
              </w:rPr>
              <w:fldChar w:fldCharType="begin"/>
            </w:r>
            <w:r>
              <w:rPr>
                <w:noProof/>
                <w:webHidden/>
              </w:rPr>
              <w:instrText xml:space="preserve"> PAGEREF _Toc199581154 \h </w:instrText>
            </w:r>
            <w:r>
              <w:rPr>
                <w:noProof/>
                <w:webHidden/>
              </w:rPr>
            </w:r>
            <w:r>
              <w:rPr>
                <w:noProof/>
                <w:webHidden/>
              </w:rPr>
              <w:fldChar w:fldCharType="separate"/>
            </w:r>
            <w:r>
              <w:rPr>
                <w:noProof/>
                <w:webHidden/>
              </w:rPr>
              <w:t>8</w:t>
            </w:r>
            <w:r>
              <w:rPr>
                <w:noProof/>
                <w:webHidden/>
              </w:rPr>
              <w:fldChar w:fldCharType="end"/>
            </w:r>
          </w:hyperlink>
        </w:p>
        <w:p w14:paraId="60950302" w14:textId="5A25AA05" w:rsidR="00BE059E" w:rsidRDefault="00BE059E">
          <w:pPr>
            <w:pStyle w:val="TM1"/>
            <w:tabs>
              <w:tab w:val="left" w:pos="440"/>
              <w:tab w:val="right" w:leader="dot" w:pos="9062"/>
            </w:tabs>
            <w:rPr>
              <w:rFonts w:asciiTheme="minorHAnsi" w:eastAsiaTheme="minorEastAsia" w:hAnsiTheme="minorHAnsi" w:cstheme="minorBidi"/>
              <w:noProof/>
              <w:color w:val="auto"/>
              <w:kern w:val="2"/>
              <w:lang w:val="fr-FR" w:eastAsia="fr-FR"/>
            </w:rPr>
          </w:pPr>
          <w:hyperlink w:anchor="_Toc199581155" w:history="1">
            <w:r w:rsidRPr="00550A3E">
              <w:rPr>
                <w:rStyle w:val="Lienhypertexte"/>
                <w:noProof/>
              </w:rPr>
              <w:t>7.</w:t>
            </w:r>
            <w:r>
              <w:rPr>
                <w:rFonts w:asciiTheme="minorHAnsi" w:eastAsiaTheme="minorEastAsia" w:hAnsiTheme="minorHAnsi" w:cstheme="minorBidi"/>
                <w:noProof/>
                <w:color w:val="auto"/>
                <w:kern w:val="2"/>
                <w:lang w:val="fr-FR" w:eastAsia="fr-FR"/>
              </w:rPr>
              <w:tab/>
            </w:r>
            <w:r w:rsidRPr="00550A3E">
              <w:rPr>
                <w:rStyle w:val="Lienhypertexte"/>
                <w:noProof/>
              </w:rPr>
              <w:t>References</w:t>
            </w:r>
            <w:r>
              <w:rPr>
                <w:noProof/>
                <w:webHidden/>
              </w:rPr>
              <w:tab/>
            </w:r>
            <w:r>
              <w:rPr>
                <w:noProof/>
                <w:webHidden/>
              </w:rPr>
              <w:fldChar w:fldCharType="begin"/>
            </w:r>
            <w:r>
              <w:rPr>
                <w:noProof/>
                <w:webHidden/>
              </w:rPr>
              <w:instrText xml:space="preserve"> PAGEREF _Toc199581155 \h </w:instrText>
            </w:r>
            <w:r>
              <w:rPr>
                <w:noProof/>
                <w:webHidden/>
              </w:rPr>
            </w:r>
            <w:r>
              <w:rPr>
                <w:noProof/>
                <w:webHidden/>
              </w:rPr>
              <w:fldChar w:fldCharType="separate"/>
            </w:r>
            <w:r>
              <w:rPr>
                <w:noProof/>
                <w:webHidden/>
              </w:rPr>
              <w:t>9</w:t>
            </w:r>
            <w:r>
              <w:rPr>
                <w:noProof/>
                <w:webHidden/>
              </w:rPr>
              <w:fldChar w:fldCharType="end"/>
            </w:r>
          </w:hyperlink>
        </w:p>
        <w:p w14:paraId="4F09DA7F" w14:textId="4FA14728" w:rsidR="00F6147A" w:rsidRPr="006B7FAF" w:rsidRDefault="00325B44" w:rsidP="00BE059E">
          <w:r w:rsidRPr="00F6147A">
            <w:fldChar w:fldCharType="end"/>
          </w:r>
        </w:p>
      </w:sdtContent>
    </w:sdt>
    <w:p w14:paraId="63B48545" w14:textId="340BDAC5" w:rsidR="001B633D" w:rsidRDefault="001B633D" w:rsidP="00BE059E">
      <w:pPr>
        <w:pStyle w:val="Titre1"/>
      </w:pPr>
      <w:bookmarkStart w:id="1" w:name="_Toc199581129"/>
      <w:r w:rsidRPr="001B633D">
        <w:t>Descriptions of the changes made in SimpleBox4Plastics</w:t>
      </w:r>
      <w:bookmarkEnd w:id="1"/>
    </w:p>
    <w:p w14:paraId="42F67625" w14:textId="0C3F8FBC" w:rsidR="001B633D" w:rsidRPr="001B633D" w:rsidRDefault="001B633D" w:rsidP="00BE059E">
      <w:pPr>
        <w:pStyle w:val="Titre2"/>
      </w:pPr>
      <w:r w:rsidRPr="00325B44">
        <w:t xml:space="preserve"> </w:t>
      </w:r>
      <w:bookmarkStart w:id="2" w:name="_Toc199581130"/>
      <w:r w:rsidRPr="001B633D">
        <w:t>Model scales</w:t>
      </w:r>
      <w:bookmarkEnd w:id="2"/>
      <w:r w:rsidRPr="001B633D">
        <w:t xml:space="preserve"> </w:t>
      </w:r>
    </w:p>
    <w:p w14:paraId="041F4F6C" w14:textId="52701EDC" w:rsidR="001B633D" w:rsidRPr="001B633D" w:rsidRDefault="001B633D" w:rsidP="00BE059E">
      <w:r w:rsidRPr="001B633D">
        <w:t xml:space="preserve">To align more closely with </w:t>
      </w:r>
      <w:proofErr w:type="spellStart"/>
      <w:r w:rsidRPr="001B633D">
        <w:t>USEtox</w:t>
      </w:r>
      <w:proofErr w:type="spellEnd"/>
      <w:r w:rsidRPr="001B633D">
        <w:t xml:space="preserve">, the original scales of SimpleBox4Plastics—regional, continental, and global—are reduced to two: continental and global. The continental scale refers to a </w:t>
      </w:r>
      <w:r w:rsidRPr="00BE059E">
        <w:t>continent where emissions</w:t>
      </w:r>
      <w:r w:rsidRPr="001B633D">
        <w:t xml:space="preserve"> of microplastics can occur and the global scale refers to the rest of the world from this emission continent.</w:t>
      </w:r>
      <w:r w:rsidR="00EE494E">
        <w:t xml:space="preserve"> </w:t>
      </w:r>
      <w:r w:rsidR="00EE494E" w:rsidRPr="00C55D63">
        <w:t>This adjustment involves using the original regional and continental scales of SB4P and removing the advection link between continental and global air and ocean.</w:t>
      </w:r>
      <w:r w:rsidR="00EE494E">
        <w:t xml:space="preserve"> </w:t>
      </w:r>
      <w:r w:rsidRPr="001B633D">
        <w:t xml:space="preserve">Subsequently, </w:t>
      </w:r>
      <w:r w:rsidR="00EE494E" w:rsidRPr="00EE494E">
        <w:t xml:space="preserve">the landscape settings of the regional and continental scales are modified to match the parameters of a specific continent (continental scale) and its rest of the world (global scale), </w:t>
      </w:r>
      <w:r w:rsidRPr="001B633D">
        <w:t>respectively</w:t>
      </w:r>
      <w:r w:rsidR="00EE494E">
        <w:t xml:space="preserve"> with the regionalized data (see SI 3)</w:t>
      </w:r>
      <w:r w:rsidRPr="001B633D">
        <w:t xml:space="preserve">. </w:t>
      </w:r>
    </w:p>
    <w:p w14:paraId="40369DE1" w14:textId="7D79D89D" w:rsidR="001B633D" w:rsidRPr="001B633D" w:rsidRDefault="001B633D" w:rsidP="00BE059E">
      <w:pPr>
        <w:pStyle w:val="Titre2"/>
      </w:pPr>
      <w:r>
        <w:t xml:space="preserve"> </w:t>
      </w:r>
      <w:bookmarkStart w:id="3" w:name="_Toc199581131"/>
      <w:r w:rsidRPr="001B633D">
        <w:t>Removal of the other soil compartment</w:t>
      </w:r>
      <w:bookmarkEnd w:id="3"/>
    </w:p>
    <w:p w14:paraId="0A538AB2" w14:textId="593D2BC9" w:rsidR="001B633D" w:rsidRPr="001B633D" w:rsidRDefault="001B633D" w:rsidP="00BE059E">
      <w:r w:rsidRPr="001B633D">
        <w:t>In SB4P, 11 environmental compartments are represented at both regional and continental scales: air, cloud water, lake water, freshwater, seawater, their respective sediments, natural soil, agricultural soil, and other soil.</w:t>
      </w:r>
      <w:r w:rsidR="00DD7946">
        <w:t xml:space="preserve"> In this case, o</w:t>
      </w:r>
      <w:r w:rsidR="00EE494E">
        <w:t xml:space="preserve">ther soil refers to urban soil and </w:t>
      </w:r>
      <w:r w:rsidR="00DD7946">
        <w:t xml:space="preserve">is </w:t>
      </w:r>
      <w:r w:rsidR="00DD7946" w:rsidRPr="00DD7946">
        <w:t xml:space="preserve">part of the </w:t>
      </w:r>
      <w:proofErr w:type="spellStart"/>
      <w:r w:rsidR="00DD7946" w:rsidRPr="00DD7946">
        <w:t>technosphere</w:t>
      </w:r>
      <w:proofErr w:type="spellEnd"/>
      <w:r w:rsidR="00DD7946">
        <w:t xml:space="preserve">. As we want to consider only the impacts of microplastic emissions in the biosphere, the other soil compartment is removed. </w:t>
      </w:r>
      <w:r w:rsidRPr="001B633D">
        <w:t>The fraction area previously allocated to other soil and all transfers associated with other soil are set to zero.</w:t>
      </w:r>
    </w:p>
    <w:p w14:paraId="41FC8CDB" w14:textId="4677FD84" w:rsidR="001B633D" w:rsidRPr="001B633D" w:rsidRDefault="001B633D" w:rsidP="00BE059E">
      <w:pPr>
        <w:pStyle w:val="Titre2"/>
      </w:pPr>
      <w:r>
        <w:t xml:space="preserve"> </w:t>
      </w:r>
      <w:bookmarkStart w:id="4" w:name="_Toc199581132"/>
      <w:r w:rsidRPr="001B633D">
        <w:t>Calculation of the degradation mechanism and removal of the fragmentation</w:t>
      </w:r>
      <w:bookmarkEnd w:id="4"/>
      <w:r w:rsidRPr="001B633D">
        <w:t xml:space="preserve"> </w:t>
      </w:r>
    </w:p>
    <w:p w14:paraId="10B47E42" w14:textId="77777777" w:rsidR="001B633D" w:rsidRPr="001B633D" w:rsidRDefault="001B633D" w:rsidP="00BE059E">
      <w:r w:rsidRPr="001B633D">
        <w:t xml:space="preserve">In SB4P, the removal rate within a compartment is composed of two components: the degradation rate and the fragmentation rate. </w:t>
      </w:r>
    </w:p>
    <w:p w14:paraId="775C7580" w14:textId="77777777" w:rsidR="001B633D" w:rsidRPr="001B633D" w:rsidRDefault="001B633D" w:rsidP="00BE059E">
      <w:r w:rsidRPr="001B633D">
        <w:t xml:space="preserve">The fragmentation rate here represents the rate at which microplastic particles break down into nanoparticles due to physical, chemical, and biological factors </w:t>
      </w:r>
      <w:r w:rsidRPr="001E4A17">
        <w:fldChar w:fldCharType="begin"/>
      </w:r>
      <w:r w:rsidRPr="001B633D">
        <w:instrText xml:space="preserve"> ADDIN ZOTERO_ITEM CSL_CITATION {"citationID":"PL59S1m8","properties":{"formattedCitation":"(Andrady, 2022)","plainCitation":"(Andrady, 2022)","noteIndex":0},"citationItems":[{"id":315,"uris":["http://zotero.org/users/10708243/items/CPPKV742"],"itemData":{"id":315,"type":"article-journal","abstract":"Fragmentation of plastic macro-debris into secondary microplastics [MPs] is primarily the result of their extensive oxidation under exposure to solar UV radiation. The heterogeneity in the marine zones with respect to their oxidative potential for plastics, introduces a marked zonal bias in their ability to carry out weathering and fragmentation. Comparing the oxidative environments of the beach zone and the upper pelagic zone with floating plastics, it is argued that the latter tends to preclude photooxidative fragmentation. Abundant MPs found in seawater are therefore more likely to have originated on beaches or land and subsequently transferred to the water, as opposed to being generated by weathering of floating plastic stock. Laboratory-accelerated weathering of plastics in seawater obtains efficient micro-fragmentation and in some instances photo- dissolution of the plastic debris, but these results cannot be reliably extrapolated to natural weathering conditions in the ocean environment.","container-title":"Marine Pollution Bulletin","DOI":"10.1016/j.marpolbul.2022.113761","ISSN":"0025326X","journalAbbreviation":"Marine Pollution Bulletin","language":"en","page":"113761","source":"DOI.org (Crossref)","title":"Weathering and fragmentation of plastic debris in the ocean environment","volume":"180","author":[{"family":"Andrady","given":"Anthony L."}],"issued":{"date-parts":[["2022",7]]}}}],"schema":"https://github.com/citation-style-language/schema/raw/master/csl-citation.json"} </w:instrText>
      </w:r>
      <w:r w:rsidRPr="001E4A17">
        <w:fldChar w:fldCharType="separate"/>
      </w:r>
      <w:r w:rsidRPr="001B633D">
        <w:t>(Andrady, 2022)</w:t>
      </w:r>
      <w:r w:rsidRPr="001E4A17">
        <w:fldChar w:fldCharType="end"/>
      </w:r>
      <w:r w:rsidRPr="001B633D">
        <w:t xml:space="preserve">. Since </w:t>
      </w:r>
      <w:proofErr w:type="spellStart"/>
      <w:r w:rsidRPr="001B633D">
        <w:t>nanoplastics</w:t>
      </w:r>
      <w:proofErr w:type="spellEnd"/>
      <w:r w:rsidRPr="001B633D">
        <w:t xml:space="preserve"> are also likely to impact Ecosystem Quality, we chose not to consider the fragmentation rate as a removal mechanism and set it to zero.</w:t>
      </w:r>
    </w:p>
    <w:p w14:paraId="066B11D0" w14:textId="60814B3F" w:rsidR="00EE494E" w:rsidRPr="001E4A17" w:rsidRDefault="00EE494E" w:rsidP="00BE059E">
      <w:r w:rsidRPr="00EE494E">
        <w:t xml:space="preserve">The degradation rate incorporated in SB4P is the same across polymers, though in reality, the degradation rate of plastic particles varies as a function of the polymer type and environmental conditions of the different compartments. While this later aspect is not yet integrated, </w:t>
      </w:r>
      <w:r w:rsidRPr="001E4A17">
        <w:fldChar w:fldCharType="begin"/>
      </w:r>
      <w:r w:rsidRPr="00EE494E">
        <w:instrText xml:space="preserve"> ADDIN ZOTERO_ITEM CSL_CITATION {"citationID":"SmIxzCYW","properties":{"formattedCitation":"(Corella-Puertas et al., 2023)","plainCitation":"(Corella-Puertas et al., 2023)","dontUpdate":true,"noteIndex":0},"citationItems":[{"id":11,"uris":["http://zotero.org/users/10708243/items/KMTIC7GC"],"itemData":{"id":11,"type":"article-journal","container-title":"Journal of Cleaner Production","DOI":"10.1016/j.jclepro.2023.138197","ISSN":"09596526","journalAbbreviation":"Journal of Cleaner Production","language":"en","page":"138197","source":"DOI.org (Crossref)","title":"MarILCA characterization factors for microplastic impacts in life cycle assessment: Physical effects on biota from emissions to aquatic environments","title-short":"MarILCA characterization factors for microplastic impacts in life cycle assessment","volume":"418","author":[{"family":"Corella-Puertas","given":"Elena"},{"family":"Hajjar","given":"Carla"},{"family":"Lavoie","given":"Jérôme"},{"family":"Boulay","given":"Anne-Marie"}],"issued":{"date-parts":[["2023",9]]}}}],"schema":"https://github.com/citation-style-language/schema/raw/master/csl-citation.json"} </w:instrText>
      </w:r>
      <w:r w:rsidRPr="001E4A17">
        <w:fldChar w:fldCharType="separate"/>
      </w:r>
      <w:r w:rsidRPr="00EE494E">
        <w:t>Corella-Puertas et al. (2023)</w:t>
      </w:r>
      <w:r w:rsidRPr="001E4A17">
        <w:fldChar w:fldCharType="end"/>
      </w:r>
      <w:r w:rsidRPr="00EE494E">
        <w:t xml:space="preserve"> proposed the following equation (Equation </w:t>
      </w:r>
      <w:r>
        <w:t>1</w:t>
      </w:r>
      <w:r w:rsidRPr="00EE494E">
        <w:t>) to calculate a polymer-</w:t>
      </w:r>
      <w:r w:rsidRPr="00EE494E">
        <w:lastRenderedPageBreak/>
        <w:t xml:space="preserve">specific degradation rate adapted for LCIA, based on the work of </w:t>
      </w:r>
      <w:r w:rsidRPr="001E4A17">
        <w:fldChar w:fldCharType="begin"/>
      </w:r>
      <w:r w:rsidRPr="00EE494E">
        <w:instrText xml:space="preserve"> ADDIN ZOTERO_ITEM CSL_CITATION {"citationID":"bsBSz81u","properties":{"formattedCitation":"(Chamas et al., 2020)","plainCitation":"(Chamas et al., 2020)","dontUpdate":true,"noteIndex":0},"citationItems":[{"id":31,"uris":["http://zotero.org/users/10708243/items/AZW4JG4H"],"itemData":{"id":31,"type":"article-journal","container-title":"ACS Sustainable Chemistry &amp; Engineering","DOI":"10.1021/acssuschemeng.9b06635","ISSN":"2168-0485, 2168-0485","issue":"9","journalAbbreviation":"ACS Sustainable Chem. Eng.","language":"en","license":"http://pubs.acs.org/page/policy/authorchoice_ccby_termsofuse.html","page":"3494-3511","source":"DOI.org (Crossref)","title":"Degradation Rates of Plastics in the Environment","volume":"8","author":[{"family":"Chamas","given":"Ali"},{"family":"Moon","given":"Hyunjin"},{"family":"Zheng","given":"Jiajia"},{"family":"Qiu","given":"Yang"},{"family":"Tabassum","given":"Tarnuma"},{"family":"Jang","given":"Jun Hee"},{"family":"Abu-Omar","given":"Mahdi"},{"family":"Scott","given":"Susannah L."},{"family":"Suh","given":"Sangwon"}],"issued":{"date-parts":[["2020",3,9]]}}}],"schema":"https://github.com/citation-style-language/schema/raw/master/csl-citation.json"} </w:instrText>
      </w:r>
      <w:r w:rsidRPr="001E4A17">
        <w:fldChar w:fldCharType="separate"/>
      </w:r>
      <w:r w:rsidRPr="00EE494E">
        <w:t>Chamas et al. (2020</w:t>
      </w:r>
      <w:r w:rsidRPr="001E4A17">
        <w:fldChar w:fldCharType="end"/>
      </w:r>
      <w:r w:rsidRPr="00EE494E">
        <w:t>) and using specific surface degradation rates available in the literature for different polymers (</w:t>
      </w:r>
      <w:r w:rsidRPr="001E4A17">
        <w:fldChar w:fldCharType="begin"/>
      </w:r>
      <w:r w:rsidRPr="00EE494E">
        <w:instrText xml:space="preserve"> ADDIN ZOTERO_ITEM CSL_CITATION {"citationID":"I6TVsUYQ","properties":{"formattedCitation":"(Chamas et al., 2020)","plainCitation":"(Chamas et al., 2020)","dontUpdate":true,"noteIndex":0},"citationItems":[{"id":31,"uris":["http://zotero.org/users/10708243/items/AZW4JG4H"],"itemData":{"id":31,"type":"article-journal","container-title":"ACS Sustainable Chemistry &amp; Engineering","DOI":"10.1021/acssuschemeng.9b06635","ISSN":"2168-0485, 2168-0485","issue":"9","journalAbbreviation":"ACS Sustainable Chem. Eng.","language":"en","license":"http://pubs.acs.org/page/policy/authorchoice_ccby_termsofuse.html","page":"3494-3511","source":"DOI.org (Crossref)","title":"Degradation Rates of Plastics in the Environment","volume":"8","author":[{"family":"Chamas","given":"Ali"},{"family":"Moon","given":"Hyunjin"},{"family":"Zheng","given":"Jiajia"},{"family":"Qiu","given":"Yang"},{"family":"Tabassum","given":"Tarnuma"},{"family":"Jang","given":"Jun Hee"},{"family":"Abu-Omar","given":"Mahdi"},{"family":"Scott","given":"Susannah L."},{"family":"Suh","given":"Sangwon"}],"issued":{"date-parts":[["2020",3,9]]}}}],"schema":"https://github.com/citation-style-language/schema/raw/master/csl-citation.json"} </w:instrText>
      </w:r>
      <w:r w:rsidRPr="001E4A17">
        <w:fldChar w:fldCharType="separate"/>
      </w:r>
      <w:r w:rsidRPr="00EE494E">
        <w:t>Chamas et al., 2020</w:t>
      </w:r>
      <w:r w:rsidRPr="001E4A17">
        <w:fldChar w:fldCharType="end"/>
      </w:r>
      <w:r w:rsidRPr="00EE494E">
        <w:t xml:space="preserve">; </w:t>
      </w:r>
      <w:r w:rsidRPr="001E4A17">
        <w:fldChar w:fldCharType="begin"/>
      </w:r>
      <w:r w:rsidRPr="00EE494E">
        <w:instrText xml:space="preserve"> ADDIN ZOTERO_ITEM CSL_CITATION {"citationID":"fsyrq6Us","properties":{"formattedCitation":"(Maga et al., 2022)","plainCitation":"(Maga et al., 2022)","dontUpdate":true,"note</w:instrText>
      </w:r>
      <w:r w:rsidRPr="001E4A17">
        <w:instrText xml:space="preserve">Index":0},"citationItems":[{"id":29,"uris":["http://zotero.org/users/10708243/items/APCHUX3V"],"itemData":{"id":29,"type":"article-journal","abstract":"Abstract\n            \n              Purpose\n              Products made of plastic often appear to have lower environmental impacts than alternatives. However, present life cycle assessments (LCA) do not consider possible risks caused by the emission of plastics into the environment. Following the precautionary principle, we propose characterization factors (CFs) for plastic emissions allowing to calculate impacts of plastic pollution measured in plastic pollution equivalents, based on plastics’ residence time in the environment.\n            \n            \n              Methods and materials\n              \n                The method addresses the definition and quantification of plastic emissions in LCA and estimates their fate in the environment based on their persistence. According to our approach, the fate is mainly influenced by the environmental compartment the plastic is initially emitted to, its redistribution to other compartments, and its degradation speed. The latter depends on the polymer type’s specific surface degradation rate (SSDR), the emission’s shape, and its characteristic length. The SSDRs are derived from an extensive literature review. Since the data quality of the SSDR and redistribution rates varies, an uncertainty assessment is carried out based on the pedigree matrix approach. To quantify the fate factor (FF), we calculate the area below the degradation curve of an emission and call it residence time\n                \n                  \n                    $${\\tau }_{R}$$\n                    \n                      \n                        τ\n                        R\n                      \n                    \n                  \n                \n                .\n              \n            \n            \n              Results and discussion\n              The results of our research include degradation measurements (SSDRs) retrieved from literature, a surface-driven degradation model, redistribution patterns, FFs based on the residence time, and an uncertainty analysis of the suggested FFs. Depending on the applied time horizon, the values of the FFs range from near zero to values greater than 1000 for different polymer types, size classes, shapes, and initial compartments. Based on the comparison of the compartment-specific FFs with the total compartment-weighted FFs, the polymer types can be grouped into six clusters. The proposed FFs can be used as CFs which can be further developed by integrating the probability of the exposure of humans or organisms to the plastic emission (exposure factor) and for the impacts of plastics on species (effect factor).\n            \n            \n              \n                Conclusions\n              \n              The proposed methodology is intended to support (plastic) product designers, for example, regarding materials’ choice, and can serve as a first proxy to estimate potential risks caused by plastic emissions. Besides, the FFs can be used to develop new CFs, which can be linked to one or more existing impact categories, such as human toxicity or ecotoxicity, or new impact categories addressing, for example, potential risks caused by entanglement.","container-title":"The International Journal of Life Cycle Assessment","DOI":"10.1007/s11367-022-02040-1","ISSN":"0948-3349, 1614-7502","issue":"3","journalAbbreviation":"Int J Life Cycle Assess","language":"en","page":"469-491","source":"DOI.org (Crossref)","title":"Methodology to address potential impacts of plastic emissions in life cycle assessment","volume":"27","author":[{"family":"Maga","given":"Daniel"},{"family":"Galafton","given":"Christina"},{"family":"Blömer","given":"Jan"},{"family":"Thonemann","given":"Nils"},{"family":"Özdamar","given":"Aybüke"},{"family":"Bertling","given":"Jürgen"}],"issued":{"date-parts":[["2022",3]]}}}],"schema":"https://github.com/citation-style-language/schema/raw/master/csl-citation.json"} </w:instrText>
      </w:r>
      <w:r w:rsidRPr="001E4A17">
        <w:fldChar w:fldCharType="separate"/>
      </w:r>
      <w:r w:rsidRPr="001E4A17">
        <w:t>Maga et al., 2022)</w:t>
      </w:r>
      <w:r w:rsidRPr="001E4A17">
        <w:fldChar w:fldCharType="end"/>
      </w:r>
      <w:r w:rsidRPr="001E4A17">
        <w:t xml:space="preserve">. </w:t>
      </w:r>
    </w:p>
    <w:p w14:paraId="5496FB1B" w14:textId="7359711F" w:rsidR="00EE494E" w:rsidRPr="00EE4D46" w:rsidRDefault="00000000" w:rsidP="00BE059E">
      <m:oMathPara>
        <m:oMath>
          <m:eqArr>
            <m:eqArrPr>
              <m:maxDist m:val="1"/>
              <m:ctrlPr>
                <w:rPr>
                  <w:rFonts w:ascii="Cambria Math" w:hAnsi="Cambria Math"/>
                </w:rPr>
              </m:ctrlPr>
            </m:eqArrPr>
            <m:e>
              <m:sSub>
                <m:sSubPr>
                  <m:ctrlPr>
                    <w:rPr>
                      <w:rFonts w:ascii="Cambria Math" w:hAnsi="Cambria Math"/>
                    </w:rPr>
                  </m:ctrlPr>
                </m:sSubPr>
                <m:e>
                  <m:r>
                    <w:rPr>
                      <w:rFonts w:ascii="Cambria Math" w:hAnsi="Cambria Math"/>
                    </w:rPr>
                    <m:t>k</m:t>
                  </m:r>
                </m:e>
                <m:sub>
                  <m:r>
                    <w:rPr>
                      <w:rFonts w:ascii="Cambria Math" w:hAnsi="Cambria Math"/>
                    </w:rPr>
                    <m:t>degradation</m:t>
                  </m:r>
                  <m:r>
                    <m:rPr>
                      <m:sty m:val="p"/>
                    </m:rPr>
                    <w:rPr>
                      <w:rFonts w:ascii="Cambria Math" w:hAnsi="Cambria Math"/>
                    </w:rPr>
                    <m:t xml:space="preserve">, </m:t>
                  </m:r>
                  <m:r>
                    <w:rPr>
                      <w:rFonts w:ascii="Cambria Math" w:hAnsi="Cambria Math"/>
                    </w:rPr>
                    <m:t>sphere</m:t>
                  </m:r>
                </m:sub>
              </m:sSub>
              <m:r>
                <m:rPr>
                  <m:sty m:val="p"/>
                </m:rPr>
                <w:rPr>
                  <w:rFonts w:ascii="Cambria Math" w:hAnsi="Cambria Math"/>
                </w:rPr>
                <m:t xml:space="preserve">= </m:t>
              </m:r>
              <m:f>
                <m:fPr>
                  <m:ctrlPr>
                    <w:rPr>
                      <w:rFonts w:ascii="Cambria Math" w:hAnsi="Cambria Math"/>
                    </w:rPr>
                  </m:ctrlPr>
                </m:fPr>
                <m:num>
                  <m:r>
                    <m:rPr>
                      <m:sty m:val="p"/>
                    </m:rPr>
                    <w:rPr>
                      <w:rFonts w:ascii="Cambria Math" w:hAnsi="Cambria Math"/>
                    </w:rPr>
                    <m:t>4</m:t>
                  </m:r>
                  <m:sSub>
                    <m:sSubPr>
                      <m:ctrlPr>
                        <w:rPr>
                          <w:rFonts w:ascii="Cambria Math" w:hAnsi="Cambria Math"/>
                        </w:rPr>
                      </m:ctrlPr>
                    </m:sSubPr>
                    <m:e>
                      <m:r>
                        <w:rPr>
                          <w:rFonts w:ascii="Cambria Math" w:hAnsi="Cambria Math"/>
                        </w:rPr>
                        <m:t>k</m:t>
                      </m:r>
                    </m:e>
                    <m:sub>
                      <m:r>
                        <w:rPr>
                          <w:rFonts w:ascii="Cambria Math" w:hAnsi="Cambria Math"/>
                        </w:rPr>
                        <m:t>SSDR</m:t>
                      </m:r>
                    </m:sub>
                  </m:sSub>
                  <m:sSub>
                    <m:sSubPr>
                      <m:ctrlPr>
                        <w:rPr>
                          <w:rFonts w:ascii="Cambria Math" w:hAnsi="Cambria Math"/>
                        </w:rPr>
                      </m:ctrlPr>
                    </m:sSubPr>
                    <m:e>
                      <m:r>
                        <w:rPr>
                          <w:rFonts w:ascii="Cambria Math" w:hAnsi="Cambria Math"/>
                        </w:rPr>
                        <m:t>f</m:t>
                      </m:r>
                    </m:e>
                    <m:sub>
                      <m:r>
                        <w:rPr>
                          <w:rFonts w:ascii="Cambria Math" w:hAnsi="Cambria Math"/>
                        </w:rPr>
                        <m:t>c</m:t>
                      </m:r>
                    </m:sub>
                  </m:sSub>
                </m:num>
                <m:den>
                  <m:sSub>
                    <m:sSubPr>
                      <m:ctrlPr>
                        <w:rPr>
                          <w:rFonts w:ascii="Cambria Math" w:hAnsi="Cambria Math"/>
                        </w:rPr>
                      </m:ctrlPr>
                    </m:sSubPr>
                    <m:e>
                      <m:r>
                        <w:rPr>
                          <w:rFonts w:ascii="Cambria Math" w:hAnsi="Cambria Math"/>
                        </w:rPr>
                        <m:t>r</m:t>
                      </m:r>
                    </m:e>
                    <m:sub>
                      <m:r>
                        <w:rPr>
                          <w:rFonts w:ascii="Cambria Math" w:hAnsi="Cambria Math"/>
                        </w:rPr>
                        <m:t>max</m:t>
                      </m:r>
                    </m:sub>
                  </m:sSub>
                </m:den>
              </m:f>
              <m:r>
                <m:rPr>
                  <m:sty m:val="p"/>
                </m:rPr>
                <w:rPr>
                  <w:rFonts w:ascii="Cambria Math" w:hAnsi="Cambria Math"/>
                </w:rPr>
                <m:t xml:space="preserve"> #</m:t>
              </m:r>
              <m:d>
                <m:dPr>
                  <m:ctrlPr>
                    <w:rPr>
                      <w:rFonts w:ascii="Cambria Math" w:hAnsi="Cambria Math"/>
                    </w:rPr>
                  </m:ctrlPr>
                </m:dPr>
                <m:e>
                  <m:r>
                    <m:rPr>
                      <m:sty m:val="p"/>
                    </m:rPr>
                    <w:rPr>
                      <w:rFonts w:ascii="Cambria Math" w:hAnsi="Cambria Math"/>
                    </w:rPr>
                    <m:t>1</m:t>
                  </m:r>
                </m:e>
              </m:d>
            </m:e>
          </m:eqArr>
        </m:oMath>
      </m:oMathPara>
    </w:p>
    <w:p w14:paraId="3F2C0A88" w14:textId="77777777" w:rsidR="00EE494E" w:rsidRPr="00EE494E" w:rsidRDefault="00EE494E" w:rsidP="00BE059E">
      <w:r w:rsidRPr="00EE494E">
        <w:t xml:space="preserve">Where </w:t>
      </w:r>
      <w:proofErr w:type="spellStart"/>
      <w:r w:rsidRPr="00EE494E">
        <w:t>r</w:t>
      </w:r>
      <w:r w:rsidRPr="00EE494E">
        <w:rPr>
          <w:vertAlign w:val="subscript"/>
        </w:rPr>
        <w:t>max</w:t>
      </w:r>
      <w:proofErr w:type="spellEnd"/>
      <w:r w:rsidRPr="00EE494E">
        <w:t> is the initial radius of spherical microbeads, f</w:t>
      </w:r>
      <w:r w:rsidRPr="00EE494E">
        <w:rPr>
          <w:vertAlign w:val="subscript"/>
        </w:rPr>
        <w:t>c</w:t>
      </w:r>
      <w:r w:rsidRPr="00EE494E">
        <w:t xml:space="preserve"> a surface area correction factor and </w:t>
      </w:r>
      <w:proofErr w:type="spellStart"/>
      <w:r w:rsidRPr="00EE494E">
        <w:t>k</w:t>
      </w:r>
      <w:r w:rsidRPr="00EE494E">
        <w:rPr>
          <w:vertAlign w:val="subscript"/>
        </w:rPr>
        <w:t>SSDR</w:t>
      </w:r>
      <w:proofErr w:type="spellEnd"/>
      <w:r w:rsidRPr="00EE494E">
        <w:rPr>
          <w:vertAlign w:val="subscript"/>
        </w:rPr>
        <w:t xml:space="preserve"> </w:t>
      </w:r>
      <w:r w:rsidRPr="00EE494E">
        <w:t xml:space="preserve">the specific surface degradation rate. </w:t>
      </w:r>
    </w:p>
    <w:p w14:paraId="42CABDBE" w14:textId="30B9B121" w:rsidR="001B633D" w:rsidRPr="001B633D" w:rsidRDefault="001B633D" w:rsidP="00BE059E">
      <w:r w:rsidRPr="001B633D">
        <w:t xml:space="preserve">The constant present in SB4P is replaced by this equation. The calculation of the different specific surface degradation rates can be found </w:t>
      </w:r>
      <w:r w:rsidR="006B7FAF">
        <w:t>in SI 3</w:t>
      </w:r>
      <w:r w:rsidRPr="001B633D">
        <w:t xml:space="preserve">. </w:t>
      </w:r>
    </w:p>
    <w:p w14:paraId="76DDF591" w14:textId="04457BCF" w:rsidR="001B633D" w:rsidRPr="001B633D" w:rsidRDefault="001B633D" w:rsidP="00BE059E">
      <w:pPr>
        <w:pStyle w:val="Titre2"/>
      </w:pPr>
      <w:r w:rsidRPr="00366DF5">
        <w:t xml:space="preserve"> </w:t>
      </w:r>
      <w:bookmarkStart w:id="5" w:name="_Toc199581133"/>
      <w:r w:rsidRPr="001B633D">
        <w:t>Modification of runoff</w:t>
      </w:r>
      <w:bookmarkEnd w:id="5"/>
      <w:r w:rsidRPr="001B633D">
        <w:t xml:space="preserve"> </w:t>
      </w:r>
    </w:p>
    <w:p w14:paraId="3C22A9D2" w14:textId="7A345285" w:rsidR="001B633D" w:rsidRPr="001B633D" w:rsidRDefault="001B633D" w:rsidP="00BE059E">
      <w:r w:rsidRPr="001B633D">
        <w:t xml:space="preserve">In SB4P, the transport rate of microplastics from soil to freshwater is calculated by considering both runoff and erosion. The model currently assumes that all microplastics are carried by runoff. As </w:t>
      </w:r>
      <w:r w:rsidRPr="001E4A17">
        <w:fldChar w:fldCharType="begin"/>
      </w:r>
      <w:r w:rsidRPr="001B633D">
        <w:instrText xml:space="preserve"> ADDIN ZOTERO_ITEM CSL_CITATION {"citationID":"rhcG22SC","properties":{"formattedCitation":"(Han et al., 2022)","plainCitation":"(Han et al., 2022)","dontUpdate":true,"noteIndex":0},"citationItems":[{"id":118,"uris":["http://zotero.org/users/10708243/items/DW3GVXF7"],"itemData":{"id":118,"type":"article-journal","container-title":"Science of The Total Environment","DOI":"10.1016/j.scitotenv.2022.154989","ISSN":"00489697","journalAbbreviation":"Science of The Total Environment","language":"en","page":"154989","source":"DOI.org (Crossref)","title":"Horizontal transport of macro- and microplastics on soil surface by rainfall induced surface runoff as affected by vegetations","volume":"831","author":[{"family":"Han","given":"Naipeng"},{"family":"Zhao","given":"Qichao"},{"family":"Ao","given":"Hongyi"},{"family":"Hu","given":"Hongjuan"},{"family":"Wu","given":"Chenxi"}],"issued":{"date-parts":[["2022",7]]}}}],"schema":"https://github.com/citation-style-language/schema/raw/master/csl-citation.json"} </w:instrText>
      </w:r>
      <w:r w:rsidRPr="001E4A17">
        <w:fldChar w:fldCharType="separate"/>
      </w:r>
      <w:r w:rsidRPr="001B633D">
        <w:t>Han et al. (2022)</w:t>
      </w:r>
      <w:r w:rsidRPr="001E4A17">
        <w:fldChar w:fldCharType="end"/>
      </w:r>
      <w:r w:rsidRPr="001B633D">
        <w:t xml:space="preserve"> emphasize the critical role of vegetation in influencing this transport mechanism, this assumption thus overestimates the transfer rate of microplastics from soil to freshwater compartments. </w:t>
      </w:r>
      <w:r w:rsidR="00EE494E" w:rsidRPr="00EE494E">
        <w:t xml:space="preserve">Specifically, vegetation cover reduces the mobility of microplastics and retains them in the soil during rainfall events. Consequently, a microplastic interception rate by vegetation has been incorporated into the model. This interception rate was determined by averaging the rates for low, medium, and high densities of shrub and herb vegetations reported by </w:t>
      </w:r>
      <w:r w:rsidR="00EE494E" w:rsidRPr="001E4A17">
        <w:fldChar w:fldCharType="begin"/>
      </w:r>
      <w:r w:rsidR="00EE494E" w:rsidRPr="00EE494E">
        <w:instrText xml:space="preserve"> ADDIN ZOTERO_ITEM CSL_CITATION {"citationID":"xhIJEr1m","properties":{"formattedCitation":"(Han et al., 2022)","plainCitation":"(Han et al., 2022)","dontUpdate":true,"noteIndex":0},"citationItems":[{"id":118,"uris":["http://zotero.org/users/10708243/items/DW3GVXF7"],"itemData":{"id":118,"type":"article-journal","container-title":"Science of The Total Environment","DOI":"10.1016/j.scitotenv.2022.154989","ISSN":"00489697","journalAbbreviation":"Science of The Total Environment","language":"en","page":"154989","source":"DOI.org (Crossref)","title":"Horizontal transport of macro- and microplastics on soil surface by rainfall induced surface runoff as affected by vegetations","volume":"831","author":[{"family":"Han","given":"Naipeng"},{"family":"Zhao","given":"Qichao"},{"family":"Ao","given":"Hongyi"},{"family":"Hu","given":"Hongjuan"},{"family":"Wu","given":"Chenxi"}],"issued":{"date-parts":[["2022",7]]}}}],"schema":"https://github.com/citation-style-language/schema/raw/master/csl-citation.json"} </w:instrText>
      </w:r>
      <w:r w:rsidR="00EE494E" w:rsidRPr="001E4A17">
        <w:fldChar w:fldCharType="separate"/>
      </w:r>
      <w:r w:rsidR="00EE494E" w:rsidRPr="00EE494E">
        <w:t>Han et al. (2022)</w:t>
      </w:r>
      <w:r w:rsidR="00EE494E" w:rsidRPr="001E4A17">
        <w:fldChar w:fldCharType="end"/>
      </w:r>
      <w:r w:rsidR="00EE494E" w:rsidRPr="00EE494E">
        <w:t xml:space="preserve">. This results in an interception rate of 97.15% and has been applied to the runoff calculations in SB4P. </w:t>
      </w:r>
    </w:p>
    <w:p w14:paraId="18D9B7BB" w14:textId="1712DC49" w:rsidR="001B633D" w:rsidRPr="001B633D" w:rsidRDefault="001B633D" w:rsidP="00BE059E">
      <w:pPr>
        <w:pStyle w:val="Titre2"/>
      </w:pPr>
      <w:r>
        <w:t xml:space="preserve"> </w:t>
      </w:r>
      <w:bookmarkStart w:id="6" w:name="_Toc199581134"/>
      <w:r w:rsidRPr="001B633D">
        <w:t>Modification of the sedimentation rate</w:t>
      </w:r>
      <w:bookmarkEnd w:id="6"/>
      <w:r w:rsidRPr="001B633D">
        <w:t xml:space="preserve"> </w:t>
      </w:r>
    </w:p>
    <w:p w14:paraId="736A3D9F" w14:textId="5BEB0955" w:rsidR="001B633D" w:rsidRPr="001B633D" w:rsidRDefault="001B633D" w:rsidP="00BE059E">
      <w:r w:rsidRPr="001B633D">
        <w:t>In SB4P, settling velocity (</w:t>
      </w:r>
      <m:oMath>
        <m:sSub>
          <m:sSubPr>
            <m:ctrlPr>
              <w:rPr>
                <w:rFonts w:ascii="Cambria Math" w:hAnsi="Cambria Math"/>
                <w:i/>
              </w:rPr>
            </m:ctrlPr>
          </m:sSubPr>
          <m:e>
            <m:r>
              <w:rPr>
                <w:rFonts w:ascii="Cambria Math" w:hAnsi="Cambria Math"/>
              </w:rPr>
              <m:t>v</m:t>
            </m:r>
          </m:e>
          <m:sub>
            <m:r>
              <w:rPr>
                <w:rFonts w:ascii="Cambria Math" w:hAnsi="Cambria Math"/>
              </w:rPr>
              <m:t>set</m:t>
            </m:r>
          </m:sub>
        </m:sSub>
      </m:oMath>
      <w:r w:rsidRPr="001B633D">
        <w:rPr>
          <w:rFonts w:eastAsiaTheme="minorEastAsia"/>
        </w:rPr>
        <w:t xml:space="preserve">) </w:t>
      </w:r>
      <w:r w:rsidRPr="001B633D">
        <w:t xml:space="preserve">is calculated thanks to the density of the polymer </w:t>
      </w:r>
      <w:r w:rsidRPr="001B633D">
        <w:rPr>
          <w:rFonts w:eastAsiaTheme="minorEastAsia"/>
        </w:rPr>
        <w:t>(</w:t>
      </w:r>
      <m:oMath>
        <m:sSub>
          <m:sSubPr>
            <m:ctrlPr>
              <w:rPr>
                <w:rFonts w:ascii="Cambria Math" w:hAnsi="Cambria Math"/>
                <w:i/>
              </w:rPr>
            </m:ctrlPr>
          </m:sSubPr>
          <m:e>
            <m:r>
              <w:rPr>
                <w:rFonts w:ascii="Cambria Math" w:hAnsi="Cambria Math"/>
              </w:rPr>
              <m:t>ρ</m:t>
            </m:r>
          </m:e>
          <m:sub>
            <m:r>
              <w:rPr>
                <w:rFonts w:ascii="Cambria Math" w:hAnsi="Cambria Math"/>
              </w:rPr>
              <m:t>p</m:t>
            </m:r>
          </m:sub>
        </m:sSub>
      </m:oMath>
      <w:r w:rsidRPr="001B633D">
        <w:rPr>
          <w:rFonts w:eastAsiaTheme="minorEastAsia"/>
        </w:rPr>
        <w:t>) and the density of water (</w:t>
      </w:r>
      <m:oMath>
        <m:sSub>
          <m:sSubPr>
            <m:ctrlPr>
              <w:rPr>
                <w:rFonts w:ascii="Cambria Math" w:hAnsi="Cambria Math"/>
                <w:i/>
              </w:rPr>
            </m:ctrlPr>
          </m:sSubPr>
          <m:e>
            <m:r>
              <w:rPr>
                <w:rFonts w:ascii="Cambria Math" w:hAnsi="Cambria Math"/>
              </w:rPr>
              <m:t>ρ</m:t>
            </m:r>
          </m:e>
          <m:sub>
            <m:r>
              <w:rPr>
                <w:rFonts w:ascii="Cambria Math" w:hAnsi="Cambria Math"/>
              </w:rPr>
              <m:t>w</m:t>
            </m:r>
          </m:sub>
        </m:sSub>
      </m:oMath>
      <w:r w:rsidRPr="001B633D">
        <w:rPr>
          <w:rFonts w:eastAsiaTheme="minorEastAsia"/>
        </w:rPr>
        <w:t>) (</w:t>
      </w:r>
      <w:r w:rsidR="007F6276">
        <w:rPr>
          <w:rFonts w:eastAsiaTheme="minorEastAsia"/>
        </w:rPr>
        <w:t xml:space="preserve">Equation </w:t>
      </w:r>
      <w:r w:rsidRPr="001B633D">
        <w:rPr>
          <w:rFonts w:eastAsiaTheme="minorEastAsia"/>
        </w:rPr>
        <w:t>2)</w:t>
      </w:r>
      <w:r w:rsidRPr="001B633D">
        <w:t>:</w:t>
      </w:r>
    </w:p>
    <w:p w14:paraId="4DCB01E9" w14:textId="4AABFE31" w:rsidR="001B633D" w:rsidRPr="00B41671" w:rsidRDefault="00000000" w:rsidP="00BE059E">
      <w:pPr>
        <w:rPr>
          <w:rFonts w:eastAsiaTheme="minorEastAsia"/>
        </w:rPr>
      </w:pPr>
      <m:oMathPara>
        <m:oMath>
          <m:eqArr>
            <m:eqArrPr>
              <m:maxDist m:val="1"/>
              <m:ctrlPr>
                <w:rPr>
                  <w:rFonts w:ascii="Cambria Math" w:hAnsi="Cambria Math"/>
                </w:rPr>
              </m:ctrlPr>
            </m:eqArrPr>
            <m:e>
              <m:sSub>
                <m:sSubPr>
                  <m:ctrlPr>
                    <w:rPr>
                      <w:rFonts w:ascii="Cambria Math" w:hAnsi="Cambria Math"/>
                    </w:rPr>
                  </m:ctrlPr>
                </m:sSubPr>
                <m:e>
                  <m:r>
                    <w:rPr>
                      <w:rFonts w:ascii="Cambria Math" w:hAnsi="Cambria Math"/>
                    </w:rPr>
                    <m:t>v</m:t>
                  </m:r>
                </m:e>
                <m:sub>
                  <m:r>
                    <w:rPr>
                      <w:rFonts w:ascii="Cambria Math" w:hAnsi="Cambria Math"/>
                    </w:rPr>
                    <m:t>set</m:t>
                  </m:r>
                </m:sub>
              </m:sSub>
              <m:r>
                <m:rPr>
                  <m:sty m:val="p"/>
                </m:rPr>
                <w:rPr>
                  <w:rFonts w:ascii="Cambria Math" w:hAnsi="Cambria Math"/>
                </w:rPr>
                <m:t>=</m:t>
              </m:r>
              <m:f>
                <m:fPr>
                  <m:ctrlPr>
                    <w:rPr>
                      <w:rFonts w:ascii="Cambria Math" w:hAnsi="Cambria Math"/>
                    </w:rPr>
                  </m:ctrlPr>
                </m:fPr>
                <m:num>
                  <m:r>
                    <m:rPr>
                      <m:sty m:val="p"/>
                    </m:rPr>
                    <w:rPr>
                      <w:rFonts w:ascii="Cambria Math" w:hAnsi="Cambria Math"/>
                    </w:rPr>
                    <m:t>2</m:t>
                  </m:r>
                  <m:d>
                    <m:dPr>
                      <m:ctrlPr>
                        <w:rPr>
                          <w:rFonts w:ascii="Cambria Math" w:hAnsi="Cambria Math"/>
                        </w:rPr>
                      </m:ctrlPr>
                    </m:dPr>
                    <m:e>
                      <m:sSub>
                        <m:sSubPr>
                          <m:ctrlPr>
                            <w:rPr>
                              <w:rFonts w:ascii="Cambria Math" w:hAnsi="Cambria Math"/>
                            </w:rPr>
                          </m:ctrlPr>
                        </m:sSubPr>
                        <m:e>
                          <m:r>
                            <w:rPr>
                              <w:rFonts w:ascii="Cambria Math" w:hAnsi="Cambria Math"/>
                            </w:rPr>
                            <m:t>ρ</m:t>
                          </m:r>
                        </m:e>
                        <m:sub>
                          <m:r>
                            <w:rPr>
                              <w:rFonts w:ascii="Cambria Math" w:hAnsi="Cambria Math"/>
                            </w:rPr>
                            <m:t>p</m:t>
                          </m:r>
                        </m:sub>
                      </m:sSub>
                      <m:r>
                        <m:rPr>
                          <m:sty m:val="p"/>
                        </m:rPr>
                        <w:rPr>
                          <w:rFonts w:ascii="Cambria Math" w:hAnsi="Cambria Math"/>
                        </w:rPr>
                        <m:t>-</m:t>
                      </m:r>
                      <m:sSub>
                        <m:sSubPr>
                          <m:ctrlPr>
                            <w:rPr>
                              <w:rFonts w:ascii="Cambria Math" w:hAnsi="Cambria Math"/>
                            </w:rPr>
                          </m:ctrlPr>
                        </m:sSubPr>
                        <m:e>
                          <m:r>
                            <w:rPr>
                              <w:rFonts w:ascii="Cambria Math" w:hAnsi="Cambria Math"/>
                            </w:rPr>
                            <m:t>ρ</m:t>
                          </m:r>
                        </m:e>
                        <m:sub>
                          <m:r>
                            <w:rPr>
                              <w:rFonts w:ascii="Cambria Math" w:hAnsi="Cambria Math"/>
                            </w:rPr>
                            <m:t>w</m:t>
                          </m:r>
                        </m:sub>
                      </m:sSub>
                    </m:e>
                  </m:d>
                  <m:r>
                    <m:rPr>
                      <m:sty m:val="p"/>
                    </m:rPr>
                    <w:rPr>
                      <w:rFonts w:ascii="Cambria Math" w:hAnsi="Cambria Math"/>
                    </w:rPr>
                    <m:t>*</m:t>
                  </m:r>
                  <m:r>
                    <w:rPr>
                      <w:rFonts w:ascii="Cambria Math" w:hAnsi="Cambria Math"/>
                    </w:rPr>
                    <m:t>g</m:t>
                  </m:r>
                  <m:r>
                    <m:rPr>
                      <m:sty m:val="p"/>
                    </m:rPr>
                    <w:rPr>
                      <w:rFonts w:ascii="Cambria Math" w:hAnsi="Cambria Math"/>
                    </w:rPr>
                    <m:t>*</m:t>
                  </m:r>
                  <m:sSup>
                    <m:sSupPr>
                      <m:ctrlPr>
                        <w:rPr>
                          <w:rFonts w:ascii="Cambria Math" w:hAnsi="Cambria Math"/>
                        </w:rPr>
                      </m:ctrlPr>
                    </m:sSupPr>
                    <m:e>
                      <m:sSub>
                        <m:sSubPr>
                          <m:ctrlPr>
                            <w:rPr>
                              <w:rFonts w:ascii="Cambria Math" w:hAnsi="Cambria Math"/>
                            </w:rPr>
                          </m:ctrlPr>
                        </m:sSubPr>
                        <m:e>
                          <m:r>
                            <w:rPr>
                              <w:rFonts w:ascii="Cambria Math" w:hAnsi="Cambria Math"/>
                            </w:rPr>
                            <m:t>r</m:t>
                          </m:r>
                        </m:e>
                        <m:sub>
                          <m:r>
                            <w:rPr>
                              <w:rFonts w:ascii="Cambria Math" w:hAnsi="Cambria Math"/>
                            </w:rPr>
                            <m:t>p</m:t>
                          </m:r>
                        </m:sub>
                      </m:sSub>
                    </m:e>
                    <m:sup>
                      <m:r>
                        <m:rPr>
                          <m:sty m:val="p"/>
                        </m:rPr>
                        <w:rPr>
                          <w:rFonts w:ascii="Cambria Math" w:hAnsi="Cambria Math"/>
                        </w:rPr>
                        <m:t>2</m:t>
                      </m:r>
                    </m:sup>
                  </m:sSup>
                </m:num>
                <m:den>
                  <m:r>
                    <m:rPr>
                      <m:sty m:val="p"/>
                    </m:rPr>
                    <w:rPr>
                      <w:rFonts w:ascii="Cambria Math" w:hAnsi="Cambria Math"/>
                    </w:rPr>
                    <m:t>9*</m:t>
                  </m:r>
                  <m:sSub>
                    <m:sSubPr>
                      <m:ctrlPr>
                        <w:rPr>
                          <w:rFonts w:ascii="Cambria Math" w:hAnsi="Cambria Math"/>
                        </w:rPr>
                      </m:ctrlPr>
                    </m:sSubPr>
                    <m:e>
                      <m:r>
                        <w:rPr>
                          <w:rFonts w:ascii="Cambria Math" w:hAnsi="Cambria Math"/>
                        </w:rPr>
                        <m:t>μ</m:t>
                      </m:r>
                    </m:e>
                    <m:sub>
                      <m:r>
                        <w:rPr>
                          <w:rFonts w:ascii="Cambria Math" w:hAnsi="Cambria Math"/>
                        </w:rPr>
                        <m:t>w</m:t>
                      </m:r>
                    </m:sub>
                  </m:sSub>
                </m:den>
              </m:f>
              <m:r>
                <m:rPr>
                  <m:sty m:val="p"/>
                </m:rPr>
                <w:rPr>
                  <w:rFonts w:ascii="Cambria Math" w:hAnsi="Cambria Math"/>
                </w:rPr>
                <m:t xml:space="preserve"> #</m:t>
              </m:r>
              <m:d>
                <m:dPr>
                  <m:ctrlPr>
                    <w:rPr>
                      <w:rFonts w:ascii="Cambria Math" w:hAnsi="Cambria Math"/>
                    </w:rPr>
                  </m:ctrlPr>
                </m:dPr>
                <m:e>
                  <m:r>
                    <m:rPr>
                      <m:sty m:val="p"/>
                    </m:rPr>
                    <w:rPr>
                      <w:rFonts w:ascii="Cambria Math" w:hAnsi="Cambria Math"/>
                    </w:rPr>
                    <m:t>2</m:t>
                  </m:r>
                </m:e>
              </m:d>
            </m:e>
          </m:eqArr>
        </m:oMath>
      </m:oMathPara>
    </w:p>
    <w:p w14:paraId="001518F2" w14:textId="5A2D05F4" w:rsidR="001B633D" w:rsidRDefault="001B633D" w:rsidP="00BE059E">
      <w:r w:rsidRPr="001B633D">
        <w:t xml:space="preserve">With </w:t>
      </w:r>
      <m:oMath>
        <m:sSub>
          <m:sSubPr>
            <m:ctrlPr>
              <w:rPr>
                <w:rFonts w:ascii="Cambria Math" w:hAnsi="Cambria Math"/>
                <w:i/>
              </w:rPr>
            </m:ctrlPr>
          </m:sSubPr>
          <m:e>
            <m:r>
              <w:rPr>
                <w:rFonts w:ascii="Cambria Math" w:hAnsi="Cambria Math"/>
              </w:rPr>
              <m:t>r</m:t>
            </m:r>
          </m:e>
          <m:sub>
            <m:r>
              <w:rPr>
                <w:rFonts w:ascii="Cambria Math" w:hAnsi="Cambria Math"/>
              </w:rPr>
              <m:t>p</m:t>
            </m:r>
          </m:sub>
        </m:sSub>
      </m:oMath>
      <w:r w:rsidRPr="001B633D">
        <w:t xml:space="preserve"> representing the radius of the polymer particle and </w:t>
      </w:r>
      <m:oMath>
        <m:sSub>
          <m:sSubPr>
            <m:ctrlPr>
              <w:rPr>
                <w:rFonts w:ascii="Cambria Math" w:hAnsi="Cambria Math"/>
                <w:i/>
              </w:rPr>
            </m:ctrlPr>
          </m:sSubPr>
          <m:e>
            <m:r>
              <w:rPr>
                <w:rFonts w:ascii="Cambria Math" w:hAnsi="Cambria Math"/>
              </w:rPr>
              <m:t>μ</m:t>
            </m:r>
          </m:e>
          <m:sub>
            <m:r>
              <w:rPr>
                <w:rFonts w:ascii="Cambria Math" w:hAnsi="Cambria Math"/>
              </w:rPr>
              <m:t>w</m:t>
            </m:r>
          </m:sub>
        </m:sSub>
      </m:oMath>
      <w:r w:rsidRPr="001B633D">
        <w:t xml:space="preserve"> the dynamic viscosity of water. When a polymer particle has a density inferior to water, the settling velocity is equal to zero, meaning the particle remains suspended and does not settle. However, over time, a layer of microorganisms, plants</w:t>
      </w:r>
      <w:proofErr w:type="gramStart"/>
      <w:r w:rsidRPr="001B633D">
        <w:t>, algae</w:t>
      </w:r>
      <w:proofErr w:type="gramEnd"/>
      <w:r w:rsidRPr="001B633D">
        <w:t xml:space="preserve"> can accumulate on the polymer’s surface, altering its density and causing it to sink. </w:t>
      </w:r>
      <w:r>
        <w:t xml:space="preserve">This process </w:t>
      </w:r>
      <w:proofErr w:type="spellStart"/>
      <w:r>
        <w:t>is</w:t>
      </w:r>
      <w:proofErr w:type="spellEnd"/>
      <w:r>
        <w:t xml:space="preserve"> </w:t>
      </w:r>
      <w:proofErr w:type="spellStart"/>
      <w:r>
        <w:t>known</w:t>
      </w:r>
      <w:proofErr w:type="spellEnd"/>
      <w:r>
        <w:t xml:space="preserve"> as </w:t>
      </w:r>
      <w:proofErr w:type="spellStart"/>
      <w:r>
        <w:t>biofouling</w:t>
      </w:r>
      <w:proofErr w:type="spellEnd"/>
      <w:r>
        <w:t xml:space="preserve"> </w:t>
      </w:r>
      <w:r>
        <w:fldChar w:fldCharType="begin"/>
      </w:r>
      <w:r>
        <w:instrText xml:space="preserve"> ADDIN ZOTERO_ITEM CSL_CITATION {"citationID":"4vLBgzWR","properties":{"formattedCitation":"(Chubarenko et al., 2016)","plainCitation":"(Chubarenko et al., 2016)","dontUpdate":true,"noteIndex":0},"citationItems":[{"id":348,"uris":["http://zotero.org/users/10708243/items/3J59HPPQ"],"itemData":{"id":348,"type":"article-journal","abstract":"Simpliﬁed physical models and geometrical considerations reveal general physical and dynamical properties of microplastic particles (0.5–5 mm) of different density, shape and size in marine environment. Windage of extremely light foamed particles, surface area and fouling rate of slightly positively buoyant microplastic spheres, ﬁlms and ﬁbres and settling velocities of negatively buoyant particles are analysed. For the Baltic Sea dimensions and under the considered idealised external conditions, (i) only one day is required for a foamed polystyrene particle to cross the sea (ca. 250 km); (ii) polyethylene ﬁbres should spend about 6–8 months in the euphotic zone before sinking due to bio-fouling, whilst spherical particles can be retained on the surface up to 10–15 years; (iii) for heavy microplastic particles, the time of settling through the water column in the central Gotland basin (ca. 250 m) is less than 18 h. Proper physical setting of the problem of microplastics transport and developing of physically-based parameterisations are seen as applications.","container-title":"Marine Pollution Bulletin","DOI":"10.1016/j.marpolbul.2016.04.048","ISSN":"0025326X","issue":"1-2","journalAbbreviation":"Marine Pollution Bulletin","language":"en","page":"105-112","source":"DOI.org (Crossref)","title":"On some physical and dynamical properties of microplastic particles in marine environment","volume":"108","author":[{"family":"Chubarenko","given":"I."},{"family":"Bagaev","given":"A."},{"family":"Zobkov","given":"M."},{"family":"Esiukova","given":"E."}],"issued":{"date-parts":[["2016",7]]}}}],"schema":"https://github.com/citation-style-language/schema/raw/master/csl-citation.json"} </w:instrText>
      </w:r>
      <w:r>
        <w:fldChar w:fldCharType="separate"/>
      </w:r>
      <w:r w:rsidRPr="00C24912">
        <w:t>(Chubarenko et al., 2016</w:t>
      </w:r>
      <w:r>
        <w:fldChar w:fldCharType="end"/>
      </w:r>
      <w:r w:rsidRPr="00C24912">
        <w:t xml:space="preserve">; </w:t>
      </w:r>
      <w:r>
        <w:fldChar w:fldCharType="begin"/>
      </w:r>
      <w:r>
        <w:instrText xml:space="preserve"> ADDIN ZOTERO_ITEM CSL_CITATION {"citationID":"jKU4KNJJ","properties":{"formattedCitation":"(Jal\\uc0\\u243{}n-Rojas et al., 2019)","plainCitation":"(Jalón-Rojas et al., 2019)","dontUpdate":true,"noteIndex":0},"citationItems":[{"id":347,"uris":["http://zotero.org/users/10708243/items/HU2489R3"],"itemData":{"id":347,"type":"article-journal","abstract":"Numerical modelling is a key tool in understanding and determining the sources, trajectories and fates of microplastic debris (MPD). In this study, we introduce TrackMPD, a new modelling framework for the 3D transport of marine debris. TrackMPD ﬁlls the gaps in previ</w:instrText>
      </w:r>
      <w:r w:rsidRPr="001B633D">
        <w:instrText>ous models by: (1) using a three-dimensional approach; (2) providing compatibility with a variety of ocean models; and (3) including a wide range of physical processes (advection, dispersion, windage, sinking, settling, beaching and re-</w:instrText>
      </w:r>
      <w:r>
        <w:instrText>ﬂ</w:instrText>
      </w:r>
      <w:r w:rsidRPr="001B633D">
        <w:instrText>oating) and MPD behaviours that depend on particle dynamical properties, and the fouling and degradation states. We implement a sensitivity analysis based on 44 scenarios to assess the relative importance of the di</w:instrText>
      </w:r>
      <w:r>
        <w:instrText>ﬀ</w:instrText>
      </w:r>
      <w:r w:rsidRPr="001B633D">
        <w:instrText>erent processes and behaviours on the MPD trajectories and fates. Results show that the MPD dynamical properties that impact their sinking, in particular plastic density and bio</w:instrText>
      </w:r>
      <w:r>
        <w:instrText>ﬁ</w:instrText>
      </w:r>
      <w:r w:rsidRPr="001B633D">
        <w:instrText>lm thickness and density, have the biggest e</w:instrText>
      </w:r>
      <w:r>
        <w:instrText>ﬀ</w:instrText>
      </w:r>
      <w:r w:rsidRPr="001B633D">
        <w:instrText>ect on the MPD transport, followed by turbulent dispersion and washing-o</w:instrText>
      </w:r>
      <w:r>
        <w:instrText>ﬀ</w:instrText>
      </w:r>
      <w:r w:rsidRPr="001B633D">
        <w:instrText xml:space="preserve">.","container-title":"Marine Pollution Bulletin","DOI":"10.1016/j.marpolbul.2019.02.052","ISSN":"0025326X","journalAbbreviation":"Marine Pollution Bulletin","language":"en","page":"256-272","source":"DOI.org (Crossref)","title":"A 3D numerical model to Track Marine Plastic Debris (TrackMPD): Sensitivity of microplastic trajectories and fates to particle dynamical properties and physical processes","title-short":"A 3D numerical model to Track Marine Plastic Debris (TrackMPD)","volume":"141","author":[{"family":"Jalón-Rojas","given":"Isabel"},{"family":"Wang","given":"Xiao Hua"},{"family":"Fredj","given":"Erick"}],"issued":{"date-parts":[["2019",4]]}}}],"schema":"https://github.com/citation-style-language/schema/raw/master/csl-citation.json"} </w:instrText>
      </w:r>
      <w:r>
        <w:fldChar w:fldCharType="separate"/>
      </w:r>
      <w:r w:rsidRPr="001B633D">
        <w:t>Jalón-Rojas et al., 2019)</w:t>
      </w:r>
      <w:r>
        <w:fldChar w:fldCharType="end"/>
      </w:r>
      <w:r w:rsidRPr="001B633D">
        <w:t xml:space="preserve">. </w:t>
      </w:r>
      <w:r w:rsidR="00EE494E" w:rsidRPr="00EE494E">
        <w:t xml:space="preserve">Biofouling rates could not be directly integrated into the model. However, to account for the unlikely scenario of low-density microplastics never settling, default sedimentation rates for each low-density polymer were incorporated based on the study by </w:t>
      </w:r>
      <w:r w:rsidR="00EE494E">
        <w:fldChar w:fldCharType="begin"/>
      </w:r>
      <w:r w:rsidR="00EE494E" w:rsidRPr="00EE494E">
        <w:instrText xml:space="preserve"> ADDIN ZOTERO_ITEM CSL_CITATION {"citationID":"pD0hL466","properties":{"formattedCitation":"(Corella-Puertas et al., 2023)","plainCitation":"(Corella-Puertas et al., 2023)","dontUpdate":true,"noteIndex":0},"citationItems":[{"id":11,"uris":["http://zotero.org/users/10708243/items/KMTIC7GC"],"itemData":{"id":11,"type":"article-journal","container-title":"Journal of Cleaner Production","DOI":"10.1016/j.jclepro.2023.138197","ISSN":"09596526","journalAbbreviation":"Journal of Cleaner Production","language":"en","page":"138197","source":"DOI.org (Crossref)","title":"MarILCA characterization factors for microplastic impacts in life cycle assessment: Physical effects on biota from emissions to aquatic environments","title-short":"MarILCA characterization factors for microplastic impacts in life cycle assessment","volume":"418","author":[{"family":"Corella-Puertas","given":"Elena"},{"family":"Hajjar","given":"Carla"},{"family":"Lavoie","given":"Jérôme"},{"family":"Boulay","given":"Anne-Marie"}],"issued":{"date-parts":[["2023",9]]}}}],"schema":"https://github.com/citation-style-language/schema/raw/master/csl-citation.json"} </w:instrText>
      </w:r>
      <w:r w:rsidR="00EE494E">
        <w:fldChar w:fldCharType="separate"/>
      </w:r>
      <w:r w:rsidR="00EE494E" w:rsidRPr="00EE494E">
        <w:t>Corella-Puertas et al. (2023)</w:t>
      </w:r>
      <w:r w:rsidR="00EE494E">
        <w:fldChar w:fldCharType="end"/>
      </w:r>
      <w:r w:rsidR="00EE494E" w:rsidRPr="00EE494E">
        <w:t xml:space="preserve"> with the intention of providing a more realistic representation of low-density microplastic behavior in the environment. </w:t>
      </w:r>
      <w:r w:rsidRPr="00EE494E">
        <w:t xml:space="preserve">The specific values are provided in </w:t>
      </w:r>
      <w:r w:rsidR="006B7FAF" w:rsidRPr="00EE494E">
        <w:t>SI 3.</w:t>
      </w:r>
    </w:p>
    <w:p w14:paraId="447681A2" w14:textId="77777777" w:rsidR="00BE059E" w:rsidRDefault="00BE059E" w:rsidP="00BE059E"/>
    <w:p w14:paraId="090A8C83" w14:textId="77777777" w:rsidR="00BE059E" w:rsidRPr="00EE494E" w:rsidRDefault="00BE059E" w:rsidP="00BE059E"/>
    <w:p w14:paraId="446AB276" w14:textId="1C658B04" w:rsidR="001B633D" w:rsidRPr="00EE494E" w:rsidRDefault="001B633D" w:rsidP="00BE059E">
      <w:pPr>
        <w:pStyle w:val="Titre2"/>
      </w:pPr>
      <w:r w:rsidRPr="00EE494E">
        <w:lastRenderedPageBreak/>
        <w:t xml:space="preserve"> </w:t>
      </w:r>
      <w:bookmarkStart w:id="7" w:name="_Toc199581135"/>
      <w:r w:rsidR="00EE494E" w:rsidRPr="00EE494E">
        <w:t>Aggregation of the air and the cloud water compartment</w:t>
      </w:r>
      <w:bookmarkEnd w:id="7"/>
      <w:r w:rsidR="00EE494E" w:rsidRPr="00EE494E">
        <w:t xml:space="preserve"> </w:t>
      </w:r>
    </w:p>
    <w:p w14:paraId="4C4D3BB3" w14:textId="70EA92E5" w:rsidR="001B633D" w:rsidRPr="00381013" w:rsidRDefault="001B633D" w:rsidP="00BE059E">
      <w:r w:rsidRPr="001B633D">
        <w:t xml:space="preserve">SB4P distinguishes the air and the cloud water compartments. The air compartment is linked to soil and water by a transfer called “dry deposition” and the cloud water compartment is linked to soil and water through “wet deposition”. To simplify the number of compartments in the model, the air and the cloud water compartments are grouped into a unique compartment called air and the deposition mechanisms are added together. This is done following the methodology of </w:t>
      </w:r>
      <w:r w:rsidRPr="001E4A17">
        <w:fldChar w:fldCharType="begin"/>
      </w:r>
      <w:r w:rsidR="00CA3C50">
        <w:instrText xml:space="preserve"> ADDIN ZOTERO_ITEM CSL_CITATION {"citationID":"OzKMeAPZ","properties":{"formattedCitation":"(Salieri et al., 2019)","plainCitation":"(Salieri et al., 2019)","dontUpdate":true,"noteIndex":0},"citationItems":[{"id":"tvFiDUVR/pUwOQmGE","uris":["http://zotero.org/users/local/CAQo83Fm/items/ZK8UTUQT"],"itemData":{"id":"egwMeP1E/MWHRfKqR","type":"article-journal","container-title":"Journal of Cleaner Production","DOI":"10.1016/j.jclepro.2018.09.187","ISSN":"09596526","journalAbbreviation":"Journal of Cleaner Production","language":"en","page":"701-712","source":"DOI.org (Crossref)","title":"Fate modelling of nanoparticle releases in LCA: An integrative approach towards “USEtox4Nano”","title-short":"Fate modelling of nanoparticle releases in LCA","volume":"206","author":[{"family":"Salieri","given":"Beatrice"},{"family":"Hischier","given":"Roland"},{"family":"Quik","given":"Joris T.K."},{"family":"Jolliet","given":"Olivier"}],"issued":{"date-parts":[["2019",1]]}}}],"schema":"https://github.com/citation-style-language/schema/raw/master/csl-citation.json"} </w:instrText>
      </w:r>
      <w:r w:rsidRPr="001E4A17">
        <w:fldChar w:fldCharType="separate"/>
      </w:r>
      <w:r w:rsidRPr="001B633D">
        <w:t xml:space="preserve">Salieri et al. </w:t>
      </w:r>
      <w:r w:rsidRPr="00381013">
        <w:t>(2019)</w:t>
      </w:r>
      <w:r w:rsidRPr="001E4A17">
        <w:fldChar w:fldCharType="end"/>
      </w:r>
      <w:r w:rsidRPr="00381013">
        <w:t xml:space="preserve"> that recalculates the mass balance inside the new compartment. </w:t>
      </w:r>
    </w:p>
    <w:p w14:paraId="49F8198B" w14:textId="745AF3CE" w:rsidR="001B633D" w:rsidRPr="001B633D" w:rsidRDefault="001B633D" w:rsidP="00BE059E">
      <w:pPr>
        <w:pStyle w:val="Titre2"/>
      </w:pPr>
      <w:r>
        <w:t xml:space="preserve"> </w:t>
      </w:r>
      <w:bookmarkStart w:id="8" w:name="_Toc199581136"/>
      <w:r w:rsidRPr="001B633D">
        <w:t>Aggregation of the different species of plastic particles</w:t>
      </w:r>
      <w:bookmarkEnd w:id="8"/>
      <w:r w:rsidRPr="001B633D">
        <w:t xml:space="preserve"> </w:t>
      </w:r>
    </w:p>
    <w:p w14:paraId="4DF8C954" w14:textId="74B9DBD8" w:rsidR="001B633D" w:rsidRPr="00381013" w:rsidRDefault="001B633D" w:rsidP="00BE059E">
      <w:r w:rsidRPr="001B633D">
        <w:t xml:space="preserve">In SB4P, three forms of plastic particles are represented: free, aggregated, and attached. “Aggregated” particles represent particles mixed with natural particles smaller than 450 nanometers, while “attached” particles refer to particles combined with natural particles larger than 450 nanometers. The transfer rates are calculated using the properties of the different free, aggregated or attached particles. To simplify the model, after the rate calculations, the transfer rates for the three forms of particle are added together using the method developed in </w:t>
      </w:r>
      <w:r w:rsidRPr="001E4A17">
        <w:fldChar w:fldCharType="begin"/>
      </w:r>
      <w:r w:rsidR="00CA3C50">
        <w:instrText xml:space="preserve"> ADDIN ZOTERO_ITEM CSL_CITATION {"citationID":"jQblsq6T","properties":{"formattedCitation":"(Salieri et al., 2019)","plainCitation":"(Salieri et al., 2019)","dontUpdate":true,"noteIndex":0},"citationItems":[{"id":"tvFiDUVR/pUwOQmGE","uris":["http://zotero.org/users/local/CAQo83Fm/items/ZK8UTUQT"],"itemData":{"id":16,"type":"article-journal","container-title":"Journal of Cleaner Production","DOI":"10.1016/j.jclepro.2018.09.187","ISSN":"09596526","journalAbbreviation":"Journal of Cleaner Production","language":"en","page":"701-712","source":"DOI.org (Crossref)","title":"Fate modelling of nanoparticle releases in LCA: An integrative approach towards “USEtox4Nano”","title-short":"Fate modelling of nanoparticle releases in LCA","volume":"206","author":[{"family":"Salieri","given":"Beatrice"},{"family":"Hischier","given":"Roland"},{"family":"Quik","given":"Joris T.K."},{"family":"Jolliet","given":"Olivier"}],"issued":{"date-parts":[["2019",1]]}}}],"schema":"https://github.com/citation-style-language/schema/raw/master/csl-citation.json"} </w:instrText>
      </w:r>
      <w:r w:rsidRPr="001E4A17">
        <w:fldChar w:fldCharType="separate"/>
      </w:r>
      <w:r w:rsidRPr="001B633D">
        <w:t xml:space="preserve">Salieri et al. </w:t>
      </w:r>
      <w:r w:rsidRPr="00381013">
        <w:t>(2019)</w:t>
      </w:r>
      <w:r w:rsidRPr="001E4A17">
        <w:fldChar w:fldCharType="end"/>
      </w:r>
      <w:r w:rsidRPr="00381013">
        <w:t xml:space="preserve">. </w:t>
      </w:r>
    </w:p>
    <w:p w14:paraId="5C508191" w14:textId="3A25B798" w:rsidR="001B633D" w:rsidRPr="00EE494E" w:rsidRDefault="001B633D" w:rsidP="00BE059E">
      <w:pPr>
        <w:pStyle w:val="Titre2"/>
      </w:pPr>
      <w:r w:rsidRPr="00381013">
        <w:t xml:space="preserve"> </w:t>
      </w:r>
      <w:bookmarkStart w:id="9" w:name="_Toc199581137"/>
      <w:r w:rsidR="00EE494E" w:rsidRPr="001E4A17">
        <w:t>Regionalization</w:t>
      </w:r>
      <w:bookmarkEnd w:id="9"/>
      <w:r w:rsidR="00EE494E" w:rsidRPr="001E4A17">
        <w:t xml:space="preserve"> </w:t>
      </w:r>
    </w:p>
    <w:p w14:paraId="178780A7" w14:textId="77777777" w:rsidR="001B633D" w:rsidRPr="00EE494E" w:rsidRDefault="001B633D" w:rsidP="00BE059E">
      <w:r w:rsidRPr="001B633D">
        <w:t xml:space="preserve">Finally, the model is regionalized by parametrizing the landscape settings using the same 8 regions implemented in </w:t>
      </w:r>
      <w:proofErr w:type="spellStart"/>
      <w:r w:rsidRPr="001B633D">
        <w:t>USEtox</w:t>
      </w:r>
      <w:proofErr w:type="spellEnd"/>
      <w:r w:rsidRPr="001B633D">
        <w:t xml:space="preserve"> </w:t>
      </w:r>
      <w:r w:rsidRPr="001E4A17">
        <w:fldChar w:fldCharType="begin"/>
      </w:r>
      <w:r w:rsidRPr="001B633D">
        <w:instrText xml:space="preserve"> ADDIN ZOTERO_ITEM CSL_CITATION {"citationID":"1gdwRxGq","properties":{"formattedCitation":"(Kounina et al., 2014)","plainCitation":"(Kounina et al., 2014)","dontUpdate":true,"noteIndex":0},"citationItems":[{"id":143,"uris":["http://zotero.org/users/10708243/items/CZFGATVY"],"itemData":{"id":143,"type":"article-journal","container-title":"Environment International","DOI":"10.1016/j.envint.2014.04.004","ISSN":"01604120","journalAbbreviation":"Environment International","language":"en","page":"67-89","source":"DOI.org (Crossref)","title":"Spatial analysis of toxic emissions in LCA: A sub-continental nested USEtox model with freshwater archetypes","title-short":"Spatial analysis of toxic emissions in LCA","volume":"69","author":[{"family":"Kounina","given":"Anna"},{"family":"Margni","given":"Manuele"},{"family":"Shaked","given":"Shanna"},{"family":"Bulle","given":"Cécile"},{"family":"Jolliet","given":"Olivier"}],"issued":{"date-parts":[["2014",8]]}}}],"schema":"https://github.com/citation-style-language/schema/raw/master/csl-citation.json"} </w:instrText>
      </w:r>
      <w:r w:rsidRPr="001E4A17">
        <w:fldChar w:fldCharType="separate"/>
      </w:r>
      <w:r w:rsidRPr="001B633D">
        <w:t>(</w:t>
      </w:r>
      <w:proofErr w:type="spellStart"/>
      <w:r w:rsidRPr="001B633D">
        <w:t>Kounina</w:t>
      </w:r>
      <w:proofErr w:type="spellEnd"/>
      <w:r w:rsidRPr="001B633D">
        <w:t xml:space="preserve"> et al., 2014</w:t>
      </w:r>
      <w:r w:rsidRPr="001E4A17">
        <w:fldChar w:fldCharType="end"/>
      </w:r>
      <w:r w:rsidRPr="001B633D">
        <w:t xml:space="preserve"> ; </w:t>
      </w:r>
      <w:r w:rsidRPr="001E4A17">
        <w:fldChar w:fldCharType="begin"/>
      </w:r>
      <w:r w:rsidRPr="001B633D">
        <w:instrText xml:space="preserve"> ADDIN ZOTERO_ITEM CSL_CITATION {"citationID":"ShUHjsYj","properties":{"formattedCitation":"(Shaked, 2011)","plainCitation":"(Shaked, 2011)","dontUpdate":true,"noteIndex":0},"citationItems":[{"id":291,"uris":["http://zotero.org/users/10708243/items/U4C98WDM"],"itemData":{"id":291,"type":"thesis","abstract":"Decision-makers seeking to more comprehensively assess and mitigate the environmental health impacts of products and chemicals require a tool to quantify the impacts associated with global emissions, global supply chains, and global food trade. To be effective, this tool needs to include pollutant fate in multiple environmental media, cover multiple exposure pathways accounting for trade of pollutant through food, and account for high exposure intensity areas and transboundary transport, all while minimizing computational needs. This thesis thus develops IMPACTWorld, the adaptation of a multimedia model to a global scale that accounts for trans-boundary transport and urban exposure. I use IMPACTWorld to calculate the regional intakes of ingestion-dominant polychlorinated biphenyl-118 (PCB-118) and inhalation-dominant fine particulate matter (PM2.5). I then analyze spatial differences in the intake fraction (iF), which is the fractional population intake of each regional emission. PM2.5 iFs are dominated by local urban exposure, whereas transboundary transport of the more persistent PCB-118 leads to substantial portions of the pollutant ingested outside the region of emission. This model helps to further bridge the fields of life cycle assessment and risk assessment by calculating impacts from both the emitter and receiver perspectives. I then add a component to IMPACTWorld that accounts for pollutant economic fate through trade of food and feed. By applying the e</w:instrText>
      </w:r>
      <w:r w:rsidRPr="00EE494E">
        <w:instrText xml:space="preserve">xpanded model to two pollutants that bioconcentrate differently in food and have different global emissions patterns, I find that food exports can substantially alter the absolute pollutant regional intake Finally, IMPACTWorld is combined with an economic model of global trade to yield the first spatially-explicit integrated model describing the full causal chain from consumption to impacts. The results for PM2.5 suggest that the majority of the PM-related health impacts induced by consumption in developed countries occur outside their borders, mainly in Asia. In summary, this thesis reveals new insights into impacts associated with environmental pollutant transport, pollutant transport through food, and “virtual” export of pollution through global trade. It thus provides a motivation and foundation for further exploration of the significance and contribution of these impact mechanisms in the assessment of a product or emission.","publisher":"University of Michigan","title":"Multi-Continental Multimedia Model of Pollutant Intake and Application to Impacts of Global Emissions and Globally Traded Goods","author":[{"family":"Shaked","given":"Shanna"}],"issued":{"date-parts":[["2011"]]}}}],"schema":"https://github.com/citation-style-language/schema/raw/master/csl-citation.json"} </w:instrText>
      </w:r>
      <w:r w:rsidRPr="001E4A17">
        <w:fldChar w:fldCharType="separate"/>
      </w:r>
      <w:r w:rsidRPr="00EE494E">
        <w:t>Shaked, 2011)</w:t>
      </w:r>
      <w:r w:rsidRPr="001E4A17">
        <w:fldChar w:fldCharType="end"/>
      </w:r>
      <w:r w:rsidRPr="00EE494E">
        <w:t xml:space="preserve">. The different parameters specific </w:t>
      </w:r>
      <w:proofErr w:type="gramStart"/>
      <w:r w:rsidRPr="00EE494E">
        <w:t>for</w:t>
      </w:r>
      <w:proofErr w:type="gramEnd"/>
      <w:r w:rsidRPr="00EE494E">
        <w:t xml:space="preserve"> each region are:</w:t>
      </w:r>
    </w:p>
    <w:p w14:paraId="445F4C80" w14:textId="77777777" w:rsidR="001B633D" w:rsidRPr="001B633D" w:rsidRDefault="001B633D" w:rsidP="00BE059E">
      <w:pPr>
        <w:pStyle w:val="Paragraphedeliste"/>
        <w:numPr>
          <w:ilvl w:val="0"/>
          <w:numId w:val="3"/>
        </w:numPr>
      </w:pPr>
      <w:r w:rsidRPr="001B633D">
        <w:t xml:space="preserve">the land area and the sea area at continental and global scales </w:t>
      </w:r>
    </w:p>
    <w:p w14:paraId="1706AF6E" w14:textId="77777777" w:rsidR="001B633D" w:rsidRPr="001B633D" w:rsidRDefault="001B633D" w:rsidP="00BE059E">
      <w:pPr>
        <w:pStyle w:val="Paragraphedeliste"/>
        <w:numPr>
          <w:ilvl w:val="0"/>
          <w:numId w:val="3"/>
        </w:numPr>
      </w:pPr>
      <w:r w:rsidRPr="001B633D">
        <w:t>the land area fractions of natural soil, agricultural soil, lake water and freshwater at continental and global scales</w:t>
      </w:r>
    </w:p>
    <w:p w14:paraId="7684DC22" w14:textId="77777777" w:rsidR="001B633D" w:rsidRPr="001B633D" w:rsidRDefault="001B633D" w:rsidP="00BE059E">
      <w:pPr>
        <w:pStyle w:val="Paragraphedeliste"/>
        <w:numPr>
          <w:ilvl w:val="0"/>
          <w:numId w:val="3"/>
        </w:numPr>
      </w:pPr>
      <w:r w:rsidRPr="001B633D">
        <w:t>the rain rate at continental and global scales</w:t>
      </w:r>
    </w:p>
    <w:p w14:paraId="61FE0800" w14:textId="77777777" w:rsidR="001B633D" w:rsidRPr="001B633D" w:rsidRDefault="001B633D" w:rsidP="00BE059E">
      <w:pPr>
        <w:pStyle w:val="Paragraphedeliste"/>
        <w:numPr>
          <w:ilvl w:val="0"/>
          <w:numId w:val="3"/>
        </w:numPr>
      </w:pPr>
      <w:r w:rsidRPr="001B633D">
        <w:t>the depths of lake water and freshwater at continental and global scales</w:t>
      </w:r>
    </w:p>
    <w:p w14:paraId="6985C762" w14:textId="77777777" w:rsidR="001B633D" w:rsidRPr="001B633D" w:rsidRDefault="001B633D" w:rsidP="00BE059E">
      <w:pPr>
        <w:pStyle w:val="Paragraphedeliste"/>
        <w:numPr>
          <w:ilvl w:val="0"/>
          <w:numId w:val="3"/>
        </w:numPr>
      </w:pPr>
      <w:r w:rsidRPr="001B633D">
        <w:t>the fraction of runoff at continental and global scales</w:t>
      </w:r>
    </w:p>
    <w:p w14:paraId="4C3EDD35" w14:textId="77777777" w:rsidR="001B633D" w:rsidRPr="001B633D" w:rsidRDefault="001B633D" w:rsidP="00BE059E">
      <w:pPr>
        <w:pStyle w:val="Paragraphedeliste"/>
        <w:numPr>
          <w:ilvl w:val="0"/>
          <w:numId w:val="3"/>
        </w:numPr>
      </w:pPr>
      <w:r w:rsidRPr="001B633D">
        <w:t>the irrigation rate at continental and global scales</w:t>
      </w:r>
    </w:p>
    <w:p w14:paraId="22B91598" w14:textId="77777777" w:rsidR="001B633D" w:rsidRPr="001B633D" w:rsidRDefault="001B633D" w:rsidP="00BE059E">
      <w:r w:rsidRPr="001B633D">
        <w:t xml:space="preserve">The land area, sea area, rain rate, fraction of runoff and irrigation rate are taken from the settings of </w:t>
      </w:r>
      <w:proofErr w:type="spellStart"/>
      <w:r w:rsidRPr="001B633D">
        <w:t>USEtox</w:t>
      </w:r>
      <w:proofErr w:type="spellEnd"/>
      <w:r w:rsidRPr="001B633D">
        <w:t xml:space="preserve"> for the different regions </w:t>
      </w:r>
      <w:r w:rsidRPr="001E4A17">
        <w:fldChar w:fldCharType="begin"/>
      </w:r>
      <w:r w:rsidRPr="001B633D">
        <w:instrText xml:space="preserve"> ADDIN ZOTERO_ITEM CSL_CITATION {"citationID":"bFOmtzsO","properties":{"formattedCitation":"(Kounina et al., 2014)","plainCitation":"(Kounina et al., 2014)","noteIndex":0},"citationItems":[{"id":143,"uris":["http://zotero.org/users/10708243/items/CZFGATVY"],"itemData":{"id":143,"type":"article-journal","container-title":"Environment International","DOI":"10.1016/j.envint.2014.04.004","ISSN":"01604120","journalAbbreviation":"Environment International","language":"en","page":"67-89","source":"DOI.org (Crossref)","title":"Spatial analysis of toxic emissions in LCA: A sub-continental nested USEtox model with freshwater archetypes","title-short":"Spatial analysis of toxic emissions in LCA","volume":"69","author":[{"family":"Kounina","given":"Anna"},{"family":"Margni","given":"Manuele"},{"family":"Shaked","given":"Shanna"},{"family":"Bulle","given":"Cécile"},{"family":"Jolliet","given":"Olivier"}],"issued":{"date-parts":[["2014",8]]}}}],"schema":"https://github.com/citation-style-language/schema/raw/master/csl-citation.json"} </w:instrText>
      </w:r>
      <w:r w:rsidRPr="001E4A17">
        <w:fldChar w:fldCharType="separate"/>
      </w:r>
      <w:r w:rsidRPr="001B633D">
        <w:t>(Kounina et al., 2014)</w:t>
      </w:r>
      <w:r w:rsidRPr="001E4A17">
        <w:fldChar w:fldCharType="end"/>
      </w:r>
      <w:r w:rsidRPr="001B633D">
        <w:t xml:space="preserve">. </w:t>
      </w:r>
    </w:p>
    <w:p w14:paraId="317E2BCE" w14:textId="77777777" w:rsidR="001B633D" w:rsidRDefault="001B633D" w:rsidP="00BE059E">
      <w:r w:rsidRPr="001B633D">
        <w:t xml:space="preserve">The land area fractions and depths are derived from </w:t>
      </w:r>
      <w:proofErr w:type="spellStart"/>
      <w:r w:rsidRPr="001B633D">
        <w:t>LakeATLAS</w:t>
      </w:r>
      <w:proofErr w:type="spellEnd"/>
      <w:r w:rsidRPr="001B633D">
        <w:t xml:space="preserve"> and </w:t>
      </w:r>
      <w:proofErr w:type="spellStart"/>
      <w:r w:rsidRPr="001B633D">
        <w:t>RiverATLAS</w:t>
      </w:r>
      <w:proofErr w:type="spellEnd"/>
      <w:r w:rsidRPr="001B633D">
        <w:t xml:space="preserve"> </w:t>
      </w:r>
      <w:r w:rsidRPr="001E4A17">
        <w:fldChar w:fldCharType="begin"/>
      </w:r>
      <w:r w:rsidRPr="001B633D">
        <w:instrText xml:space="preserve"> ADDIN ZOTERO_ITEM CSL_CITATION {"citationID":"lGtpiEZx","properties":{"formattedCitation":"(Lehner et al., 2022)","plainCitation":"(Lehner et al., 2022)","dontUpdate":true,"noteIndex":0},"citationItems":[{"id":150,"uris":["http://zotero.org/users/10708243/items/WIJARULW"],"itemData":{"id":150,"type":"article-journal","abstract":"Abstract\n            Here we introduce the LakeATLAS dataset, which provides a broad range of hydro-environmental characteristics for more than 1.4 million lakes and reservoirs globally with an area of at least 10 ha. LakeATLAS forms part of the larger HydroATLAS data repository and expands the existing datasets of sub-basin and river reach descriptors by adding equivalent information for lakes and reservoirs in a compatible structure. Matching its HydroATLAS counterparts, version 1.0 of LakeATLAS contains data for 56 variables, partitioned into 281 individual attributes and organized in six categories: hydrology; physiography; climate; land cover &amp; use; soils &amp; geology; and anthropogenic influences. LakeATLAS derives these attributes by processing and reformatting original data from well-established global digital maps at 15 arc-second (~500 m) grid cell resolution and assigns the information spatially to each lake by aggregating it within the lake, in a 3-km vicinity buffer around the lake, and/or within the entire upstream drainage area of the lake. The standardized format of LakeATLAS ensures versatile applicability in hydro-ecological assessments from regional to global scales.","container-title":"Scientific Data","DOI":"10.1038/s41597-022-01425-z","ISSN":"2052-4463","issue":"1","journalAbbreviation":"Sci Data","language":"en","page":"351","source":"DOI.org (Crossref)","title":"Global hydro-environmental lake characteristics at high spatial resolution","volume":"9","author":[{"family":"Lehner","given":"Bernhard"},{"family":"Messager","given":"Mathis L."},{"family":"Korver","given":"Maartje C."},{"family":"Linke","given":"Simon"}],"issued":{"date-parts":[["2022",6,23]]}}}],"schema":"https://github.com/citation-style-language/schema/raw/master/csl-citation.json"} </w:instrText>
      </w:r>
      <w:r w:rsidRPr="001E4A17">
        <w:fldChar w:fldCharType="separate"/>
      </w:r>
      <w:r w:rsidRPr="001B633D">
        <w:t>(Lehner et al., 2022</w:t>
      </w:r>
      <w:r w:rsidRPr="001E4A17">
        <w:fldChar w:fldCharType="end"/>
      </w:r>
      <w:r w:rsidRPr="001B633D">
        <w:t xml:space="preserve">; </w:t>
      </w:r>
      <w:r w:rsidRPr="001E4A17">
        <w:fldChar w:fldCharType="begin"/>
      </w:r>
      <w:r w:rsidRPr="001B633D">
        <w:instrText xml:space="preserve"> ADDIN ZOTERO_ITEM CSL_CITATION {"citationID":"84kzCbop","properties":{"formattedCitation":"(Linke et al., 2019)","plainCitation":"(Linke et al., 2019)","dontUpdate":true,"noteIndex":0},"citationItems":[{"id":205,"uris":["http://zotero.org/users/10708243/items/SBEIMELB"],"itemData":{"id":205,"type":"article-journal","abstract":"Abstract\n            The HydroATLAS database provides a standardized compendium of descriptive hydro-environmental information for all watersheds and rivers of the world at high spatial resolution. Version 1.0 of HydroATLAS offers data for 56 variables, partitioned into 281 individual attributes and organized in six categories: hydrology; physiography; climate; land cover &amp; use; soils &amp; geology; and anthropogenic influences. HydroAT</w:instrText>
      </w:r>
      <w:r>
        <w:instrText xml:space="preserve">LAS derives the hydro-environmental characteristics by aggregating and reformatting original data from well-established global digital maps, and by accumulating them along the drainage network from headwaters to ocean outlets. The attributes are linked to hierarchically nested sub-basins at multiple scales, as well as to </w:instrText>
      </w:r>
      <w:r w:rsidRPr="001B633D">
        <w:instrText xml:space="preserve">individual river reaches, both extracted from the global HydroSHEDS database at 15 arc-second (~500 m) resolution. The sub-basin and river reach information is offered in two companion datasets: BasinATLAS and RiverATLAS. The standardized format of HydroATLAS ensures easy applicability while the inherent topological information supports basic network functionality such as identifying up- and downstream connections. HydroATLAS is fully compatible with other products of the overarching HydroSHEDS project enabling versatile hydro-ecological assessments for a broad user community.","container-title":"Scientific Data","DOI":"10.1038/s41597-019-0300-6","ISSN":"2052-4463","issue":"1","journalAbbreviation":"Sci Data","language":"en","page":"283","source":"DOI.org (Crossref)","title":"Global hydro-environmental sub-basin and river reach characteristics at high spatial resolution","volume":"6","author":[{"family":"Linke","given":"Simon"},{"family":"Lehner","given":"Bernhard"},{"family":"Ouellet Dallaire","given":"Camille"},{"family":"Ariwi","given":"Joseph"},{"family":"Grill","given":"Günther"},{"family":"Anand","given":"Mira"},{"family":"Beames","given":"Penny"},{"family":"Burchard-Levine","given":"Vicente"},{"family":"Maxwell","given":"Sally"},{"family":"Moidu","given":"Hana"},{"family":"Tan","given":"Florence"},{"family":"Thieme","given":"Michele"}],"issued":{"date-parts":[["2019",12,9]]}}}],"schema":"https://github.com/citation-style-language/schema/raw/master/csl-citation.json"} </w:instrText>
      </w:r>
      <w:r w:rsidRPr="001E4A17">
        <w:fldChar w:fldCharType="separate"/>
      </w:r>
      <w:r w:rsidRPr="001B633D">
        <w:t>Linke et al., 2019)</w:t>
      </w:r>
      <w:r w:rsidRPr="001E4A17">
        <w:fldChar w:fldCharType="end"/>
      </w:r>
      <w:r w:rsidRPr="001B633D">
        <w:t xml:space="preserve"> two comprehensive global databases of hydro-environmental characteristics for lakes and river reaches worldwide. </w:t>
      </w:r>
      <w:proofErr w:type="spellStart"/>
      <w:r w:rsidRPr="001B633D">
        <w:t>LakeATLAS</w:t>
      </w:r>
      <w:proofErr w:type="spellEnd"/>
      <w:r w:rsidRPr="001B633D">
        <w:t xml:space="preserve"> provides detailed data on 1.4 million lakes, while </w:t>
      </w:r>
      <w:proofErr w:type="spellStart"/>
      <w:r w:rsidRPr="001B633D">
        <w:t>RiverATLAS</w:t>
      </w:r>
      <w:proofErr w:type="spellEnd"/>
      <w:r w:rsidRPr="001B633D">
        <w:t xml:space="preserve"> covers 8.5 million river reaches, offering insights into surface area, depth, and country of origin for each water body. </w:t>
      </w:r>
    </w:p>
    <w:p w14:paraId="10B476C3" w14:textId="09029034" w:rsidR="001B633D" w:rsidRPr="007A5067" w:rsidRDefault="001B633D" w:rsidP="00BE059E">
      <w:pPr>
        <w:pStyle w:val="Titre3"/>
      </w:pPr>
      <w:bookmarkStart w:id="10" w:name="_Toc199581138"/>
      <w:r w:rsidRPr="007A5067">
        <w:t>Land area fractions</w:t>
      </w:r>
      <w:bookmarkEnd w:id="10"/>
    </w:p>
    <w:p w14:paraId="763CDD1F" w14:textId="77777777" w:rsidR="001B633D" w:rsidRPr="007852C2" w:rsidRDefault="001B633D" w:rsidP="00BE059E">
      <w:r w:rsidRPr="007852C2">
        <w:t xml:space="preserve">In </w:t>
      </w:r>
      <w:proofErr w:type="spellStart"/>
      <w:r w:rsidRPr="007852C2">
        <w:t>USEtox</w:t>
      </w:r>
      <w:proofErr w:type="spellEnd"/>
      <w:r w:rsidRPr="007852C2">
        <w:t xml:space="preserve">, land is categorized into three compartments: freshwater, natural soil, and agricultural soil, with each region having a specific area fraction allocated to these compartments. Freshwater refers to rivers and lakes. However, our model distinguishes between lake water and river water (referred to as freshwater). Therefore, it is necessary to </w:t>
      </w:r>
      <w:r w:rsidRPr="007852C2">
        <w:lastRenderedPageBreak/>
        <w:t xml:space="preserve">calculate the proportion of surface water attributed to lakes and the proportion attributed to rivers. </w:t>
      </w:r>
    </w:p>
    <w:p w14:paraId="17FBD6A4" w14:textId="77777777" w:rsidR="001B633D" w:rsidRPr="007852C2" w:rsidRDefault="001B633D" w:rsidP="00BE059E">
      <w:r w:rsidRPr="007852C2">
        <w:t xml:space="preserve">All lakes and rivers from </w:t>
      </w:r>
      <w:proofErr w:type="spellStart"/>
      <w:r w:rsidRPr="007852C2">
        <w:t>LakeATLAS</w:t>
      </w:r>
      <w:proofErr w:type="spellEnd"/>
      <w:r w:rsidRPr="007852C2">
        <w:t xml:space="preserve"> and </w:t>
      </w:r>
      <w:proofErr w:type="spellStart"/>
      <w:r w:rsidRPr="007852C2">
        <w:t>RiverATLAS</w:t>
      </w:r>
      <w:proofErr w:type="spellEnd"/>
      <w:r w:rsidRPr="007852C2">
        <w:t xml:space="preserve"> are categorized into the model's eight regions based on their country of origin. The total surface areas of lakes and rivers are then calculated for each region. Using these surface areas, the proportions of surface water attributed to lakes and rivers are determined for each region and scale. These proportions are multiplied by the fraction of land allocated to surface water from </w:t>
      </w:r>
      <w:proofErr w:type="spellStart"/>
      <w:r w:rsidRPr="007852C2">
        <w:t>USEtox</w:t>
      </w:r>
      <w:proofErr w:type="spellEnd"/>
      <w:r w:rsidRPr="007852C2">
        <w:t xml:space="preserve"> to calculate the fractions of land assigned to lake water and river water. </w:t>
      </w:r>
    </w:p>
    <w:p w14:paraId="3366061B" w14:textId="19609232" w:rsidR="001B633D" w:rsidRPr="001B633D" w:rsidRDefault="001B633D" w:rsidP="00BE059E">
      <w:pPr>
        <w:pStyle w:val="Titre3"/>
      </w:pPr>
      <w:bookmarkStart w:id="11" w:name="_Toc199581139"/>
      <w:r w:rsidRPr="001B633D">
        <w:t>Depths of lake water and freshwater</w:t>
      </w:r>
      <w:bookmarkEnd w:id="11"/>
      <w:r w:rsidRPr="001B633D">
        <w:t xml:space="preserve"> </w:t>
      </w:r>
    </w:p>
    <w:p w14:paraId="6C04F9F2" w14:textId="77777777" w:rsidR="001B633D" w:rsidRPr="007852C2" w:rsidRDefault="001B633D" w:rsidP="00BE059E">
      <w:r w:rsidRPr="007852C2">
        <w:t xml:space="preserve">From </w:t>
      </w:r>
      <w:proofErr w:type="spellStart"/>
      <w:r w:rsidRPr="007852C2">
        <w:t>LakeATLAS</w:t>
      </w:r>
      <w:proofErr w:type="spellEnd"/>
      <w:r w:rsidRPr="007852C2">
        <w:t xml:space="preserve"> and </w:t>
      </w:r>
      <w:proofErr w:type="spellStart"/>
      <w:r w:rsidRPr="007852C2">
        <w:t>RiverATLAS</w:t>
      </w:r>
      <w:proofErr w:type="spellEnd"/>
      <w:r w:rsidRPr="007852C2">
        <w:t xml:space="preserve">, an area-weighted average depth is calculated for all lakes and rivers within each region, resulting in a mean depth for both the lake compartment and the freshwater compartment at the continental scale. </w:t>
      </w:r>
    </w:p>
    <w:p w14:paraId="15F5A557" w14:textId="77777777" w:rsidR="001B633D" w:rsidRPr="007852C2" w:rsidRDefault="001B633D" w:rsidP="00BE059E">
      <w:r w:rsidRPr="007852C2">
        <w:t xml:space="preserve">At global scale, the mean depths of the lake water and river water compartments for each region are determined by calculating the area-weighted average depth of all lakes and rivers across all regions, excluding the region being assessed. </w:t>
      </w:r>
    </w:p>
    <w:p w14:paraId="5A65DBF7" w14:textId="3E1B6DE8" w:rsidR="001B633D" w:rsidRPr="001B633D" w:rsidRDefault="001B633D" w:rsidP="00BE059E">
      <w:r w:rsidRPr="007852C2">
        <w:t xml:space="preserve">Detailed calculations, along with all the values used for regionalization, are provided in </w:t>
      </w:r>
      <w:r w:rsidR="006B7FAF">
        <w:t>SI 3.</w:t>
      </w:r>
    </w:p>
    <w:p w14:paraId="6E27C8E9" w14:textId="647BFF9E" w:rsidR="001B633D" w:rsidRDefault="001B633D" w:rsidP="00BE059E">
      <w:pPr>
        <w:pStyle w:val="Titre1"/>
      </w:pPr>
      <w:bookmarkStart w:id="12" w:name="_Toc199581140"/>
      <w:r>
        <w:t>Calculation of the SDFs</w:t>
      </w:r>
      <w:bookmarkEnd w:id="12"/>
    </w:p>
    <w:p w14:paraId="26E2BCEE" w14:textId="6376B759" w:rsidR="006B7FAF" w:rsidRPr="006B7FAF" w:rsidRDefault="006B7FAF" w:rsidP="00BE059E">
      <w:r>
        <w:t xml:space="preserve">All data and calculations of SDFs can be found in SI 4. </w:t>
      </w:r>
    </w:p>
    <w:p w14:paraId="23045C19" w14:textId="5FF868F4" w:rsidR="001B633D" w:rsidRPr="00CA3C50" w:rsidRDefault="001B633D" w:rsidP="00BE059E">
      <w:pPr>
        <w:pStyle w:val="Titre2"/>
      </w:pPr>
      <w:bookmarkStart w:id="13" w:name="_Toc199581141"/>
      <w:r w:rsidRPr="00CA3C50">
        <w:t>Marine ecosystem</w:t>
      </w:r>
      <w:bookmarkEnd w:id="13"/>
    </w:p>
    <w:p w14:paraId="704A54D8" w14:textId="5F8C0FA8" w:rsidR="001B633D" w:rsidRPr="001B633D" w:rsidRDefault="00325B44" w:rsidP="00BE059E">
      <w:pPr>
        <w:pStyle w:val="Titre3"/>
      </w:pPr>
      <w:bookmarkStart w:id="14" w:name="_Toc199581142"/>
      <w:r>
        <w:t>Fraction continental/global</w:t>
      </w:r>
      <w:bookmarkEnd w:id="14"/>
    </w:p>
    <w:p w14:paraId="7217157D" w14:textId="4BA990FF" w:rsidR="007852C2" w:rsidRPr="007F6276" w:rsidRDefault="001B633D" w:rsidP="00BE059E">
      <w:r>
        <w:t>SDFs for the continental and global scales</w:t>
      </w:r>
      <w:r w:rsidR="007852C2" w:rsidRPr="007852C2">
        <w:t xml:space="preserve"> are calculated using The IUCN Red List </w:t>
      </w:r>
      <w:r w:rsidR="007852C2">
        <w:fldChar w:fldCharType="begin"/>
      </w:r>
      <w:r w:rsidR="007852C2" w:rsidRPr="007852C2">
        <w:instrText xml:space="preserve"> ADDIN ZOTERO_ITEM CSL_CITATION {"citationID":"kZYpwJAa","properties":{"formattedCitation":"(IUCN, 2024)","plainCitation":"(IUCN, 2024)","noteIndex":0},"citationItems":[{"id":343,"uris":["http://zotero.org/users/10708243/items/ARL36433"],"itemData":{"id":343,"type":"webpage","note":"Version 2024-1","title":"The IUCN Red List of Threatened Species","URL":"https://www.iucnredlist.org","author":[{"family":"IUCN","given":""}],"accessed":{"date-parts":[["2024",10,1]]},"issued":{"date-parts":[["2024"]]}}}],"schema":"https://github.com/citation-style-language/schema/raw/master/csl-citation.json"} </w:instrText>
      </w:r>
      <w:r w:rsidR="007852C2">
        <w:fldChar w:fldCharType="separate"/>
      </w:r>
      <w:r w:rsidR="007852C2" w:rsidRPr="007852C2">
        <w:t>(IUCN, 2024)</w:t>
      </w:r>
      <w:r w:rsidR="007852C2">
        <w:fldChar w:fldCharType="end"/>
      </w:r>
      <w:r w:rsidR="007852C2" w:rsidRPr="007852C2">
        <w:t>. The data on The IUCN Red List includes non-threatened and threatened species and gives information on location, habitat, ecology, population size, threats etc. 163,040 different species are currently assessed by The IUCN Red List, including 16,996 marine species. For the marine ecosystem, only marine species are considered. The continental scale includes coastal species specific to the region, while the global scale incorporates coastal species from other regions and oceanic species,</w:t>
      </w:r>
      <w:r w:rsidR="007852C2" w:rsidRPr="007852C2">
        <w:rPr>
          <w:rFonts w:eastAsiaTheme="minorEastAsia"/>
        </w:rPr>
        <w:t xml:space="preserve"> species inhabiting the open ocean</w:t>
      </w:r>
      <w:r w:rsidR="007852C2" w:rsidRPr="007852C2">
        <w:t xml:space="preserve">. Species are classified according to FAO's major fishing areas </w:t>
      </w:r>
      <w:r w:rsidR="007852C2">
        <w:fldChar w:fldCharType="begin"/>
      </w:r>
      <w:r w:rsidR="007852C2" w:rsidRPr="007852C2">
        <w:instrText xml:space="preserve"> ADDIN ZOTERO_ITEM CSL_CITATION {"citationID":"GYByIH38","properties":{"formattedCitation":"(FAO, 2020)","plainCitation":"(FAO, 2020)","noteIndex":0},"citationItems":[{"id":344,"uris":["http://zotero.org/users/10708243/items/I8M7ZLGZ"],"itemData":{"id":344,"type":"webpage","title":"FAO Major Fishing Areas","URL":"https://www.fao.org/fishery/en/area/search","author":[{"family":"FAO","given":""}],"issued":{"date-parts":[["2020",11]]}}}],"schema":"https://github.com/citation-style-language/schema/raw/master/csl-citation.json"} </w:instrText>
      </w:r>
      <w:r w:rsidR="007852C2">
        <w:fldChar w:fldCharType="separate"/>
      </w:r>
      <w:r w:rsidR="007852C2" w:rsidRPr="007852C2">
        <w:t>(FAO, 2020)</w:t>
      </w:r>
      <w:r w:rsidR="007852C2">
        <w:fldChar w:fldCharType="end"/>
      </w:r>
      <w:r w:rsidR="007852C2" w:rsidRPr="007852C2">
        <w:t>, with each area assigned to one or more of the eight regions based on its location. For each region, we calculate the number of coastal species living in the region (</w:t>
      </w:r>
      <m:oMath>
        <m:sSub>
          <m:sSubPr>
            <m:ctrlPr>
              <w:rPr>
                <w:rFonts w:ascii="Cambria Math" w:hAnsi="Cambria Math"/>
                <w:i/>
              </w:rPr>
            </m:ctrlPr>
          </m:sSubPr>
          <m:e>
            <m:r>
              <w:rPr>
                <w:rFonts w:ascii="Cambria Math" w:hAnsi="Cambria Math"/>
              </w:rPr>
              <m:t>CS</m:t>
            </m:r>
          </m:e>
          <m:sub>
            <m:r>
              <w:rPr>
                <w:rFonts w:ascii="Cambria Math" w:hAnsi="Cambria Math"/>
              </w:rPr>
              <m:t>region</m:t>
            </m:r>
          </m:sub>
        </m:sSub>
      </m:oMath>
      <w:r w:rsidR="007852C2" w:rsidRPr="007852C2">
        <w:rPr>
          <w:rFonts w:eastAsiaTheme="minorEastAsia"/>
        </w:rPr>
        <w:t>)</w:t>
      </w:r>
      <w:r w:rsidR="007852C2" w:rsidRPr="007852C2">
        <w:t>, the number of coastal species found in the rest of the world (</w:t>
      </w:r>
      <m:oMath>
        <m:sSub>
          <m:sSubPr>
            <m:ctrlPr>
              <w:rPr>
                <w:rFonts w:ascii="Cambria Math" w:hAnsi="Cambria Math"/>
                <w:i/>
              </w:rPr>
            </m:ctrlPr>
          </m:sSubPr>
          <m:e>
            <m:r>
              <w:rPr>
                <w:rFonts w:ascii="Cambria Math" w:hAnsi="Cambria Math"/>
              </w:rPr>
              <m:t>CS</m:t>
            </m:r>
          </m:e>
          <m:sub>
            <m:r>
              <w:rPr>
                <w:rFonts w:ascii="Cambria Math" w:hAnsi="Cambria Math"/>
              </w:rPr>
              <m:t>RoW</m:t>
            </m:r>
          </m:sub>
        </m:sSub>
      </m:oMath>
      <w:r w:rsidR="007852C2" w:rsidRPr="007852C2">
        <w:t xml:space="preserve">) </w:t>
      </w:r>
      <w:r w:rsidR="007852C2" w:rsidRPr="007852C2">
        <w:rPr>
          <w:rFonts w:eastAsiaTheme="minorEastAsia"/>
        </w:rPr>
        <w:t>and the number of oceanic species (</w:t>
      </w:r>
      <m:oMath>
        <m:r>
          <w:rPr>
            <w:rFonts w:ascii="Cambria Math" w:hAnsi="Cambria Math"/>
          </w:rPr>
          <m:t>OS</m:t>
        </m:r>
      </m:oMath>
      <w:r w:rsidR="007852C2" w:rsidRPr="007852C2">
        <w:rPr>
          <w:rFonts w:eastAsiaTheme="minorEastAsia"/>
        </w:rPr>
        <w:t>)</w:t>
      </w:r>
      <w:r w:rsidR="007852C2" w:rsidRPr="007852C2">
        <w:t>. The fractions of species at the continental (</w:t>
      </w:r>
      <m:oMath>
        <m:sSub>
          <m:sSubPr>
            <m:ctrlPr>
              <w:rPr>
                <w:rFonts w:ascii="Cambria Math" w:hAnsi="Cambria Math"/>
                <w:i/>
                <w:iCs/>
              </w:rPr>
            </m:ctrlPr>
          </m:sSubPr>
          <m:e>
            <m:r>
              <w:rPr>
                <w:rFonts w:ascii="Cambria Math" w:hAnsi="Cambria Math"/>
              </w:rPr>
              <m:t>Frac</m:t>
            </m:r>
          </m:e>
          <m:sub>
            <m:r>
              <w:rPr>
                <w:rFonts w:ascii="Cambria Math" w:hAnsi="Cambria Math"/>
              </w:rPr>
              <m:t>MarineSpecie</m:t>
            </m:r>
            <m:sSub>
              <m:sSubPr>
                <m:ctrlPr>
                  <w:rPr>
                    <w:rFonts w:ascii="Cambria Math" w:hAnsi="Cambria Math"/>
                    <w:i/>
                    <w:iCs/>
                  </w:rPr>
                </m:ctrlPr>
              </m:sSubPr>
              <m:e>
                <m:r>
                  <w:rPr>
                    <w:rFonts w:ascii="Cambria Math" w:hAnsi="Cambria Math"/>
                  </w:rPr>
                  <m:t>s</m:t>
                </m:r>
              </m:e>
              <m:sub>
                <m:r>
                  <w:rPr>
                    <w:rFonts w:ascii="Cambria Math" w:hAnsi="Cambria Math"/>
                  </w:rPr>
                  <m:t>C</m:t>
                </m:r>
              </m:sub>
            </m:sSub>
          </m:sub>
        </m:sSub>
      </m:oMath>
      <w:r w:rsidR="007852C2" w:rsidRPr="007852C2">
        <w:rPr>
          <w:rFonts w:eastAsiaTheme="minorEastAsia"/>
          <w:iCs/>
        </w:rPr>
        <w:t xml:space="preserve">) </w:t>
      </w:r>
      <w:r w:rsidR="007852C2" w:rsidRPr="007852C2">
        <w:t xml:space="preserve">and global </w:t>
      </w:r>
      <w:r w:rsidR="007852C2" w:rsidRPr="007852C2">
        <w:rPr>
          <w:rFonts w:eastAsiaTheme="minorEastAsia"/>
        </w:rPr>
        <w:t>(</w:t>
      </w:r>
      <m:oMath>
        <m:sSub>
          <m:sSubPr>
            <m:ctrlPr>
              <w:rPr>
                <w:rFonts w:ascii="Cambria Math" w:hAnsi="Cambria Math"/>
                <w:i/>
                <w:iCs/>
              </w:rPr>
            </m:ctrlPr>
          </m:sSubPr>
          <m:e>
            <m:r>
              <w:rPr>
                <w:rFonts w:ascii="Cambria Math" w:hAnsi="Cambria Math"/>
              </w:rPr>
              <m:t>Frac</m:t>
            </m:r>
          </m:e>
          <m:sub>
            <m:r>
              <w:rPr>
                <w:rFonts w:ascii="Cambria Math" w:hAnsi="Cambria Math"/>
              </w:rPr>
              <m:t>MarineSpecie</m:t>
            </m:r>
            <m:sSub>
              <m:sSubPr>
                <m:ctrlPr>
                  <w:rPr>
                    <w:rFonts w:ascii="Cambria Math" w:hAnsi="Cambria Math"/>
                    <w:i/>
                    <w:iCs/>
                  </w:rPr>
                </m:ctrlPr>
              </m:sSubPr>
              <m:e>
                <m:r>
                  <w:rPr>
                    <w:rFonts w:ascii="Cambria Math" w:hAnsi="Cambria Math"/>
                  </w:rPr>
                  <m:t>s</m:t>
                </m:r>
              </m:e>
              <m:sub>
                <m:r>
                  <w:rPr>
                    <w:rFonts w:ascii="Cambria Math" w:hAnsi="Cambria Math"/>
                  </w:rPr>
                  <m:t>G</m:t>
                </m:r>
              </m:sub>
            </m:sSub>
          </m:sub>
        </m:sSub>
      </m:oMath>
      <w:r w:rsidR="007852C2" w:rsidRPr="007852C2">
        <w:rPr>
          <w:rFonts w:eastAsiaTheme="minorEastAsia"/>
          <w:iCs/>
        </w:rPr>
        <w:t xml:space="preserve">) </w:t>
      </w:r>
      <w:r w:rsidR="007852C2" w:rsidRPr="007852C2">
        <w:t xml:space="preserve">scales are then derived using </w:t>
      </w:r>
      <w:r w:rsidR="007F6276" w:rsidRPr="007F6276">
        <w:t>Eq</w:t>
      </w:r>
      <w:r w:rsidR="007F6276">
        <w:t xml:space="preserve">uation 3 </w:t>
      </w:r>
      <w:r w:rsidR="007852C2" w:rsidRPr="007852C2">
        <w:t xml:space="preserve">and </w:t>
      </w:r>
      <w:r w:rsidR="007F6276" w:rsidRPr="007F6276">
        <w:t xml:space="preserve">Equation </w:t>
      </w:r>
      <w:r w:rsidR="007F6276">
        <w:t xml:space="preserve">4. </w:t>
      </w:r>
    </w:p>
    <w:p w14:paraId="72B7DFAE" w14:textId="78320C69" w:rsidR="007852C2" w:rsidRPr="007F6276" w:rsidRDefault="00000000" w:rsidP="00BE059E">
      <w:pPr>
        <w:rPr>
          <w:rFonts w:eastAsiaTheme="minorEastAsia"/>
          <w:iCs/>
        </w:rPr>
      </w:pPr>
      <m:oMathPara>
        <m:oMath>
          <m:eqArr>
            <m:eqArrPr>
              <m:maxDist m:val="1"/>
              <m:ctrlPr>
                <w:rPr>
                  <w:rFonts w:ascii="Cambria Math" w:hAnsi="Cambria Math"/>
                  <w:iCs/>
                </w:rPr>
              </m:ctrlPr>
            </m:eqArrPr>
            <m:e>
              <m:sSub>
                <m:sSubPr>
                  <m:ctrlPr>
                    <w:rPr>
                      <w:rFonts w:ascii="Cambria Math" w:hAnsi="Cambria Math"/>
                      <w:iCs/>
                    </w:rPr>
                  </m:ctrlPr>
                </m:sSubPr>
                <m:e>
                  <m:r>
                    <w:rPr>
                      <w:rFonts w:ascii="Cambria Math" w:hAnsi="Cambria Math"/>
                    </w:rPr>
                    <m:t>Frac</m:t>
                  </m:r>
                </m:e>
                <m:sub>
                  <m:r>
                    <w:rPr>
                      <w:rFonts w:ascii="Cambria Math" w:hAnsi="Cambria Math"/>
                    </w:rPr>
                    <m:t>MarineSpecie</m:t>
                  </m:r>
                  <m:sSub>
                    <m:sSubPr>
                      <m:ctrlPr>
                        <w:rPr>
                          <w:rFonts w:ascii="Cambria Math" w:hAnsi="Cambria Math"/>
                          <w:iCs/>
                        </w:rPr>
                      </m:ctrlPr>
                    </m:sSubPr>
                    <m:e>
                      <m:r>
                        <w:rPr>
                          <w:rFonts w:ascii="Cambria Math" w:hAnsi="Cambria Math"/>
                        </w:rPr>
                        <m:t>s</m:t>
                      </m:r>
                    </m:e>
                    <m:sub>
                      <m:r>
                        <w:rPr>
                          <w:rFonts w:ascii="Cambria Math" w:hAnsi="Cambria Math"/>
                        </w:rPr>
                        <m:t>C</m:t>
                      </m:r>
                    </m:sub>
                  </m:sSub>
                </m:sub>
              </m:sSub>
              <m:r>
                <m:rPr>
                  <m:sty m:val="p"/>
                </m:rPr>
                <w:rPr>
                  <w:rFonts w:ascii="Cambria Math" w:hAnsi="Cambria Math"/>
                </w:rPr>
                <m:t>= </m:t>
              </m:r>
              <m:f>
                <m:fPr>
                  <m:ctrlPr>
                    <w:rPr>
                      <w:rFonts w:ascii="Cambria Math" w:hAnsi="Cambria Math"/>
                      <w:iCs/>
                    </w:rPr>
                  </m:ctrlPr>
                </m:fPr>
                <m:num>
                  <m:sSub>
                    <m:sSubPr>
                      <m:ctrlPr>
                        <w:rPr>
                          <w:rFonts w:ascii="Cambria Math" w:hAnsi="Cambria Math"/>
                        </w:rPr>
                      </m:ctrlPr>
                    </m:sSubPr>
                    <m:e>
                      <m:r>
                        <w:rPr>
                          <w:rFonts w:ascii="Cambria Math" w:hAnsi="Cambria Math"/>
                        </w:rPr>
                        <m:t>CS</m:t>
                      </m:r>
                    </m:e>
                    <m:sub>
                      <m:r>
                        <w:rPr>
                          <w:rFonts w:ascii="Cambria Math" w:hAnsi="Cambria Math"/>
                        </w:rPr>
                        <m:t>region</m:t>
                      </m:r>
                    </m:sub>
                  </m:sSub>
                </m:num>
                <m:den>
                  <m:sSub>
                    <m:sSubPr>
                      <m:ctrlPr>
                        <w:rPr>
                          <w:rFonts w:ascii="Cambria Math" w:hAnsi="Cambria Math"/>
                        </w:rPr>
                      </m:ctrlPr>
                    </m:sSubPr>
                    <m:e>
                      <m:r>
                        <w:rPr>
                          <w:rFonts w:ascii="Cambria Math" w:hAnsi="Cambria Math"/>
                        </w:rPr>
                        <m:t>CS</m:t>
                      </m:r>
                    </m:e>
                    <m:sub>
                      <m:r>
                        <w:rPr>
                          <w:rFonts w:ascii="Cambria Math" w:hAnsi="Cambria Math"/>
                        </w:rPr>
                        <m:t>region</m:t>
                      </m:r>
                    </m:sub>
                  </m:sSub>
                  <m:r>
                    <m:rPr>
                      <m:sty m:val="p"/>
                    </m:rPr>
                    <w:rPr>
                      <w:rFonts w:ascii="Cambria Math" w:hAnsi="Cambria Math"/>
                    </w:rPr>
                    <m:t>+</m:t>
                  </m:r>
                  <m:sSub>
                    <m:sSubPr>
                      <m:ctrlPr>
                        <w:rPr>
                          <w:rFonts w:ascii="Cambria Math" w:hAnsi="Cambria Math"/>
                        </w:rPr>
                      </m:ctrlPr>
                    </m:sSubPr>
                    <m:e>
                      <m:r>
                        <w:rPr>
                          <w:rFonts w:ascii="Cambria Math" w:hAnsi="Cambria Math"/>
                        </w:rPr>
                        <m:t>CS</m:t>
                      </m:r>
                    </m:e>
                    <m:sub>
                      <m:r>
                        <w:rPr>
                          <w:rFonts w:ascii="Cambria Math" w:hAnsi="Cambria Math"/>
                        </w:rPr>
                        <m:t>RoW</m:t>
                      </m:r>
                    </m:sub>
                  </m:sSub>
                  <m:r>
                    <m:rPr>
                      <m:sty m:val="p"/>
                    </m:rPr>
                    <w:rPr>
                      <w:rFonts w:ascii="Cambria Math" w:hAnsi="Cambria Math"/>
                    </w:rPr>
                    <m:t>+</m:t>
                  </m:r>
                  <m:r>
                    <w:rPr>
                      <w:rFonts w:ascii="Cambria Math" w:hAnsi="Cambria Math"/>
                    </w:rPr>
                    <m:t>OS</m:t>
                  </m:r>
                </m:den>
              </m:f>
              <m:r>
                <m:rPr>
                  <m:sty m:val="p"/>
                </m:rPr>
                <w:rPr>
                  <w:rFonts w:ascii="Cambria Math" w:hAnsi="Cambria Math"/>
                </w:rPr>
                <m:t>#</m:t>
              </m:r>
              <m:d>
                <m:dPr>
                  <m:ctrlPr>
                    <w:rPr>
                      <w:rFonts w:ascii="Cambria Math" w:hAnsi="Cambria Math"/>
                      <w:iCs/>
                    </w:rPr>
                  </m:ctrlPr>
                </m:dPr>
                <m:e>
                  <m:r>
                    <m:rPr>
                      <m:sty m:val="p"/>
                    </m:rPr>
                    <w:rPr>
                      <w:rFonts w:ascii="Cambria Math" w:hAnsi="Cambria Math"/>
                    </w:rPr>
                    <m:t>3</m:t>
                  </m:r>
                </m:e>
              </m:d>
            </m:e>
          </m:eqArr>
        </m:oMath>
      </m:oMathPara>
    </w:p>
    <w:p w14:paraId="7558D253" w14:textId="238A7404" w:rsidR="007852C2" w:rsidRPr="001E4A17" w:rsidRDefault="007852C2" w:rsidP="00BE059E">
      <w:pPr>
        <w:pStyle w:val="Lgende"/>
      </w:pPr>
    </w:p>
    <w:p w14:paraId="321F3DB6" w14:textId="738F389E" w:rsidR="007F6276" w:rsidRPr="007F6276" w:rsidRDefault="00000000" w:rsidP="00BE059E">
      <w:pPr>
        <w:rPr>
          <w:rFonts w:eastAsiaTheme="minorEastAsia"/>
          <w:iCs/>
        </w:rPr>
      </w:pPr>
      <m:oMathPara>
        <m:oMath>
          <m:eqArr>
            <m:eqArrPr>
              <m:maxDist m:val="1"/>
              <m:ctrlPr>
                <w:rPr>
                  <w:rFonts w:ascii="Cambria Math" w:hAnsi="Cambria Math"/>
                  <w:iCs/>
                </w:rPr>
              </m:ctrlPr>
            </m:eqArrPr>
            <m:e>
              <m:sSub>
                <m:sSubPr>
                  <m:ctrlPr>
                    <w:rPr>
                      <w:rFonts w:ascii="Cambria Math" w:hAnsi="Cambria Math"/>
                      <w:iCs/>
                    </w:rPr>
                  </m:ctrlPr>
                </m:sSubPr>
                <m:e>
                  <m:r>
                    <w:rPr>
                      <w:rFonts w:ascii="Cambria Math" w:hAnsi="Cambria Math"/>
                    </w:rPr>
                    <m:t>Frac</m:t>
                  </m:r>
                </m:e>
                <m:sub>
                  <m:r>
                    <w:rPr>
                      <w:rFonts w:ascii="Cambria Math" w:hAnsi="Cambria Math"/>
                    </w:rPr>
                    <m:t>MarineSpecie</m:t>
                  </m:r>
                  <m:sSub>
                    <m:sSubPr>
                      <m:ctrlPr>
                        <w:rPr>
                          <w:rFonts w:ascii="Cambria Math" w:hAnsi="Cambria Math"/>
                          <w:iCs/>
                        </w:rPr>
                      </m:ctrlPr>
                    </m:sSubPr>
                    <m:e>
                      <m:r>
                        <w:rPr>
                          <w:rFonts w:ascii="Cambria Math" w:hAnsi="Cambria Math"/>
                        </w:rPr>
                        <m:t>s</m:t>
                      </m:r>
                    </m:e>
                    <m:sub>
                      <m:r>
                        <w:rPr>
                          <w:rFonts w:ascii="Cambria Math" w:hAnsi="Cambria Math"/>
                        </w:rPr>
                        <m:t>G</m:t>
                      </m:r>
                    </m:sub>
                  </m:sSub>
                </m:sub>
              </m:sSub>
              <m:r>
                <m:rPr>
                  <m:sty m:val="p"/>
                </m:rPr>
                <w:rPr>
                  <w:rFonts w:ascii="Cambria Math" w:hAnsi="Cambria Math"/>
                </w:rPr>
                <m:t>= </m:t>
              </m:r>
              <m:f>
                <m:fPr>
                  <m:ctrlPr>
                    <w:rPr>
                      <w:rFonts w:ascii="Cambria Math" w:hAnsi="Cambria Math"/>
                      <w:iCs/>
                    </w:rPr>
                  </m:ctrlPr>
                </m:fPr>
                <m:num>
                  <m:sSub>
                    <m:sSubPr>
                      <m:ctrlPr>
                        <w:rPr>
                          <w:rFonts w:ascii="Cambria Math" w:hAnsi="Cambria Math"/>
                        </w:rPr>
                      </m:ctrlPr>
                    </m:sSubPr>
                    <m:e>
                      <m:r>
                        <w:rPr>
                          <w:rFonts w:ascii="Cambria Math" w:hAnsi="Cambria Math"/>
                        </w:rPr>
                        <m:t>CS</m:t>
                      </m:r>
                    </m:e>
                    <m:sub>
                      <m:r>
                        <w:rPr>
                          <w:rFonts w:ascii="Cambria Math" w:hAnsi="Cambria Math"/>
                        </w:rPr>
                        <m:t>RoW</m:t>
                      </m:r>
                    </m:sub>
                  </m:sSub>
                  <m:r>
                    <m:rPr>
                      <m:sty m:val="p"/>
                    </m:rPr>
                    <w:rPr>
                      <w:rFonts w:ascii="Cambria Math" w:hAnsi="Cambria Math"/>
                    </w:rPr>
                    <m:t>+</m:t>
                  </m:r>
                  <m:r>
                    <w:rPr>
                      <w:rFonts w:ascii="Cambria Math" w:hAnsi="Cambria Math"/>
                    </w:rPr>
                    <m:t>OS</m:t>
                  </m:r>
                </m:num>
                <m:den>
                  <m:sSub>
                    <m:sSubPr>
                      <m:ctrlPr>
                        <w:rPr>
                          <w:rFonts w:ascii="Cambria Math" w:hAnsi="Cambria Math"/>
                        </w:rPr>
                      </m:ctrlPr>
                    </m:sSubPr>
                    <m:e>
                      <m:r>
                        <w:rPr>
                          <w:rFonts w:ascii="Cambria Math" w:hAnsi="Cambria Math"/>
                        </w:rPr>
                        <m:t>CS</m:t>
                      </m:r>
                    </m:e>
                    <m:sub>
                      <m:r>
                        <w:rPr>
                          <w:rFonts w:ascii="Cambria Math" w:hAnsi="Cambria Math"/>
                        </w:rPr>
                        <m:t>region</m:t>
                      </m:r>
                    </m:sub>
                  </m:sSub>
                  <m:r>
                    <m:rPr>
                      <m:sty m:val="p"/>
                    </m:rPr>
                    <w:rPr>
                      <w:rFonts w:ascii="Cambria Math" w:hAnsi="Cambria Math"/>
                    </w:rPr>
                    <m:t>+</m:t>
                  </m:r>
                  <m:sSub>
                    <m:sSubPr>
                      <m:ctrlPr>
                        <w:rPr>
                          <w:rFonts w:ascii="Cambria Math" w:hAnsi="Cambria Math"/>
                        </w:rPr>
                      </m:ctrlPr>
                    </m:sSubPr>
                    <m:e>
                      <m:r>
                        <w:rPr>
                          <w:rFonts w:ascii="Cambria Math" w:hAnsi="Cambria Math"/>
                        </w:rPr>
                        <m:t>CS</m:t>
                      </m:r>
                    </m:e>
                    <m:sub>
                      <m:r>
                        <w:rPr>
                          <w:rFonts w:ascii="Cambria Math" w:hAnsi="Cambria Math"/>
                        </w:rPr>
                        <m:t>RoW</m:t>
                      </m:r>
                    </m:sub>
                  </m:sSub>
                  <m:r>
                    <m:rPr>
                      <m:sty m:val="p"/>
                    </m:rPr>
                    <w:rPr>
                      <w:rFonts w:ascii="Cambria Math" w:hAnsi="Cambria Math"/>
                    </w:rPr>
                    <m:t>+</m:t>
                  </m:r>
                  <m:r>
                    <w:rPr>
                      <w:rFonts w:ascii="Cambria Math" w:hAnsi="Cambria Math"/>
                    </w:rPr>
                    <m:t>OS</m:t>
                  </m:r>
                </m:den>
              </m:f>
              <m:r>
                <m:rPr>
                  <m:sty m:val="p"/>
                </m:rPr>
                <w:rPr>
                  <w:rFonts w:ascii="Cambria Math" w:hAnsi="Cambria Math"/>
                </w:rPr>
                <m:t xml:space="preserve"> #</m:t>
              </m:r>
              <m:d>
                <m:dPr>
                  <m:ctrlPr>
                    <w:rPr>
                      <w:rFonts w:ascii="Cambria Math" w:hAnsi="Cambria Math"/>
                      <w:iCs/>
                    </w:rPr>
                  </m:ctrlPr>
                </m:dPr>
                <m:e>
                  <m:r>
                    <m:rPr>
                      <m:sty m:val="p"/>
                    </m:rPr>
                    <w:rPr>
                      <w:rFonts w:ascii="Cambria Math" w:hAnsi="Cambria Math"/>
                    </w:rPr>
                    <m:t>4</m:t>
                  </m:r>
                </m:e>
              </m:d>
            </m:e>
          </m:eqArr>
        </m:oMath>
      </m:oMathPara>
    </w:p>
    <w:p w14:paraId="1C07CB83" w14:textId="77777777" w:rsidR="007852C2" w:rsidRDefault="007852C2" w:rsidP="00BE059E"/>
    <w:p w14:paraId="67C3055B" w14:textId="089DDB77" w:rsidR="007852C2" w:rsidRPr="00366DF5" w:rsidRDefault="001B633D" w:rsidP="00BE059E">
      <w:pPr>
        <w:pStyle w:val="Titre2"/>
      </w:pPr>
      <w:bookmarkStart w:id="15" w:name="_Toc199581143"/>
      <w:r w:rsidRPr="00366DF5">
        <w:t>Freshwater ecosystem</w:t>
      </w:r>
      <w:bookmarkEnd w:id="15"/>
      <w:r w:rsidRPr="00366DF5">
        <w:t xml:space="preserve"> </w:t>
      </w:r>
    </w:p>
    <w:p w14:paraId="5E94A8F4" w14:textId="335B78F4" w:rsidR="001B633D" w:rsidRPr="00366DF5" w:rsidRDefault="00325B44" w:rsidP="00BE059E">
      <w:pPr>
        <w:pStyle w:val="Titre3"/>
      </w:pPr>
      <w:bookmarkStart w:id="16" w:name="_Toc199581144"/>
      <w:r w:rsidRPr="00366DF5">
        <w:t>Fraction sediment/water column</w:t>
      </w:r>
      <w:bookmarkEnd w:id="16"/>
    </w:p>
    <w:p w14:paraId="5637A9ED" w14:textId="77777777" w:rsidR="007852C2" w:rsidRPr="007852C2" w:rsidRDefault="007852C2" w:rsidP="00BE059E">
      <w:r w:rsidRPr="007852C2">
        <w:t xml:space="preserve">The fraction of species in the sediment and water column for the aquatic ecosystem is calculated using data from the database www.freshwaterecology.info </w:t>
      </w:r>
      <w:r>
        <w:fldChar w:fldCharType="begin"/>
      </w:r>
      <w:r w:rsidRPr="007852C2">
        <w:instrText xml:space="preserve"> ADDIN ZOTERO_ITEM CSL_CITATION {"citationID":"UYBvLIGo","properties":{"formattedCitation":"(Schmidt-Kloiber &amp; Hering, 2015)","plainCitation":"(Schmidt-Kloiber &amp; Hering, 2015)","dontUpdate":true,"noteIndex":0},"citationItems":[{"id":339,"uris":["http://zotero.org/users/10708243/items/QI6XRUIA"],"itemData":{"id":339,"type":"article-journal","container-title":"Ecological Indicators","DOI":"10.1016/j.ecolind.2015.02.007","ISSN":"1470160X","journalAbbreviation":"Ecological Indicators","language":"en","page":"271-282","source":"DOI.org (Crossref)","title":"www.freshwaterecology.info – An online tool that unifies, standardises and codifies more than 20,000 European freshwater organisms and their ecological preferences","volume":"53","author":[{"family":"Schmidt-Kloiber","given":"Astrid"},{"family":"Hering","given":"Daniel"}],"issued":{"date-parts":[["2015",6]]}}}],"schema":"https://github.com/citation-style-language/schema/raw/master/csl-citation.json"} </w:instrText>
      </w:r>
      <w:r>
        <w:fldChar w:fldCharType="separate"/>
      </w:r>
      <w:r w:rsidRPr="007852C2">
        <w:t>(Schmidt-Kloiber &amp; Hering, 2015;</w:t>
      </w:r>
      <w:r>
        <w:fldChar w:fldCharType="end"/>
      </w:r>
      <w:r w:rsidRPr="007852C2">
        <w:t xml:space="preserve"> </w:t>
      </w:r>
      <w:r>
        <w:fldChar w:fldCharType="begin"/>
      </w:r>
      <w:r w:rsidRPr="007852C2">
        <w:instrText xml:space="preserve"> ADDIN ZOTERO_ITEM CSL_CITATION {"citationID":"32OCPbWK","properties":{"formattedCitation":"(Schmidt-Kloiber &amp; Hering, 2024)","plainCitation":"(Schmidt-Kloiber &amp; Hering, 2024)","dontUpdate":true,"noteIndex":0},"citationItems":[{"id":342,"uris":["http://zotero.org/users/10708243/items/S5SQBB5Z"],"itemData":{"id":342,"type":"dataset","title":"www.freshwaterecology.info - the taxa and autecology database for freshwater organisms","version":"8.0","author":[{"family":"Schmidt-Kloiber","given":"A."},{"family":"Hering","given":"D."}],"accessed":{"date-parts":[["2024",4,5]]},"issued":{"date-parts":[["2024"]]}}}],"schema":"https://github.com/citation-style-language/schema/raw/master/csl-citation.json"} </w:instrText>
      </w:r>
      <w:r>
        <w:fldChar w:fldCharType="separate"/>
      </w:r>
      <w:r w:rsidRPr="007852C2">
        <w:t>Schmidt-Kloiber &amp; Hering, 2024)</w:t>
      </w:r>
      <w:r>
        <w:fldChar w:fldCharType="end"/>
      </w:r>
      <w:r w:rsidRPr="007852C2">
        <w:t xml:space="preserve">. This database includes more than 20,000 European freshwater organisms and their ecological preferences. Species distribution between sediment and water column is analyzed for 3,105 macroinvertebrates, 242 fish, 1,101 macrophytes, 8,591 </w:t>
      </w:r>
      <w:proofErr w:type="spellStart"/>
      <w:r w:rsidRPr="007852C2">
        <w:t>phytobenthos</w:t>
      </w:r>
      <w:proofErr w:type="spellEnd"/>
      <w:r w:rsidRPr="007852C2">
        <w:t xml:space="preserve">, and 2,512 phytoplankton, totaling 15,551 species. Macrophytes and </w:t>
      </w:r>
      <w:proofErr w:type="spellStart"/>
      <w:r w:rsidRPr="007852C2">
        <w:t>phytobenthos</w:t>
      </w:r>
      <w:proofErr w:type="spellEnd"/>
      <w:r w:rsidRPr="007852C2">
        <w:t xml:space="preserve"> are categorized as sediment feeders, while phytoplankton are classified as water column feeders. For fish, a specialized dataset on feeding habitats is used </w:t>
      </w:r>
      <w:r>
        <w:fldChar w:fldCharType="begin"/>
      </w:r>
      <w:r w:rsidRPr="007852C2">
        <w:instrText xml:space="preserve"> ADDIN ZOTERO_ITEM CSL_CITATION {"citationID":"R6djiRXK","properties":{"formattedCitation":"(Grenouillet &amp; Schmidt-Kloiber, 2006)","plainCitation":"(Grenouillet &amp; Schmidt-Kloiber, 2006)","dontUpdate":true,"noteIndex":0},"citationItems":[{"id":340,"uris":["http://zotero.org/users/10708243/items/SZFX65C6"],"itemData":{"id":340,"type":"dataset","event-place":"www.freshwaterecology.info","publisher-place":"www.freshwaterecology.info","title":"Fish Indicator Database. Euro-limpacs project, Workpackage 7 - Indicators of ecosystem health, Task 4.","version":"8.0","author":[{"family":"Grenouillet","given":"G."},{"family":"Schmidt-Kloiber","given":"A."}],"accessed":{"date-parts":[["2024",4,5]]},"issued":{"date-parts":[["2006"]]}}}],"schema":"https://github.com/citation-style-language/schema/raw/master/csl-citation.json"} </w:instrText>
      </w:r>
      <w:r>
        <w:fldChar w:fldCharType="separate"/>
      </w:r>
      <w:r w:rsidRPr="007852C2">
        <w:t>(Grenouillet &amp; Schmidt-Kloiber, 2006;</w:t>
      </w:r>
      <w:r>
        <w:fldChar w:fldCharType="end"/>
      </w:r>
      <w:r w:rsidRPr="007852C2">
        <w:t xml:space="preserve"> </w:t>
      </w:r>
      <w:r>
        <w:fldChar w:fldCharType="begin"/>
      </w:r>
      <w:r w:rsidRPr="007852C2">
        <w:instrText xml:space="preserve"> ADDIN ZOTERO_ITEM CSL_CITATION {"citationID":"n7k6Psko","properties":{"formattedCitation":"(Schinegger &amp; Friedrich, 2024)","plainCitation":"(Schinegger &amp; Friedrich, 2024)","dontUpdate":true,"noteIndex":0},"citationItems":[{"id":341,"uris":["http://zotero.org/users/10708243/items/SYTA7KIP"],"itemData":{"id":341,"type":"dataset","title":"Dataset \"Fish\". www.freshwaterecology.info - the taxa and autecology database for freshwater organisms","version":"8.0","author":[{"family":"Schinegger","given":"R."},{"family":"Friedrich","given":"T."}],"accessed":{"date-parts":[["2024",4,5]]},"issued":{"date-parts":[["2024"]]}}}],"schema":"https://github.com/citation-style-language/schema/raw/master/csl-citation.json"} </w:instrText>
      </w:r>
      <w:r>
        <w:fldChar w:fldCharType="separate"/>
      </w:r>
      <w:r w:rsidRPr="007852C2">
        <w:t>Schinegger &amp; Friedrich, 2024)</w:t>
      </w:r>
      <w:r>
        <w:fldChar w:fldCharType="end"/>
      </w:r>
      <w:r w:rsidRPr="007852C2">
        <w:t xml:space="preserve">, classifying species based on whether they feed in the sediment or water column. The proportions of fish feeding in each habitat are then calculated.  For macroinvertebrates, a dataset categorizes species by feeding type, which is linked to either the sediment or the water column, allowing the calculation of the fraction of macroinvertebrates feeding in each compartment. </w:t>
      </w:r>
    </w:p>
    <w:p w14:paraId="307EBBD2" w14:textId="77777777" w:rsidR="007852C2" w:rsidRDefault="007852C2" w:rsidP="00BE059E">
      <w:r w:rsidRPr="007852C2">
        <w:t xml:space="preserve">The fractions of species inhabiting rivers and lakes are determined using data from The IUCN Red List, which covers 69,330 species </w:t>
      </w:r>
      <w:r>
        <w:fldChar w:fldCharType="begin"/>
      </w:r>
      <w:r w:rsidRPr="007852C2">
        <w:instrText xml:space="preserve"> ADDIN ZOTERO_ITEM CSL_CITATION {"citationID":"g8Q1xYLf","properties":{"formattedCitation":"(IUCN, 2024)","plainCitation":"(IUCN, 2024)","noteIndex":0},"citationItems":[{"id":343,"uris":["http://zotero.org/users/10708243/items/ARL36433"],"itemData":{"id":343,"type":"webpage","note":"Version 2024-1","title":"The IUCN Red List of Threatened Species","URL":"https://www.iucnredlist.org","author":[{"family":"IUCN","given":""}],"accessed":{"date-parts":[["2024",10,1]]},"issued":{"date-parts":[["2024"]]}}}],"schema":"https://github.com/citation-style-language/schema/raw/master/csl-citation.json"} </w:instrText>
      </w:r>
      <w:r>
        <w:fldChar w:fldCharType="separate"/>
      </w:r>
      <w:r w:rsidRPr="007852C2">
        <w:t>(IUCN, 2024)</w:t>
      </w:r>
      <w:r>
        <w:fldChar w:fldCharType="end"/>
      </w:r>
      <w:r w:rsidRPr="007852C2">
        <w:t>. Species are classified by habitat, with each habitat assigned to a category: river, lake, wetland, saline water, or groundwater. Only species from the river and lake categories, totaling 45,672 species, are considered. From this, the fractions of species residing in rivers and in lakes are calculated.</w:t>
      </w:r>
    </w:p>
    <w:p w14:paraId="1DA324FF" w14:textId="75746C9D" w:rsidR="00325B44" w:rsidRPr="00325B44" w:rsidRDefault="00325B44" w:rsidP="00BE059E">
      <w:pPr>
        <w:pStyle w:val="Titre3"/>
      </w:pPr>
      <w:bookmarkStart w:id="17" w:name="_Toc199581145"/>
      <w:r>
        <w:t>Fraction continental/global</w:t>
      </w:r>
      <w:bookmarkEnd w:id="17"/>
    </w:p>
    <w:p w14:paraId="08F82F26" w14:textId="77777777" w:rsidR="007852C2" w:rsidRDefault="007852C2" w:rsidP="00BE059E">
      <w:r w:rsidRPr="007852C2">
        <w:t xml:space="preserve">Additionally, the fractions of species living in the continental or global scale are calculated using The IUCN Red List </w:t>
      </w:r>
      <w:r>
        <w:fldChar w:fldCharType="begin"/>
      </w:r>
      <w:r w:rsidRPr="007852C2">
        <w:instrText xml:space="preserve"> ADDIN ZOTERO_ITEM CSL_CITATION {"citationID":"CnAfXrJy","properties":{"formattedCitation":"(IUCN, 2024)","plainCitation":"(IUCN, 2024)","noteIndex":0},"citationItems":[{"id":343,"uris":["http://zotero.org/users/10708243/items/ARL36433"],"itemData":{"id":343,"type":"webpage","note":"Version 2024-1","title":"The IUCN Red List of Threatened Species","URL":"https://www.iucnredlist.org","author":[{"family":"IUCN","given":""}],"accessed":{"date-parts":[["2024",10,1]]},"issued":{"date-parts":[["2024"]]}}}],"schema":"https://github.com/citation-style-language/schema/raw/master/csl-citation.json"} </w:instrText>
      </w:r>
      <w:r>
        <w:fldChar w:fldCharType="separate"/>
      </w:r>
      <w:r w:rsidRPr="007852C2">
        <w:t>(IUCN, 2024)</w:t>
      </w:r>
      <w:r>
        <w:fldChar w:fldCharType="end"/>
      </w:r>
      <w:r w:rsidRPr="007852C2">
        <w:t xml:space="preserve">. A total of 40,279 species is assessed, with freshwater species categorized by country. Each country is then linked to one of the eight regions in our model, based on </w:t>
      </w:r>
      <w:r w:rsidRPr="001E4A17">
        <w:fldChar w:fldCharType="begin"/>
      </w:r>
      <w:r w:rsidRPr="007852C2">
        <w:instrText xml:space="preserve"> ADDIN ZOTERO_ITEM CSL_CITATION {"citationID":"nmxci03z","properties":{"formattedCitation":"(Shaked, 2011)","plainCitation":"(Shaked, 2011)","dontUpdate":true,"noteIndex":0},"citationItems":[{"id":291,"uris":["http://zotero.org/users/10708243/items/U4C98WDM"],"itemData":{"id":291,"type":"thesis","abstract":"Decision-makers seeking to more comprehensively assess and mitigate the environmental health impacts of products and chemicals require a tool to quantify the impacts associated with global emissions, global supply chains, and global food trade. To be effective, this tool needs to include pollutant fate in multiple environmental media, cover multiple exposure pathways accounting for trade of pollutant through food, and account for high exposure intensity areas and transboundary transport, all while minimizing computational needs. This thesis thus develops IMPACTWorld, the adaptation of a multimedia model to a global scale that accounts for trans-boundary transport and urban exposure. I use IMPACTWorld to calculate the regional intakes of ingestion-dominant polychlorinated biphenyl-118 (PCB-118) and inhalation-dominant fine particulate matter (PM2.5). I then analyze spatial differences in the intake fraction (iF), which is the fractional population intake of each regional emission. PM2.5 iFs are dominated by local urban exposure, whereas transboundary transport of the more persistent PCB-118 leads to substantial portions of the pollutant ingested outside the region of emission. This model helps to further bridge the fields of life cycle assessment and risk assessment by calculating impacts from both the emitter and receiver perspectives. I then add a component to IMPACTWorld that accounts for pollutant economic fate through trade of food and feed. By applying the expanded model to two pollutants that bioconcentrate differently in food and have different global emissions patterns, I find that food exports can substantially alter the absolute pollutant regional intake Finally, IMPACTWorld is combined with an economic model of global trade to yield the first spatially-explicit integrated model describing the full causal chain from consumption to impacts. The results for PM2.5 suggest that the majority of the PM-related health impacts induced by consumption in developed countries occur outside their borders, mainly in Asia. In summary, this thesis reveals new insights into impacts associated with environmental pollutant transport, pollutant transport through food, and “virtual” export of pollution through global trade. It thus provides a motivation and foundation for further exploration of the significance and contribution of these impact mechanisms in the assessment of a product or emission.","publisher":"University of Michigan","title":"Multi-Continental Multimedia Model of Pollutant Intake and Application to Impacts of Global Emissions and Globally Traded Goods","author":[{"family":"Shaked","given":"Shanna"}],"issued":{"date-parts":[["2011"]]}}}],"schema":"https://github.com/citation-style-language/schema/raw/master/csl-citation.json"} </w:instrText>
      </w:r>
      <w:r w:rsidRPr="001E4A17">
        <w:fldChar w:fldCharType="separate"/>
      </w:r>
      <w:r w:rsidRPr="007852C2">
        <w:t>Shaked (2011)</w:t>
      </w:r>
      <w:r w:rsidRPr="001E4A17">
        <w:fldChar w:fldCharType="end"/>
      </w:r>
      <w:r w:rsidRPr="007852C2">
        <w:t xml:space="preserve">. Using the approach outlined in Section 2.4.1.a, the number of species inhabiting the region and the number of species living in the rest of the world are determined and the different fractions are calculated. </w:t>
      </w:r>
    </w:p>
    <w:p w14:paraId="124C804B" w14:textId="0046DA3E" w:rsidR="00C03146" w:rsidRDefault="00325B44" w:rsidP="00BE059E">
      <w:pPr>
        <w:pStyle w:val="Titre2"/>
      </w:pPr>
      <w:r>
        <w:t xml:space="preserve"> </w:t>
      </w:r>
      <w:bookmarkStart w:id="18" w:name="_Toc199581146"/>
      <w:r>
        <w:t>Terrestrial ecosystem</w:t>
      </w:r>
      <w:bookmarkEnd w:id="18"/>
    </w:p>
    <w:p w14:paraId="62C15CA1" w14:textId="06341CEC" w:rsidR="00325B44" w:rsidRPr="00325B44" w:rsidRDefault="00325B44" w:rsidP="00BE059E">
      <w:pPr>
        <w:pStyle w:val="Titre3"/>
      </w:pPr>
      <w:bookmarkStart w:id="19" w:name="_Toc199581147"/>
      <w:r w:rsidRPr="00325B44">
        <w:t>Fraction natural soil/agricultural soi</w:t>
      </w:r>
      <w:r>
        <w:t>l</w:t>
      </w:r>
      <w:bookmarkEnd w:id="19"/>
    </w:p>
    <w:p w14:paraId="6AF6988A" w14:textId="0EB17AA9" w:rsidR="00C03146" w:rsidRDefault="00C03146" w:rsidP="00BE059E">
      <w:r w:rsidRPr="00C03146">
        <w:t xml:space="preserve">The fractions of species inhabiting natural and agricultural soils are determined using Indicator Z9 from the Swiss Biodiversity Monitoring (BDM) </w:t>
      </w:r>
      <w:r>
        <w:fldChar w:fldCharType="begin"/>
      </w:r>
      <w:r w:rsidR="00381013">
        <w:instrText xml:space="preserve"> ADDIN ZOTERO_ITEM CSL_CITATION {"citationID":"cCdnH21C","properties":{"formattedCitation":"(Montgomery et al., s.\\uc0\\u160{}d.)","plainCitation":"(Montgomery et al., s. d.)","noteIndex":0},"citationItems":[{"id":170,"uris":["http://zotero.org/users/10708243/items/2S5JBFUG"],"itemData":{"id":170,"type":"article-journal","container-title":"Environmental studies","language":"en","source":"Zotero","title":"Swiss Biodiversity Monitoring BDM","author":[{"family":"Montgomery","given":"Garrett"},{"family":"Hauser","given":"HP"},{"family":"Schmill","given":"Jörg"}]}}],"schema":"https://github.com/citation-style-language/schema/raw/master/csl-citation.json"} </w:instrText>
      </w:r>
      <w:r>
        <w:fldChar w:fldCharType="separate"/>
      </w:r>
      <w:r w:rsidR="00381013" w:rsidRPr="00381013">
        <w:t>(Montgomery et al., s. d.)</w:t>
      </w:r>
      <w:r>
        <w:fldChar w:fldCharType="end"/>
      </w:r>
      <w:r w:rsidRPr="00C03146">
        <w:t xml:space="preserve">. This indicator measures species diversity across different land-use types, allowing direct attribution to either natural or agricultural soils. </w:t>
      </w:r>
    </w:p>
    <w:p w14:paraId="23450B3F" w14:textId="77777777" w:rsidR="00BE059E" w:rsidRDefault="00BE059E" w:rsidP="00BE059E"/>
    <w:p w14:paraId="57512D30" w14:textId="53DC780C" w:rsidR="00325B44" w:rsidRPr="00325B44" w:rsidRDefault="00325B44" w:rsidP="00BE059E">
      <w:pPr>
        <w:pStyle w:val="Titre3"/>
      </w:pPr>
      <w:bookmarkStart w:id="20" w:name="_Toc199581148"/>
      <w:r>
        <w:lastRenderedPageBreak/>
        <w:t>Fraction continental/global</w:t>
      </w:r>
      <w:bookmarkEnd w:id="20"/>
    </w:p>
    <w:p w14:paraId="5B428C3A" w14:textId="338E146F" w:rsidR="00CE7526" w:rsidRDefault="00C03146" w:rsidP="00BE059E">
      <w:r w:rsidRPr="00C03146">
        <w:t xml:space="preserve">The fractions of terrestrial species at both continental and global scales are assessed using data from The IUCN Red List </w:t>
      </w:r>
      <w:r>
        <w:fldChar w:fldCharType="begin"/>
      </w:r>
      <w:r w:rsidRPr="00C03146">
        <w:instrText xml:space="preserve"> ADDIN ZOTERO_ITEM CSL_CITATION {"citationID":"0hKCaAav","properties":{"formattedCitation":"(IUCN, 2024)","plainCitation":"(IUCN, 2024)","noteIndex":0},"citationItems":[{"id":343,"uris":["http://zotero.org/users/10708243/items/ARL36433"],"itemData":{"id":343,"type":"webpage","note":"Version 2024-1","title":"The IUCN Red List of Threatened Species","URL":"https://www.iucnredlist.org","author":[{"family":"IUCN","given":""}],"accessed":{"date-parts":[["2024",10,1]]},"issued":{"date-parts":[["2024"]]}}}],"schema":"https://github.com/citation-style-language/schema/raw/master/csl-citation.json"} </w:instrText>
      </w:r>
      <w:r>
        <w:fldChar w:fldCharType="separate"/>
      </w:r>
      <w:r w:rsidRPr="00C03146">
        <w:t>(IUCN, 2024)</w:t>
      </w:r>
      <w:r>
        <w:fldChar w:fldCharType="end"/>
      </w:r>
      <w:r w:rsidRPr="00C03146">
        <w:t xml:space="preserve">, following the same methodology applied for the aquatic ecosystem (Section </w:t>
      </w:r>
      <w:r>
        <w:fldChar w:fldCharType="begin"/>
      </w:r>
      <w:r w:rsidRPr="00C03146">
        <w:instrText xml:space="preserve"> REF _Ref177982964 \r \h </w:instrText>
      </w:r>
      <w:r>
        <w:fldChar w:fldCharType="separate"/>
      </w:r>
      <w:r w:rsidRPr="00C03146">
        <w:t>2.4</w:t>
      </w:r>
      <w:r>
        <w:fldChar w:fldCharType="end"/>
      </w:r>
      <w:r>
        <w:fldChar w:fldCharType="begin"/>
      </w:r>
      <w:r w:rsidRPr="00C03146">
        <w:instrText xml:space="preserve"> REF _Ref179381359 \r \h </w:instrText>
      </w:r>
      <w:r>
        <w:fldChar w:fldCharType="separate"/>
      </w:r>
      <w:r w:rsidRPr="00C03146">
        <w:t>b</w:t>
      </w:r>
      <w:r>
        <w:fldChar w:fldCharType="end"/>
      </w:r>
      <w:r w:rsidRPr="00C03146">
        <w:t xml:space="preserve">). </w:t>
      </w:r>
      <w:r w:rsidRPr="00325B44">
        <w:t>In total, 115,211 species are evaluated.</w:t>
      </w:r>
    </w:p>
    <w:p w14:paraId="524EDAEA" w14:textId="77777777" w:rsidR="00CA3C50" w:rsidRDefault="00CA3C50" w:rsidP="00BE059E">
      <w:pPr>
        <w:pStyle w:val="Titre1"/>
      </w:pPr>
      <w:bookmarkStart w:id="21" w:name="_Toc199581149"/>
      <w:r>
        <w:t>Details on the case study</w:t>
      </w:r>
      <w:bookmarkEnd w:id="21"/>
    </w:p>
    <w:p w14:paraId="00BB02E3" w14:textId="1C7173D8" w:rsidR="00CA3C50" w:rsidRPr="00CA3C50" w:rsidRDefault="00CA3C50" w:rsidP="00BE059E">
      <w:pPr>
        <w:pStyle w:val="Titre2"/>
      </w:pPr>
      <w:bookmarkStart w:id="22" w:name="_Toc199581150"/>
      <w:r>
        <w:t>I</w:t>
      </w:r>
      <w:r w:rsidRPr="00CA3C50">
        <w:t>nventory</w:t>
      </w:r>
      <w:bookmarkEnd w:id="22"/>
    </w:p>
    <w:p w14:paraId="2DDCA842" w14:textId="77777777" w:rsidR="00CA3C50" w:rsidRDefault="00CA3C50" w:rsidP="00BE059E">
      <w:bookmarkStart w:id="23" w:name="_Hlk198722738"/>
      <w:commentRangeStart w:id="24"/>
      <w:commentRangeStart w:id="25"/>
      <w:r w:rsidRPr="00CA3C50">
        <w:t xml:space="preserve">Plastic particles are emitted as primary microplastics during polymer and material production, transport with TRWP emissions or as </w:t>
      </w:r>
      <w:proofErr w:type="spellStart"/>
      <w:r w:rsidRPr="00CA3C50">
        <w:t>macroplastics</w:t>
      </w:r>
      <w:proofErr w:type="spellEnd"/>
      <w:r w:rsidRPr="00CA3C50">
        <w:t xml:space="preserve"> that fragments into secondary microplastics during use. </w:t>
      </w:r>
      <w:commentRangeEnd w:id="24"/>
      <w:r w:rsidRPr="00CA3C50">
        <w:rPr>
          <w:rStyle w:val="Marquedecommentaire"/>
          <w:sz w:val="24"/>
          <w:szCs w:val="24"/>
        </w:rPr>
        <w:commentReference w:id="24"/>
      </w:r>
      <w:commentRangeEnd w:id="25"/>
      <w:r w:rsidRPr="00CA3C50">
        <w:rPr>
          <w:rStyle w:val="Marquedecommentaire"/>
          <w:sz w:val="24"/>
          <w:szCs w:val="24"/>
        </w:rPr>
        <w:commentReference w:id="25"/>
      </w:r>
      <w:bookmarkEnd w:id="23"/>
      <w:r w:rsidRPr="00CA3C50">
        <w:t>A fragmentation rate of 100% is assumed, based on the estimation that over an infinite time horizon, the film in agricultural soil will eventually break down into microparticles due to UV radiation and microbial activity. The inventory of plastic emissions is sourced from the original study</w:t>
      </w:r>
      <w:r>
        <w:t xml:space="preserve"> </w:t>
      </w:r>
      <w:r>
        <w:fldChar w:fldCharType="begin"/>
      </w:r>
      <w:r>
        <w:instrText xml:space="preserve"> ADDIN ZOTERO_ITEM CSL_CITATION {"citationID":"tFTwL1Oj","properties":{"formattedCitation":"(De Sadeleer &amp; Woodhouse, 2024)","plainCitation":"(De Sadeleer &amp; Woodhouse, 2024)","noteIndex":0},"citationItems":[{"id":155,"uris":["http://zotero.org/users/10708243/items/ZAG5HRDP"],"itemData":{"id":155,"type":"article-journal","abstract":"Abstract\n            \n              Purpose\n              Biodegradable mulch film is considered an environmentally friendly alternative to non-biodegradable-based mulch film for agricultural use. The purpose of this study is to compare the environmental impact of non-biodegradable mulch film to biodegradable mulch films for use in Nordic conditions, including assessing their plastic pollution potential.\n            \n            \n              Methods\n              A life cycle assessment was conducted to calculate the potential environmental impacts of the films, while the plastic pollution potential was assessed with a dynamic material flow analysis, considering degradation over time and fate to various environmental compartments. The plastic pollution potential was based on empirical degradation data in Nordic conditions.\n            \n            \n              Results and discussion\n              The results of the LCA and MFA analyses show that the use of non-biodegradable material in Nordic conditions leads to the lowest environmental impacts and pollution if it is fully collected after use. In fact, biodegradable mulch film leads to higher environmental impacts over its life cycle in most environmental impact categories. However, comparing environmental burdens from non-biodegradable and biodegradable mulch film is difficult due to the lack of data on biodegradable films. The results further highlight that biodegradable films will reach a dynamic equilibrium (a plateau phase) in soils in Nordic conditions between the degradation of old film and the application of new film, if not enough time is given for the films to entirely degrade. Farmers would need to apply biodegradable films with several years of interval, if the films should be entirely degraded.\n            \n            \n              Conclusions\n              This study supports the recommendations that biodegradable plastic has potential when used as mulch film, but these recommendations should be situation-specific, depending on farmers’ ability to handle the mulch film properly. The authors highlight that the LCA results are uncertain due to limited data availability and encourage the biodegradable plastic industry to be more transparent by making their LCIA data available.","container-title":"The International Journal of Life Cycle Assessment","DOI":"10.1007/s11367-023-02253-y","ISSN":"0948-3349, 1614-7502","issue":"2","journalAbbreviation":"Int J Life Cycle Assess","language":"en","page":"275-290","source":"DOI.org (Crossref)","title":"Environmental impact of biodegradable and non-biodegradable agricultural mulch film: A case study for Nordic conditions","title-short":"Environmental impact of biodegradable and non-biodegradable agricultural mulch film","volume":"29","author":[{"family":"De Sadeleer","given":"Irmeline"},{"family":"Woodhouse","given":"Anna"}],"issued":{"date-parts":[["2024",2]]}}}],"schema":"https://github.com/citation-style-language/schema/raw/master/csl-citation.json"} </w:instrText>
      </w:r>
      <w:r>
        <w:fldChar w:fldCharType="separate"/>
      </w:r>
      <w:r w:rsidRPr="00CA3C50">
        <w:t xml:space="preserve">(De </w:t>
      </w:r>
      <w:proofErr w:type="spellStart"/>
      <w:r w:rsidRPr="00CA3C50">
        <w:t>Sadeleer</w:t>
      </w:r>
      <w:proofErr w:type="spellEnd"/>
      <w:r w:rsidRPr="00CA3C50">
        <w:t xml:space="preserve"> &amp; </w:t>
      </w:r>
      <w:proofErr w:type="spellStart"/>
      <w:r w:rsidRPr="00CA3C50">
        <w:t>Woodhouse</w:t>
      </w:r>
      <w:proofErr w:type="spellEnd"/>
      <w:r w:rsidRPr="00CA3C50">
        <w:t>, 2024)</w:t>
      </w:r>
      <w:r>
        <w:fldChar w:fldCharType="end"/>
      </w:r>
      <w:r w:rsidRPr="00CA3C50">
        <w:t xml:space="preserve">. In the first scenario, 90% of </w:t>
      </w:r>
      <w:proofErr w:type="gramStart"/>
      <w:r w:rsidRPr="00CA3C50">
        <w:t>the mulch</w:t>
      </w:r>
      <w:proofErr w:type="gramEnd"/>
      <w:r w:rsidRPr="00CA3C50">
        <w:t xml:space="preserve"> film is removed from the soil, while 10% is assumed to be emitted to the environment. In the other two scenarios, 100% of the film is left on the field after use and is considered emitted. Emissions during the use phase are limited to the soil compartment. Given that the particle size is unspecified, the thickness of the film is used as a reference (20 and 15 μm for LDPE and starch-blend respectively)</w:t>
      </w:r>
      <w:r>
        <w:t xml:space="preserve">. </w:t>
      </w:r>
    </w:p>
    <w:p w14:paraId="5F670212" w14:textId="0D0FAFEC" w:rsidR="00CA3C50" w:rsidRPr="00CA3C50" w:rsidRDefault="00CA3C50" w:rsidP="00BE059E">
      <w:pPr>
        <w:pStyle w:val="Titre2"/>
      </w:pPr>
      <w:bookmarkStart w:id="26" w:name="_Toc199581151"/>
      <w:r>
        <w:t>CFs used</w:t>
      </w:r>
      <w:bookmarkEnd w:id="26"/>
    </w:p>
    <w:p w14:paraId="57E9FEBC" w14:textId="5AA29ACC" w:rsidR="00CA3C50" w:rsidRDefault="00CA3C50" w:rsidP="00BE059E">
      <w:r w:rsidRPr="00CA3C50">
        <w:t xml:space="preserve">CFs are derived specifically for these dimensions. </w:t>
      </w:r>
      <w:bookmarkStart w:id="27" w:name="_Hlk198723116"/>
      <w:r w:rsidRPr="00CA3C50">
        <w:t xml:space="preserve">Our fate model calculates CFs for spherical particles; however, not all emissions correspond to this shape. For instance, the fragmentation of mulch films is associated with film </w:t>
      </w:r>
      <w:proofErr w:type="gramStart"/>
      <w:r w:rsidRPr="00CA3C50">
        <w:t>fragment</w:t>
      </w:r>
      <w:proofErr w:type="gramEnd"/>
      <w:r w:rsidRPr="00CA3C50">
        <w:t xml:space="preserve"> particles. In the absence of alternative CFs for terrestrial emissions based on a fate model that accounts for particle-specific physical characteristics, using our CFs as a proxy was the most suitable option available. </w:t>
      </w:r>
      <w:bookmarkEnd w:id="27"/>
      <w:r w:rsidRPr="00CA3C50">
        <w:t>CFs following the approach considering the species density over a surface in PDF·m</w:t>
      </w:r>
      <w:r w:rsidRPr="00CA3C50">
        <w:rPr>
          <w:vertAlign w:val="superscript"/>
        </w:rPr>
        <w:t>2</w:t>
      </w:r>
      <w:r w:rsidRPr="00CA3C50">
        <w:t xml:space="preserve">·year/kg are used as they are directly compatible with IMPACT World+ </w:t>
      </w:r>
      <w:r w:rsidRPr="00CA3C50">
        <w:fldChar w:fldCharType="begin"/>
      </w:r>
      <w:r w:rsidRPr="00CA3C50">
        <w:instrText xml:space="preserve"> ADDIN ZOTERO_ITEM CSL_CITATION {"citationID":"mg87r5bJ","properties":{"formattedCitation":"(Bulle et al., 2019)","plainCitation":"(Bulle et al., 2019)","noteIndex":0},"citationItems":[{"id":357,"uris":["http://zotero.org/users/10708243/items/MF34Z6E6"],"itemData":{"id":357,"type":"article-journal","container-title":"The International Journal of Life Cycle Assessment","DOI":"10.1007/s11367-019-01583-0","ISSN":"0948-3349, 1614-7502","issue":"9","journalAbbreviation":"Int J Life Cycle Assess","language":"en","page":"1653-1674","source":"DOI.org (Crossref)","title":"IMPACT World+: a globally regionalized life cycle impact assessment method","title-short":"IMPACT World+","volume":"24","author":[{"family":"Bulle","given":"Cécile"},{"family":"Margni","given":"Manuele"},{"family":"Patouillard","given":"Laure"},{"family":"Boulay","given":"Anne-Marie"},{"family":"Bourgault","given":"Guillaume"},{"family":"De Bruille","given":"Vincent"},{"family":"Cao","given":"Viêt"},{"family":"Hauschild","given":"Michael"},{"family":"Henderson","given":"Andrew"},{"family":"Humbert","given":"Sebastien"},{"family":"Kashef-Haghighi","given":"Sormeh"},{"family":"Kounina","given":"Anna"},{"family":"Laurent","given":"Alexis"},{"family":"Levasseur","given":"Annie"},{"family":"Liard","given":"Gladys"},{"family":"Rosenbaum","given":"Ralph K."},{"family":"Roy","given":"Pierre-Olivier"},{"family":"Shaked","given":"Shanna"},{"family":"Fantke","given":"Peter"},{"family":"Jolliet","given":"Olivier"}],"issued":{"date-parts":[["2019",9]]}}}],"schema":"https://github.com/citation-style-language/schema/raw/master/csl-citation.json"} </w:instrText>
      </w:r>
      <w:r w:rsidRPr="00CA3C50">
        <w:fldChar w:fldCharType="separate"/>
      </w:r>
      <w:r w:rsidRPr="00CA3C50">
        <w:t>(Bulle et al., 2019)</w:t>
      </w:r>
      <w:r w:rsidRPr="00CA3C50">
        <w:fldChar w:fldCharType="end"/>
      </w:r>
      <w:r w:rsidRPr="00CA3C50">
        <w:t xml:space="preserve">, the impact assessment method used. </w:t>
      </w:r>
    </w:p>
    <w:p w14:paraId="06762BB5" w14:textId="7BE694DE" w:rsidR="00CA3C50" w:rsidRDefault="00CA3C50" w:rsidP="00BE059E">
      <w:r w:rsidRPr="00CA3C50">
        <w:t>In scenario 1, the emissions from production and use are multiplied by the CF for 20 μm LDPE particles emitted to continental agricultural soil in Northern regions. For scenarios 2 and 3, the same approach is followed, using the CF for 15 μm starch blend particles in the same compartment. For emissions during transport, the CF for 100 μm TRWP particles emitted to freshwater and natural soil in Northern regions is applied across all three scenarios.</w:t>
      </w:r>
    </w:p>
    <w:p w14:paraId="62E6C868" w14:textId="44A813D5" w:rsidR="00CA3C50" w:rsidRPr="00CA3C50" w:rsidRDefault="00CA3C50" w:rsidP="00BE059E">
      <w:pPr>
        <w:pStyle w:val="Titre2"/>
      </w:pPr>
      <w:bookmarkStart w:id="28" w:name="_Toc199581152"/>
      <w:r>
        <w:t>Method used</w:t>
      </w:r>
      <w:bookmarkEnd w:id="28"/>
    </w:p>
    <w:p w14:paraId="7D63EA6B" w14:textId="5927EA62" w:rsidR="00CA3C50" w:rsidRPr="00CA3C50" w:rsidRDefault="00CA3C50" w:rsidP="00BE059E">
      <w:r w:rsidRPr="00CA3C50">
        <w:t xml:space="preserve">The LCA results are computed using </w:t>
      </w:r>
      <w:proofErr w:type="spellStart"/>
      <w:r w:rsidRPr="00CA3C50">
        <w:t>OpenLCA</w:t>
      </w:r>
      <w:proofErr w:type="spellEnd"/>
      <w:r w:rsidRPr="00CA3C50">
        <w:t xml:space="preserve"> v.2.1 with </w:t>
      </w:r>
      <w:proofErr w:type="spellStart"/>
      <w:r w:rsidRPr="00CA3C50">
        <w:t>ecoinvent</w:t>
      </w:r>
      <w:proofErr w:type="spellEnd"/>
      <w:r w:rsidRPr="00CA3C50">
        <w:t xml:space="preserve"> v.3.10 </w:t>
      </w:r>
      <w:r w:rsidRPr="00CA3C50">
        <w:fldChar w:fldCharType="begin"/>
      </w:r>
      <w:r w:rsidRPr="00CA3C50">
        <w:instrText xml:space="preserve"> ADDIN ZOTERO_ITEM CSL_CITATION {"citationID":"jsNh8HZN","properties":{"formattedCitation":"(Wernet et al., 2016)","plainCitation":"(Wernet et al., 2016)","noteIndex":0},"citationItems":[{"id":354,"uris":["http://zotero.org/users/10708243/items/4EVTHXKG"],"itemData":{"id":354,"type":"article-journal","abstract":"Purpose Good background data are an important requirement in LCA. Practitioners generally make use of LCI databases for such data, and the ecoinvent database is the largest transparent unit-process LCI database worldwide. Since its first release in 2003, it has been continuously updated, and version 3 was published in 2013. The release of version 3 introduced several significant methodological and technological improvements, besides a large number of new and updated datasets. The aim was to expand the content of the database, set the foundation for a truly global database, support regionalized LCIA, offer multiple system models, allow for easier integration of data from different regions, and reduce maintenance efforts. This article describes the methodological developments.","container-title":"The International Journal of Life Cycle Assessment","DOI":"10.1007/s11367-016-1087-8","ISSN":"0948-3349, 1614-7502","issue":"9","journalAbbreviation":"Int J Life Cycle Assess","language":"en","page":"1218-1230","source":"DOI.org (Crossref)","title":"The ecoinvent database version 3 (part I): overview and methodology","title-short":"The ecoinvent database version 3 (part I)","volume":"21","author":[{"family":"Wernet","given":"Gregor"},{"family":"Bauer","given":"Christian"},{"family":"Steubing","given":"Bernhard"},{"family":"Reinhard","given":"Jürgen"},{"family":"Moreno-Ruiz","given":"Emilia"},{"family":"Weidema","given":"Bo"}],"issued":{"date-parts":[["2016",9]]}}}],"schema":"https://github.com/citation-style-language/schema/raw/master/csl-citation.json"} </w:instrText>
      </w:r>
      <w:r w:rsidRPr="00CA3C50">
        <w:fldChar w:fldCharType="separate"/>
      </w:r>
      <w:r w:rsidRPr="00CA3C50">
        <w:t>(Wernet et al., 2016)</w:t>
      </w:r>
      <w:r w:rsidRPr="00CA3C50">
        <w:fldChar w:fldCharType="end"/>
      </w:r>
      <w:r w:rsidRPr="00CA3C50">
        <w:t xml:space="preserve"> and </w:t>
      </w:r>
      <w:proofErr w:type="spellStart"/>
      <w:r w:rsidRPr="00CA3C50">
        <w:t>Agribalyse</w:t>
      </w:r>
      <w:proofErr w:type="spellEnd"/>
      <w:r w:rsidRPr="00CA3C50">
        <w:t xml:space="preserve"> 3.1.1 </w:t>
      </w:r>
      <w:r w:rsidRPr="00CA3C50">
        <w:fldChar w:fldCharType="begin"/>
      </w:r>
      <w:r w:rsidRPr="00CA3C50">
        <w:instrText xml:space="preserve"> ADDIN ZOTERO_ITEM CSL_CITATION {"citationID":"dq0HpYrX","properties":{"formattedCitation":"(Colomb et al., 2015)","plainCitation":"(Colomb et al., 2015)","noteIndex":0},"citationItems":[{"id":355,"uris":["http://zotero.org/users/10708243/items/W76BUAS2"],"itemData":{"id":355,"type":"article-journal","container-title":"OCL","DOI":"10.1051/ocl/20140047","ISSN":"2272-6977, 2257-6614","issue":"1","journalAbbreviation":"OCL","page":"D104","source":"DOI.org (Crossref)","title":"AGRIBALYSE &lt;sup&gt;®&lt;/sup&gt; , the French LCI Database for agricultural products: high quality data for producers and environmental labelling","title-short":"AGRIBALYSE &lt;sup&gt;®&lt;/sup&gt; , the French LCI Database for agricultural products","volume":"22","author":[{"family":"Colomb","given":"Vincent"},{"family":"Ait Amar","given":"Samy"},{"family":"Mens","given":"Claudine Basset"},{"family":"Gac","given":"Armelle"},{"family":"Gaillard","given":"Gérard"},{"family":"Koch","given":"Peter"},{"family":"Mousset","given":"Jerome"},{"family":"Salou","given":"Thibault"},{"family":"Tailleur","given":"Aurélie"},{"family":"Van Der Werf","given":"Hays M.G."}],"issued":{"date-parts":[["2015",1]]}}}],"schema":"https://github.com/citation-style-language/schema/raw/master/csl-citation.json"} </w:instrText>
      </w:r>
      <w:r w:rsidRPr="00CA3C50">
        <w:fldChar w:fldCharType="separate"/>
      </w:r>
      <w:r w:rsidRPr="00CA3C50">
        <w:t>(Colomb et al., 2015)</w:t>
      </w:r>
      <w:r w:rsidRPr="00CA3C50">
        <w:fldChar w:fldCharType="end"/>
      </w:r>
      <w:r w:rsidRPr="00CA3C50">
        <w:t xml:space="preserve"> for the Life Cycle Inventory (LCI). The version of IMPACT World+ used is 2.0.1 and all impact categories affecting ecosystem quality are evaluated. Case </w:t>
      </w:r>
      <w:proofErr w:type="spellStart"/>
      <w:r w:rsidRPr="00CA3C50">
        <w:t>study</w:t>
      </w:r>
      <w:proofErr w:type="spellEnd"/>
      <w:r w:rsidRPr="00CA3C50">
        <w:t xml:space="preserve"> </w:t>
      </w:r>
      <w:proofErr w:type="spellStart"/>
      <w:r w:rsidRPr="00CA3C50">
        <w:t>calculations</w:t>
      </w:r>
      <w:proofErr w:type="spellEnd"/>
      <w:r w:rsidRPr="00CA3C50">
        <w:t xml:space="preserve"> are </w:t>
      </w:r>
      <w:proofErr w:type="spellStart"/>
      <w:r w:rsidRPr="00CA3C50">
        <w:t>available</w:t>
      </w:r>
      <w:proofErr w:type="spellEnd"/>
      <w:r w:rsidRPr="00CA3C50">
        <w:t xml:space="preserve"> in SI 5. </w:t>
      </w:r>
    </w:p>
    <w:p w14:paraId="23A79737" w14:textId="704E6FEA" w:rsidR="00F6147A" w:rsidRDefault="00F6147A" w:rsidP="00BE059E">
      <w:pPr>
        <w:pStyle w:val="Titre1"/>
      </w:pPr>
      <w:bookmarkStart w:id="29" w:name="_Toc199581153"/>
      <w:r w:rsidRPr="00F6147A">
        <w:lastRenderedPageBreak/>
        <w:t xml:space="preserve">Additional figure: </w:t>
      </w:r>
      <w:proofErr w:type="spellStart"/>
      <w:r w:rsidRPr="00F6147A">
        <w:t>CF</w:t>
      </w:r>
      <w:r w:rsidRPr="00F6147A">
        <w:rPr>
          <w:vertAlign w:val="subscript"/>
        </w:rPr>
        <w:t>comp</w:t>
      </w:r>
      <w:proofErr w:type="spellEnd"/>
      <w:r w:rsidRPr="00F6147A">
        <w:t xml:space="preserve"> matrix</w:t>
      </w:r>
      <w:bookmarkEnd w:id="29"/>
    </w:p>
    <w:p w14:paraId="53BC4DC1" w14:textId="77777777" w:rsidR="00F6147A" w:rsidRDefault="00F6147A" w:rsidP="00BE059E"/>
    <w:p w14:paraId="7C169EDE" w14:textId="77777777" w:rsidR="00F6147A" w:rsidRDefault="00F6147A" w:rsidP="00BE059E">
      <w:r>
        <w:rPr>
          <w:noProof/>
        </w:rPr>
        <w:drawing>
          <wp:inline distT="0" distB="0" distL="0" distR="0" wp14:anchorId="1A8FF0E7" wp14:editId="5DDA981B">
            <wp:extent cx="5753100" cy="1022350"/>
            <wp:effectExtent l="0" t="0" r="0" b="6350"/>
            <wp:docPr id="34455970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53100" cy="1022350"/>
                    </a:xfrm>
                    <a:prstGeom prst="rect">
                      <a:avLst/>
                    </a:prstGeom>
                    <a:noFill/>
                    <a:ln>
                      <a:noFill/>
                    </a:ln>
                  </pic:spPr>
                </pic:pic>
              </a:graphicData>
            </a:graphic>
          </wp:inline>
        </w:drawing>
      </w:r>
    </w:p>
    <w:p w14:paraId="61CF1983" w14:textId="1F063BD4" w:rsidR="00F6147A" w:rsidRPr="00F6147A" w:rsidRDefault="00F6147A" w:rsidP="00BE059E">
      <w:pPr>
        <w:pStyle w:val="Lgende"/>
      </w:pPr>
      <w:r>
        <w:t xml:space="preserve">Figure </w:t>
      </w:r>
      <w:r>
        <w:fldChar w:fldCharType="begin"/>
      </w:r>
      <w:r>
        <w:instrText xml:space="preserve"> SEQ Figure \* ARABIC </w:instrText>
      </w:r>
      <w:r>
        <w:fldChar w:fldCharType="separate"/>
      </w:r>
      <w:r>
        <w:rPr>
          <w:noProof/>
        </w:rPr>
        <w:t>1</w:t>
      </w:r>
      <w:r>
        <w:fldChar w:fldCharType="end"/>
      </w:r>
      <w:r>
        <w:t xml:space="preserve"> </w:t>
      </w:r>
      <w:r w:rsidRPr="001E4A17">
        <w:t xml:space="preserve">Part of the </w:t>
      </w:r>
      <w:r>
        <w:t>Characterization</w:t>
      </w:r>
      <w:r w:rsidRPr="001E4A17">
        <w:t xml:space="preserve"> Factor </w:t>
      </w:r>
      <w:r>
        <w:t xml:space="preserve">compartment </w:t>
      </w:r>
      <w:r w:rsidRPr="001E4A17">
        <w:t>matrix for the continental scale C.</w:t>
      </w:r>
      <w:r>
        <w:t xml:space="preserve"> </w:t>
      </w:r>
    </w:p>
    <w:p w14:paraId="16E0625E" w14:textId="77777777" w:rsidR="00C97735" w:rsidRDefault="00C97735" w:rsidP="00BE059E"/>
    <w:p w14:paraId="2B22B874" w14:textId="69D7E61E" w:rsidR="00C97735" w:rsidRDefault="00C97735" w:rsidP="00BE059E">
      <w:pPr>
        <w:pStyle w:val="Titre1"/>
      </w:pPr>
      <w:bookmarkStart w:id="30" w:name="_Toc199581154"/>
      <w:r>
        <w:t>Additional figure</w:t>
      </w:r>
      <w:r w:rsidR="00F6147A">
        <w:t>:</w:t>
      </w:r>
      <w:r>
        <w:t xml:space="preserve"> CFs </w:t>
      </w:r>
      <w:r w:rsidR="00F6147A">
        <w:t xml:space="preserve">by region </w:t>
      </w:r>
      <w:r>
        <w:t>in PDF</w:t>
      </w:r>
      <w:r w:rsidRPr="00C97735">
        <w:t>·</w:t>
      </w:r>
      <w:r>
        <w:t>m</w:t>
      </w:r>
      <w:r>
        <w:rPr>
          <w:vertAlign w:val="superscript"/>
        </w:rPr>
        <w:t>2</w:t>
      </w:r>
      <w:r w:rsidRPr="00C97735">
        <w:t>·</w:t>
      </w:r>
      <w:r>
        <w:t>year/kg</w:t>
      </w:r>
      <w:bookmarkEnd w:id="30"/>
    </w:p>
    <w:p w14:paraId="2A674781" w14:textId="77777777" w:rsidR="00C97735" w:rsidRDefault="00C97735" w:rsidP="00BE059E"/>
    <w:p w14:paraId="5971CA19" w14:textId="7733DCD7" w:rsidR="00C97735" w:rsidRDefault="000C301B" w:rsidP="00BE059E">
      <w:r>
        <w:rPr>
          <w:noProof/>
        </w:rPr>
        <w:drawing>
          <wp:inline distT="0" distB="0" distL="0" distR="0" wp14:anchorId="6DC21F18" wp14:editId="1BAC2117">
            <wp:extent cx="5756910" cy="3999230"/>
            <wp:effectExtent l="0" t="0" r="0" b="1270"/>
            <wp:docPr id="155017556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56910" cy="3999230"/>
                    </a:xfrm>
                    <a:prstGeom prst="rect">
                      <a:avLst/>
                    </a:prstGeom>
                    <a:noFill/>
                    <a:ln>
                      <a:noFill/>
                    </a:ln>
                  </pic:spPr>
                </pic:pic>
              </a:graphicData>
            </a:graphic>
          </wp:inline>
        </w:drawing>
      </w:r>
    </w:p>
    <w:p w14:paraId="3E6AF45E" w14:textId="49FFAD85" w:rsidR="00C97735" w:rsidRPr="00C97735" w:rsidRDefault="00C97735" w:rsidP="00BE059E">
      <w:pPr>
        <w:pStyle w:val="Lgende"/>
        <w:jc w:val="both"/>
      </w:pPr>
      <w:r w:rsidRPr="00C97735">
        <w:rPr>
          <w:b/>
          <w:bCs/>
        </w:rPr>
        <w:t xml:space="preserve">Figure </w:t>
      </w:r>
      <w:r w:rsidRPr="00C97735">
        <w:rPr>
          <w:b/>
          <w:bCs/>
        </w:rPr>
        <w:fldChar w:fldCharType="begin"/>
      </w:r>
      <w:r w:rsidRPr="00C97735">
        <w:rPr>
          <w:b/>
          <w:bCs/>
        </w:rPr>
        <w:instrText xml:space="preserve"> SEQ Figure \* ARABIC </w:instrText>
      </w:r>
      <w:r w:rsidRPr="00C97735">
        <w:rPr>
          <w:b/>
          <w:bCs/>
        </w:rPr>
        <w:fldChar w:fldCharType="separate"/>
      </w:r>
      <w:r w:rsidR="00F6147A">
        <w:rPr>
          <w:b/>
          <w:bCs/>
          <w:noProof/>
        </w:rPr>
        <w:t>2</w:t>
      </w:r>
      <w:r w:rsidRPr="00C97735">
        <w:rPr>
          <w:b/>
          <w:bCs/>
        </w:rPr>
        <w:fldChar w:fldCharType="end"/>
      </w:r>
      <w:r>
        <w:t xml:space="preserve"> </w:t>
      </w:r>
      <w:r w:rsidRPr="00C97735">
        <w:t>Distribution of the endpoint characterization factors (CFs) calculated in PDF</w:t>
      </w:r>
      <w:r w:rsidRPr="00C97735">
        <w:rPr>
          <w:lang w:val="fr-FR"/>
        </w:rPr>
        <w:t>⸱</w:t>
      </w:r>
      <w:r w:rsidRPr="00C97735">
        <w:t>m</w:t>
      </w:r>
      <w:r w:rsidRPr="00C97735">
        <w:rPr>
          <w:vertAlign w:val="superscript"/>
        </w:rPr>
        <w:t>2</w:t>
      </w:r>
      <w:r w:rsidRPr="00C97735">
        <w:rPr>
          <w:lang w:val="fr-FR"/>
        </w:rPr>
        <w:t>⸱</w:t>
      </w:r>
      <w:r w:rsidRPr="00C97735">
        <w:t>year/</w:t>
      </w:r>
      <w:proofErr w:type="spellStart"/>
      <w:r w:rsidRPr="00C97735">
        <w:t>kg</w:t>
      </w:r>
      <w:r w:rsidRPr="00C97735">
        <w:rPr>
          <w:vertAlign w:val="subscript"/>
        </w:rPr>
        <w:t>emitted</w:t>
      </w:r>
      <w:proofErr w:type="spellEnd"/>
      <w:r w:rsidRPr="00C97735">
        <w:t xml:space="preserve"> with added ecosystems for all polymers and sizes for the different regions and emission compartments at the continental scale with a: air, </w:t>
      </w:r>
      <w:proofErr w:type="spellStart"/>
      <w:r w:rsidRPr="00C97735">
        <w:t>lw</w:t>
      </w:r>
      <w:proofErr w:type="spellEnd"/>
      <w:r w:rsidRPr="00C97735">
        <w:t xml:space="preserve">: lake water, </w:t>
      </w:r>
      <w:proofErr w:type="spellStart"/>
      <w:r w:rsidR="00366DF5">
        <w:t>r</w:t>
      </w:r>
      <w:r w:rsidRPr="00C97735">
        <w:t>w</w:t>
      </w:r>
      <w:proofErr w:type="spellEnd"/>
      <w:r w:rsidRPr="00C97735">
        <w:t xml:space="preserve">: </w:t>
      </w:r>
      <w:r w:rsidR="00366DF5">
        <w:t>river water</w:t>
      </w:r>
      <w:r w:rsidRPr="00C97735">
        <w:t xml:space="preserve">, </w:t>
      </w:r>
      <w:proofErr w:type="spellStart"/>
      <w:r w:rsidRPr="00C97735">
        <w:t>sw</w:t>
      </w:r>
      <w:proofErr w:type="spellEnd"/>
      <w:r w:rsidRPr="00C97735">
        <w:t>: sea water, ns: natural soil, as: agricultural soil. The length of the box represents the difference between the 75</w:t>
      </w:r>
      <w:r w:rsidRPr="00C97735">
        <w:rPr>
          <w:vertAlign w:val="superscript"/>
        </w:rPr>
        <w:t>th</w:t>
      </w:r>
      <w:r w:rsidRPr="00C97735">
        <w:t xml:space="preserve"> and the 25</w:t>
      </w:r>
      <w:r w:rsidRPr="00C97735">
        <w:rPr>
          <w:vertAlign w:val="superscript"/>
        </w:rPr>
        <w:t>th</w:t>
      </w:r>
      <w:r w:rsidRPr="00C97735">
        <w:t xml:space="preserve"> percentiles, the bar in the middle is the median and the upper and lower whiskers are the minimum and maximum data values, excluding outliers.</w:t>
      </w:r>
    </w:p>
    <w:p w14:paraId="5CFCD7FB" w14:textId="77777777" w:rsidR="00C03146" w:rsidRPr="007852C2" w:rsidRDefault="00C03146" w:rsidP="00BE059E"/>
    <w:p w14:paraId="073D5021" w14:textId="3EA541A5" w:rsidR="007852C2" w:rsidRDefault="00381013" w:rsidP="00BE059E">
      <w:pPr>
        <w:pStyle w:val="Titre1"/>
      </w:pPr>
      <w:bookmarkStart w:id="31" w:name="_Toc199581155"/>
      <w:r>
        <w:lastRenderedPageBreak/>
        <w:t>References</w:t>
      </w:r>
      <w:bookmarkEnd w:id="31"/>
      <w:r>
        <w:t xml:space="preserve"> </w:t>
      </w:r>
    </w:p>
    <w:p w14:paraId="3904957D" w14:textId="77777777" w:rsidR="00381013" w:rsidRDefault="00381013" w:rsidP="00BE059E"/>
    <w:p w14:paraId="76ECCFAC" w14:textId="77777777" w:rsidR="00CA3C50" w:rsidRPr="00CA3C50" w:rsidRDefault="00381013" w:rsidP="00BE059E">
      <w:pPr>
        <w:pStyle w:val="Bibliographie"/>
      </w:pPr>
      <w:r w:rsidRPr="006B7FAF">
        <w:rPr>
          <w:rFonts w:asciiTheme="minorHAnsi" w:hAnsiTheme="minorHAnsi" w:cstheme="minorBidi"/>
        </w:rPr>
        <w:fldChar w:fldCharType="begin"/>
      </w:r>
      <w:r w:rsidR="007F6276">
        <w:instrText xml:space="preserve"> ADDIN ZOTERO_BIBL {"uncited":[],"omitted":[],"custom":[]} CSL_BIBLIOGRAPHY </w:instrText>
      </w:r>
      <w:r w:rsidRPr="006B7FAF">
        <w:rPr>
          <w:rFonts w:asciiTheme="minorHAnsi" w:hAnsiTheme="minorHAnsi" w:cstheme="minorBidi"/>
        </w:rPr>
        <w:fldChar w:fldCharType="separate"/>
      </w:r>
      <w:proofErr w:type="spellStart"/>
      <w:r w:rsidR="00CA3C50" w:rsidRPr="00CA3C50">
        <w:t>Andrady</w:t>
      </w:r>
      <w:proofErr w:type="spellEnd"/>
      <w:r w:rsidR="00CA3C50" w:rsidRPr="00CA3C50">
        <w:t xml:space="preserve">, A. L. (2022). Weathering and fragmentation of plastic debris in the ocean environment. </w:t>
      </w:r>
      <w:r w:rsidR="00CA3C50" w:rsidRPr="00CA3C50">
        <w:rPr>
          <w:i/>
          <w:iCs/>
        </w:rPr>
        <w:t>Marine Pollution Bulletin</w:t>
      </w:r>
      <w:r w:rsidR="00CA3C50" w:rsidRPr="00CA3C50">
        <w:t xml:space="preserve">, </w:t>
      </w:r>
      <w:r w:rsidR="00CA3C50" w:rsidRPr="00CA3C50">
        <w:rPr>
          <w:i/>
          <w:iCs/>
        </w:rPr>
        <w:t>180</w:t>
      </w:r>
      <w:r w:rsidR="00CA3C50" w:rsidRPr="00CA3C50">
        <w:t>, 113761. https://doi.org/10.1016/j.marpolbul.2022.113761</w:t>
      </w:r>
    </w:p>
    <w:p w14:paraId="75E80094" w14:textId="77777777" w:rsidR="00CA3C50" w:rsidRPr="00CA3C50" w:rsidRDefault="00CA3C50" w:rsidP="00BE059E">
      <w:pPr>
        <w:pStyle w:val="Bibliographie"/>
      </w:pPr>
      <w:r w:rsidRPr="00CA3C50">
        <w:t xml:space="preserve">Bulle, C., </w:t>
      </w:r>
      <w:proofErr w:type="spellStart"/>
      <w:r w:rsidRPr="00CA3C50">
        <w:t>Margni</w:t>
      </w:r>
      <w:proofErr w:type="spellEnd"/>
      <w:r w:rsidRPr="00CA3C50">
        <w:t xml:space="preserve">, M., </w:t>
      </w:r>
      <w:proofErr w:type="spellStart"/>
      <w:r w:rsidRPr="00CA3C50">
        <w:t>Patouillard</w:t>
      </w:r>
      <w:proofErr w:type="spellEnd"/>
      <w:r w:rsidRPr="00CA3C50">
        <w:t xml:space="preserve">, L., Boulay, A.-M., Bourgault, G., De </w:t>
      </w:r>
      <w:proofErr w:type="spellStart"/>
      <w:r w:rsidRPr="00CA3C50">
        <w:t>Bruille</w:t>
      </w:r>
      <w:proofErr w:type="spellEnd"/>
      <w:r w:rsidRPr="00CA3C50">
        <w:t xml:space="preserve">, V., Cao, V., Hauschild, M., Henderson, A., Humbert, S., Kashef-Haghighi, S., </w:t>
      </w:r>
      <w:proofErr w:type="spellStart"/>
      <w:r w:rsidRPr="00CA3C50">
        <w:t>Kounina</w:t>
      </w:r>
      <w:proofErr w:type="spellEnd"/>
      <w:r w:rsidRPr="00CA3C50">
        <w:t xml:space="preserve">, A., Laurent, A., Levasseur, A., Liard, G., Rosenbaum, R. K., Roy, P.-O., Shaked, S., </w:t>
      </w:r>
      <w:proofErr w:type="spellStart"/>
      <w:r w:rsidRPr="00CA3C50">
        <w:t>Fantke</w:t>
      </w:r>
      <w:proofErr w:type="spellEnd"/>
      <w:r w:rsidRPr="00CA3C50">
        <w:t>, P., &amp; Jolliet, O. (2019). IMPACT World</w:t>
      </w:r>
      <w:proofErr w:type="gramStart"/>
      <w:r w:rsidRPr="00CA3C50">
        <w:t>+ :</w:t>
      </w:r>
      <w:proofErr w:type="gramEnd"/>
      <w:r w:rsidRPr="00CA3C50">
        <w:t xml:space="preserve"> A globally regionalized life cycle impact assessment method. </w:t>
      </w:r>
      <w:r w:rsidRPr="00CA3C50">
        <w:rPr>
          <w:i/>
          <w:iCs/>
        </w:rPr>
        <w:t>The International Journal of Life Cycle Assessment</w:t>
      </w:r>
      <w:r w:rsidRPr="00CA3C50">
        <w:t xml:space="preserve">, </w:t>
      </w:r>
      <w:r w:rsidRPr="00CA3C50">
        <w:rPr>
          <w:i/>
          <w:iCs/>
        </w:rPr>
        <w:t>24</w:t>
      </w:r>
      <w:r w:rsidRPr="00CA3C50">
        <w:t>(9), 1653‑1674. https://doi.org/10.1007/s11367-019-01583-0</w:t>
      </w:r>
    </w:p>
    <w:p w14:paraId="606B1AC9" w14:textId="77777777" w:rsidR="00CA3C50" w:rsidRPr="00CA3C50" w:rsidRDefault="00CA3C50" w:rsidP="00BE059E">
      <w:pPr>
        <w:pStyle w:val="Bibliographie"/>
      </w:pPr>
      <w:r w:rsidRPr="00CA3C50">
        <w:t xml:space="preserve">Chamas, A., Moon, H., Zheng, J., Qiu, Y., Tabassum, T., Jang, J. H., Abu-Omar, M., Scott, S. L., &amp; Suh, S. (2020). Degradation Rates of Plastics in the Environment. </w:t>
      </w:r>
      <w:r w:rsidRPr="00CA3C50">
        <w:rPr>
          <w:i/>
          <w:iCs/>
        </w:rPr>
        <w:t>ACS Sustainable Chemistry &amp; Engineering</w:t>
      </w:r>
      <w:r w:rsidRPr="00CA3C50">
        <w:t xml:space="preserve">, </w:t>
      </w:r>
      <w:r w:rsidRPr="00CA3C50">
        <w:rPr>
          <w:i/>
          <w:iCs/>
        </w:rPr>
        <w:t>8</w:t>
      </w:r>
      <w:r w:rsidRPr="00CA3C50">
        <w:t>(9), 3494‑3511. https://doi.org/10.1021/acssuschemeng.9b06635</w:t>
      </w:r>
    </w:p>
    <w:p w14:paraId="07EF75F4" w14:textId="77777777" w:rsidR="00CA3C50" w:rsidRPr="00CA3C50" w:rsidRDefault="00CA3C50" w:rsidP="00BE059E">
      <w:pPr>
        <w:pStyle w:val="Bibliographie"/>
      </w:pPr>
      <w:proofErr w:type="spellStart"/>
      <w:r w:rsidRPr="00CA3C50">
        <w:t>Chubarenko</w:t>
      </w:r>
      <w:proofErr w:type="spellEnd"/>
      <w:r w:rsidRPr="00CA3C50">
        <w:t xml:space="preserve">, I., </w:t>
      </w:r>
      <w:proofErr w:type="spellStart"/>
      <w:r w:rsidRPr="00CA3C50">
        <w:t>Bagaev</w:t>
      </w:r>
      <w:proofErr w:type="spellEnd"/>
      <w:r w:rsidRPr="00CA3C50">
        <w:t xml:space="preserve">, A., </w:t>
      </w:r>
      <w:proofErr w:type="spellStart"/>
      <w:r w:rsidRPr="00CA3C50">
        <w:t>Zobkov</w:t>
      </w:r>
      <w:proofErr w:type="spellEnd"/>
      <w:r w:rsidRPr="00CA3C50">
        <w:t xml:space="preserve">, M., &amp; </w:t>
      </w:r>
      <w:proofErr w:type="spellStart"/>
      <w:r w:rsidRPr="00CA3C50">
        <w:t>Esiukova</w:t>
      </w:r>
      <w:proofErr w:type="spellEnd"/>
      <w:r w:rsidRPr="00CA3C50">
        <w:t xml:space="preserve">, E. (2016). On some physical and dynamical properties of microplastic particles in marine environment. </w:t>
      </w:r>
      <w:r w:rsidRPr="00CA3C50">
        <w:rPr>
          <w:i/>
          <w:iCs/>
        </w:rPr>
        <w:t>Marine Pollution Bulletin</w:t>
      </w:r>
      <w:r w:rsidRPr="00CA3C50">
        <w:t xml:space="preserve">, </w:t>
      </w:r>
      <w:r w:rsidRPr="00CA3C50">
        <w:rPr>
          <w:i/>
          <w:iCs/>
        </w:rPr>
        <w:t>108</w:t>
      </w:r>
      <w:r w:rsidRPr="00CA3C50">
        <w:t>(1‑2), 105‑112. https://doi.org/10.1016/j.marpolbul.2016.04.048</w:t>
      </w:r>
    </w:p>
    <w:p w14:paraId="088CB875" w14:textId="77777777" w:rsidR="00CA3C50" w:rsidRPr="00CA3C50" w:rsidRDefault="00CA3C50" w:rsidP="00BE059E">
      <w:pPr>
        <w:pStyle w:val="Bibliographie"/>
      </w:pPr>
      <w:r w:rsidRPr="00CA3C50">
        <w:t xml:space="preserve">Colomb, V., Ait Amar, S., Mens, C. B., </w:t>
      </w:r>
      <w:proofErr w:type="spellStart"/>
      <w:r w:rsidRPr="00CA3C50">
        <w:t>Gac</w:t>
      </w:r>
      <w:proofErr w:type="spellEnd"/>
      <w:r w:rsidRPr="00CA3C50">
        <w:t xml:space="preserve">, A., Gaillard, G., Koch, P., Mousset, J., Salou, T., Tailleur, A., &amp; Van Der </w:t>
      </w:r>
      <w:proofErr w:type="spellStart"/>
      <w:r w:rsidRPr="00CA3C50">
        <w:t>Werf</w:t>
      </w:r>
      <w:proofErr w:type="spellEnd"/>
      <w:r w:rsidRPr="00CA3C50">
        <w:t xml:space="preserve">, H. M. G. (2015). AGRIBALYSE </w:t>
      </w:r>
      <w:proofErr w:type="gramStart"/>
      <w:r w:rsidRPr="00CA3C50">
        <w:rPr>
          <w:vertAlign w:val="superscript"/>
        </w:rPr>
        <w:t>®</w:t>
      </w:r>
      <w:r w:rsidRPr="00CA3C50">
        <w:t xml:space="preserve"> ,</w:t>
      </w:r>
      <w:proofErr w:type="gramEnd"/>
      <w:r w:rsidRPr="00CA3C50">
        <w:t xml:space="preserve"> the French LCI Database for agricultural </w:t>
      </w:r>
      <w:proofErr w:type="gramStart"/>
      <w:r w:rsidRPr="00CA3C50">
        <w:t>products :</w:t>
      </w:r>
      <w:proofErr w:type="gramEnd"/>
      <w:r w:rsidRPr="00CA3C50">
        <w:t xml:space="preserve"> High quality data for producers and environmental labelling. </w:t>
      </w:r>
      <w:r w:rsidRPr="00CA3C50">
        <w:rPr>
          <w:i/>
          <w:iCs/>
        </w:rPr>
        <w:t>OCL</w:t>
      </w:r>
      <w:r w:rsidRPr="00CA3C50">
        <w:t xml:space="preserve">, </w:t>
      </w:r>
      <w:r w:rsidRPr="00CA3C50">
        <w:rPr>
          <w:i/>
          <w:iCs/>
        </w:rPr>
        <w:t>22</w:t>
      </w:r>
      <w:r w:rsidRPr="00CA3C50">
        <w:t>(1), D104. https://doi.org/10.1051/ocl/20140047</w:t>
      </w:r>
    </w:p>
    <w:p w14:paraId="198D176E" w14:textId="77777777" w:rsidR="00CA3C50" w:rsidRPr="00CA3C50" w:rsidRDefault="00CA3C50" w:rsidP="00BE059E">
      <w:pPr>
        <w:pStyle w:val="Bibliographie"/>
      </w:pPr>
      <w:proofErr w:type="spellStart"/>
      <w:r w:rsidRPr="00CA3C50">
        <w:t>Corella-Puertas</w:t>
      </w:r>
      <w:proofErr w:type="spellEnd"/>
      <w:r w:rsidRPr="00CA3C50">
        <w:t xml:space="preserve">, E., Hajjar, C., Lavoie, J., &amp; </w:t>
      </w:r>
      <w:proofErr w:type="spellStart"/>
      <w:r w:rsidRPr="00CA3C50">
        <w:t>Boulay</w:t>
      </w:r>
      <w:proofErr w:type="spellEnd"/>
      <w:r w:rsidRPr="00CA3C50">
        <w:t xml:space="preserve">, A.-M. (2023). MarILCA characterization factors for microplastic impacts in life cycle </w:t>
      </w:r>
      <w:proofErr w:type="gramStart"/>
      <w:r w:rsidRPr="00CA3C50">
        <w:t>assessment :</w:t>
      </w:r>
      <w:proofErr w:type="gramEnd"/>
      <w:r w:rsidRPr="00CA3C50">
        <w:t xml:space="preserve"> Physical effects on biota from emissions to aquatic environments. </w:t>
      </w:r>
      <w:r w:rsidRPr="00CA3C50">
        <w:rPr>
          <w:i/>
          <w:iCs/>
        </w:rPr>
        <w:t>Journal of Cleaner Production</w:t>
      </w:r>
      <w:r w:rsidRPr="00CA3C50">
        <w:t xml:space="preserve">, </w:t>
      </w:r>
      <w:r w:rsidRPr="00CA3C50">
        <w:rPr>
          <w:i/>
          <w:iCs/>
        </w:rPr>
        <w:t>418</w:t>
      </w:r>
      <w:r w:rsidRPr="00CA3C50">
        <w:t>, 138197. https://doi.org/10.1016/j.jclepro.2023.138197</w:t>
      </w:r>
    </w:p>
    <w:p w14:paraId="54C88FE8" w14:textId="77777777" w:rsidR="00CA3C50" w:rsidRPr="00CA3C50" w:rsidRDefault="00CA3C50" w:rsidP="00BE059E">
      <w:pPr>
        <w:pStyle w:val="Bibliographie"/>
      </w:pPr>
      <w:r w:rsidRPr="00CA3C50">
        <w:lastRenderedPageBreak/>
        <w:t xml:space="preserve">De </w:t>
      </w:r>
      <w:proofErr w:type="spellStart"/>
      <w:r w:rsidRPr="00CA3C50">
        <w:t>Sadeleer</w:t>
      </w:r>
      <w:proofErr w:type="spellEnd"/>
      <w:r w:rsidRPr="00CA3C50">
        <w:t xml:space="preserve">, I., &amp; Woodhouse, A. (2024). Environmental impact of biodegradable and non-biodegradable agricultural mulch </w:t>
      </w:r>
      <w:proofErr w:type="gramStart"/>
      <w:r w:rsidRPr="00CA3C50">
        <w:t>film :</w:t>
      </w:r>
      <w:proofErr w:type="gramEnd"/>
      <w:r w:rsidRPr="00CA3C50">
        <w:t xml:space="preserve"> A case study for Nordic conditions. </w:t>
      </w:r>
      <w:r w:rsidRPr="00CA3C50">
        <w:rPr>
          <w:i/>
          <w:iCs/>
        </w:rPr>
        <w:t>The International Journal of Life Cycle Assessment</w:t>
      </w:r>
      <w:r w:rsidRPr="00CA3C50">
        <w:t xml:space="preserve">, </w:t>
      </w:r>
      <w:r w:rsidRPr="00CA3C50">
        <w:rPr>
          <w:i/>
          <w:iCs/>
        </w:rPr>
        <w:t>29</w:t>
      </w:r>
      <w:r w:rsidRPr="00CA3C50">
        <w:t>(2), 275‑290. https://doi.org/10.1007/s11367-023-02253-y</w:t>
      </w:r>
    </w:p>
    <w:p w14:paraId="2D4592EC" w14:textId="77777777" w:rsidR="00CA3C50" w:rsidRPr="00CA3C50" w:rsidRDefault="00CA3C50" w:rsidP="00BE059E">
      <w:pPr>
        <w:pStyle w:val="Bibliographie"/>
      </w:pPr>
      <w:r w:rsidRPr="00CA3C50">
        <w:t xml:space="preserve">FAO. (2020, </w:t>
      </w:r>
      <w:proofErr w:type="spellStart"/>
      <w:r w:rsidRPr="00CA3C50">
        <w:t>novembre</w:t>
      </w:r>
      <w:proofErr w:type="spellEnd"/>
      <w:r w:rsidRPr="00CA3C50">
        <w:t xml:space="preserve">). </w:t>
      </w:r>
      <w:r w:rsidRPr="00CA3C50">
        <w:rPr>
          <w:i/>
          <w:iCs/>
        </w:rPr>
        <w:t>FAO Major Fishing Areas</w:t>
      </w:r>
      <w:r w:rsidRPr="00CA3C50">
        <w:t>. https://www.fao.org/fishery/en/area/search</w:t>
      </w:r>
    </w:p>
    <w:p w14:paraId="612220D4" w14:textId="77777777" w:rsidR="00CA3C50" w:rsidRPr="00CA3C50" w:rsidRDefault="00CA3C50" w:rsidP="00BE059E">
      <w:pPr>
        <w:pStyle w:val="Bibliographie"/>
      </w:pPr>
      <w:proofErr w:type="spellStart"/>
      <w:r w:rsidRPr="00CA3C50">
        <w:t>Grenouillet</w:t>
      </w:r>
      <w:proofErr w:type="spellEnd"/>
      <w:r w:rsidRPr="00CA3C50">
        <w:t>, G., &amp; Schmidt-Kloiber, A. (2006). Fish Indicator Database. Euro-</w:t>
      </w:r>
      <w:proofErr w:type="spellStart"/>
      <w:r w:rsidRPr="00CA3C50">
        <w:t>limpacs</w:t>
      </w:r>
      <w:proofErr w:type="spellEnd"/>
      <w:r w:rsidRPr="00CA3C50">
        <w:t xml:space="preserve"> project, </w:t>
      </w:r>
      <w:proofErr w:type="spellStart"/>
      <w:r w:rsidRPr="00CA3C50">
        <w:t>Workpackage</w:t>
      </w:r>
      <w:proofErr w:type="spellEnd"/>
      <w:r w:rsidRPr="00CA3C50">
        <w:t xml:space="preserve"> 7—Indicators of ecosystem health, Task 4. (Version 8.0) [Dataset].</w:t>
      </w:r>
    </w:p>
    <w:p w14:paraId="75524E96" w14:textId="77777777" w:rsidR="00CA3C50" w:rsidRPr="00CA3C50" w:rsidRDefault="00CA3C50" w:rsidP="00BE059E">
      <w:pPr>
        <w:pStyle w:val="Bibliographie"/>
      </w:pPr>
      <w:r w:rsidRPr="00CA3C50">
        <w:t xml:space="preserve">Han, N., Zhao, Q., Ao, H., Hu, H., &amp; Wu, C. (2022). Horizontal transport of macro- and microplastics on soil surface by rainfall induced surface runoff as affected by vegetations. </w:t>
      </w:r>
      <w:r w:rsidRPr="00CA3C50">
        <w:rPr>
          <w:i/>
          <w:iCs/>
        </w:rPr>
        <w:t>Science of The Total Environment</w:t>
      </w:r>
      <w:r w:rsidRPr="00CA3C50">
        <w:t xml:space="preserve">, </w:t>
      </w:r>
      <w:r w:rsidRPr="00CA3C50">
        <w:rPr>
          <w:i/>
          <w:iCs/>
        </w:rPr>
        <w:t>831</w:t>
      </w:r>
      <w:r w:rsidRPr="00CA3C50">
        <w:t>, 154989. https://doi.org/10.1016/j.scitotenv.2022.154989</w:t>
      </w:r>
    </w:p>
    <w:p w14:paraId="719DCE12" w14:textId="77777777" w:rsidR="00CA3C50" w:rsidRPr="00CA3C50" w:rsidRDefault="00CA3C50" w:rsidP="00BE059E">
      <w:pPr>
        <w:pStyle w:val="Bibliographie"/>
      </w:pPr>
      <w:r w:rsidRPr="00CA3C50">
        <w:t xml:space="preserve">IUCN. (2024). </w:t>
      </w:r>
      <w:r w:rsidRPr="00CA3C50">
        <w:rPr>
          <w:i/>
          <w:iCs/>
        </w:rPr>
        <w:t>The IUCN Red List of Threatened Species</w:t>
      </w:r>
      <w:r w:rsidRPr="00CA3C50">
        <w:t>. https://www.iucnredlist.org</w:t>
      </w:r>
    </w:p>
    <w:p w14:paraId="4DF772DD" w14:textId="77777777" w:rsidR="00CA3C50" w:rsidRPr="00CA3C50" w:rsidRDefault="00CA3C50" w:rsidP="00BE059E">
      <w:pPr>
        <w:pStyle w:val="Bibliographie"/>
      </w:pPr>
      <w:proofErr w:type="spellStart"/>
      <w:r w:rsidRPr="00CA3C50">
        <w:t>Jalón</w:t>
      </w:r>
      <w:proofErr w:type="spellEnd"/>
      <w:r w:rsidRPr="00CA3C50">
        <w:t xml:space="preserve">-Rojas, I., Wang, X. H., &amp; </w:t>
      </w:r>
      <w:proofErr w:type="spellStart"/>
      <w:r w:rsidRPr="00CA3C50">
        <w:t>Fredj</w:t>
      </w:r>
      <w:proofErr w:type="spellEnd"/>
      <w:r w:rsidRPr="00CA3C50">
        <w:t>, E. (2019). A 3D numerical model to Track Marine Plastic Debris (</w:t>
      </w:r>
      <w:proofErr w:type="spellStart"/>
      <w:r w:rsidRPr="00CA3C50">
        <w:t>TrackMPD</w:t>
      </w:r>
      <w:proofErr w:type="spellEnd"/>
      <w:proofErr w:type="gramStart"/>
      <w:r w:rsidRPr="00CA3C50">
        <w:t>) :</w:t>
      </w:r>
      <w:proofErr w:type="gramEnd"/>
      <w:r w:rsidRPr="00CA3C50">
        <w:t xml:space="preserve"> Sensitivity of microplastic trajectories and fates to particle dynamical properties and physical processes. </w:t>
      </w:r>
      <w:r w:rsidRPr="00CA3C50">
        <w:rPr>
          <w:i/>
          <w:iCs/>
        </w:rPr>
        <w:t>Marine Pollution Bulletin</w:t>
      </w:r>
      <w:r w:rsidRPr="00CA3C50">
        <w:t xml:space="preserve">, </w:t>
      </w:r>
      <w:r w:rsidRPr="00CA3C50">
        <w:rPr>
          <w:i/>
          <w:iCs/>
        </w:rPr>
        <w:t>141</w:t>
      </w:r>
      <w:r w:rsidRPr="00CA3C50">
        <w:t>, 256‑272. https://doi.org/10.1016/j.marpolbul.2019.02.052</w:t>
      </w:r>
    </w:p>
    <w:p w14:paraId="28FE5889" w14:textId="77777777" w:rsidR="00CA3C50" w:rsidRPr="00CA3C50" w:rsidRDefault="00CA3C50" w:rsidP="00BE059E">
      <w:pPr>
        <w:pStyle w:val="Bibliographie"/>
      </w:pPr>
      <w:proofErr w:type="spellStart"/>
      <w:r w:rsidRPr="00CA3C50">
        <w:t>Kounina</w:t>
      </w:r>
      <w:proofErr w:type="spellEnd"/>
      <w:r w:rsidRPr="00CA3C50">
        <w:t xml:space="preserve">, A., </w:t>
      </w:r>
      <w:proofErr w:type="spellStart"/>
      <w:r w:rsidRPr="00CA3C50">
        <w:t>Margni</w:t>
      </w:r>
      <w:proofErr w:type="spellEnd"/>
      <w:r w:rsidRPr="00CA3C50">
        <w:t xml:space="preserve">, M., Shaked, S., Bulle, C., &amp; Jolliet, O. (2014). Spatial analysis of toxic emissions in </w:t>
      </w:r>
      <w:proofErr w:type="gramStart"/>
      <w:r w:rsidRPr="00CA3C50">
        <w:t>LCA :</w:t>
      </w:r>
      <w:proofErr w:type="gramEnd"/>
      <w:r w:rsidRPr="00CA3C50">
        <w:t xml:space="preserve"> A sub-continental nested </w:t>
      </w:r>
      <w:proofErr w:type="spellStart"/>
      <w:r w:rsidRPr="00CA3C50">
        <w:t>USEtox</w:t>
      </w:r>
      <w:proofErr w:type="spellEnd"/>
      <w:r w:rsidRPr="00CA3C50">
        <w:t xml:space="preserve"> model with freshwater archetypes. </w:t>
      </w:r>
      <w:proofErr w:type="spellStart"/>
      <w:r w:rsidRPr="00CA3C50">
        <w:rPr>
          <w:i/>
          <w:iCs/>
        </w:rPr>
        <w:t>Environment</w:t>
      </w:r>
      <w:proofErr w:type="spellEnd"/>
      <w:r w:rsidRPr="00CA3C50">
        <w:rPr>
          <w:i/>
          <w:iCs/>
        </w:rPr>
        <w:t xml:space="preserve"> International</w:t>
      </w:r>
      <w:r w:rsidRPr="00CA3C50">
        <w:t xml:space="preserve">, </w:t>
      </w:r>
      <w:r w:rsidRPr="00CA3C50">
        <w:rPr>
          <w:i/>
          <w:iCs/>
        </w:rPr>
        <w:t>69</w:t>
      </w:r>
      <w:r w:rsidRPr="00CA3C50">
        <w:t>, 67‑89. https://doi.org/10.1016/j.envint.2014.04.004</w:t>
      </w:r>
    </w:p>
    <w:p w14:paraId="409747DA" w14:textId="77777777" w:rsidR="00CA3C50" w:rsidRPr="00CA3C50" w:rsidRDefault="00CA3C50" w:rsidP="00BE059E">
      <w:pPr>
        <w:pStyle w:val="Bibliographie"/>
      </w:pPr>
      <w:r w:rsidRPr="00CA3C50">
        <w:t xml:space="preserve">Lehner, B., Messager, M. L., </w:t>
      </w:r>
      <w:proofErr w:type="spellStart"/>
      <w:r w:rsidRPr="00CA3C50">
        <w:t>Korver</w:t>
      </w:r>
      <w:proofErr w:type="spellEnd"/>
      <w:r w:rsidRPr="00CA3C50">
        <w:t xml:space="preserve">, M. C., &amp; Linke, S. (2022). Global hydro-environmental lake characteristics at high spatial resolution. </w:t>
      </w:r>
      <w:r w:rsidRPr="00CA3C50">
        <w:rPr>
          <w:i/>
          <w:iCs/>
        </w:rPr>
        <w:t>Scientific Data</w:t>
      </w:r>
      <w:r w:rsidRPr="00CA3C50">
        <w:t xml:space="preserve">, </w:t>
      </w:r>
      <w:r w:rsidRPr="00CA3C50">
        <w:rPr>
          <w:i/>
          <w:iCs/>
        </w:rPr>
        <w:t>9</w:t>
      </w:r>
      <w:r w:rsidRPr="00CA3C50">
        <w:t>(1), 351. https://doi.org/10.1038/s41597-022-01425-z</w:t>
      </w:r>
    </w:p>
    <w:p w14:paraId="06AC45FF" w14:textId="77777777" w:rsidR="00CA3C50" w:rsidRPr="00CA3C50" w:rsidRDefault="00CA3C50" w:rsidP="00BE059E">
      <w:pPr>
        <w:pStyle w:val="Bibliographie"/>
      </w:pPr>
      <w:r w:rsidRPr="00CA3C50">
        <w:t xml:space="preserve">Linke, S., Lehner, B., Ouellet Dallaire, C., </w:t>
      </w:r>
      <w:proofErr w:type="spellStart"/>
      <w:r w:rsidRPr="00CA3C50">
        <w:t>Ariwi</w:t>
      </w:r>
      <w:proofErr w:type="spellEnd"/>
      <w:r w:rsidRPr="00CA3C50">
        <w:t xml:space="preserve">, J., Grill, G., Anand, M., Beames, P., Burchard-Levine, V., Maxwell, S., Moidu, H., Tan, F., &amp; Thieme, M. (2019). Global </w:t>
      </w:r>
      <w:r w:rsidRPr="00CA3C50">
        <w:lastRenderedPageBreak/>
        <w:t xml:space="preserve">hydro-environmental sub-basin and river reach characteristics at high spatial resolution. </w:t>
      </w:r>
      <w:r w:rsidRPr="00CA3C50">
        <w:rPr>
          <w:i/>
          <w:iCs/>
        </w:rPr>
        <w:t>Scientific Data</w:t>
      </w:r>
      <w:r w:rsidRPr="00CA3C50">
        <w:t xml:space="preserve">, </w:t>
      </w:r>
      <w:r w:rsidRPr="00CA3C50">
        <w:rPr>
          <w:i/>
          <w:iCs/>
        </w:rPr>
        <w:t>6</w:t>
      </w:r>
      <w:r w:rsidRPr="00CA3C50">
        <w:t>(1), 283. https://doi.org/10.1038/s41597-019-0300-6</w:t>
      </w:r>
    </w:p>
    <w:p w14:paraId="1A060C46" w14:textId="77777777" w:rsidR="00CA3C50" w:rsidRPr="00CA3C50" w:rsidRDefault="00CA3C50" w:rsidP="00BE059E">
      <w:pPr>
        <w:pStyle w:val="Bibliographie"/>
      </w:pPr>
      <w:r w:rsidRPr="00CA3C50">
        <w:t xml:space="preserve">Maga, D., </w:t>
      </w:r>
      <w:proofErr w:type="spellStart"/>
      <w:r w:rsidRPr="00CA3C50">
        <w:t>Galafton</w:t>
      </w:r>
      <w:proofErr w:type="spellEnd"/>
      <w:r w:rsidRPr="00CA3C50">
        <w:t xml:space="preserve">, C., </w:t>
      </w:r>
      <w:proofErr w:type="spellStart"/>
      <w:r w:rsidRPr="00CA3C50">
        <w:t>Blömer</w:t>
      </w:r>
      <w:proofErr w:type="spellEnd"/>
      <w:r w:rsidRPr="00CA3C50">
        <w:t xml:space="preserve">, J., </w:t>
      </w:r>
      <w:proofErr w:type="spellStart"/>
      <w:r w:rsidRPr="00CA3C50">
        <w:t>Thonemann</w:t>
      </w:r>
      <w:proofErr w:type="spellEnd"/>
      <w:r w:rsidRPr="00CA3C50">
        <w:t xml:space="preserve">, N., Özdamar, A., &amp; Bertling, J. (2022). Methodology to address potential impacts of plastic emissions in life cycle assessment. </w:t>
      </w:r>
      <w:r w:rsidRPr="00CA3C50">
        <w:rPr>
          <w:i/>
          <w:iCs/>
        </w:rPr>
        <w:t>The International Journal of Life Cycle Assessment</w:t>
      </w:r>
      <w:r w:rsidRPr="00CA3C50">
        <w:t xml:space="preserve">, </w:t>
      </w:r>
      <w:r w:rsidRPr="00CA3C50">
        <w:rPr>
          <w:i/>
          <w:iCs/>
        </w:rPr>
        <w:t>27</w:t>
      </w:r>
      <w:r w:rsidRPr="00CA3C50">
        <w:t>(3), 469‑491. https://doi.org/10.1007/s11367-022-02040-1</w:t>
      </w:r>
    </w:p>
    <w:p w14:paraId="75119B97" w14:textId="77777777" w:rsidR="00CA3C50" w:rsidRPr="00CA3C50" w:rsidRDefault="00CA3C50" w:rsidP="00BE059E">
      <w:pPr>
        <w:pStyle w:val="Bibliographie"/>
      </w:pPr>
      <w:r w:rsidRPr="00CA3C50">
        <w:t xml:space="preserve">Montgomery, G., Hauser, H., &amp; Schmill, J. (s. d.). Swiss Biodiversity Monitoring BDM. </w:t>
      </w:r>
      <w:r w:rsidRPr="00CA3C50">
        <w:rPr>
          <w:i/>
          <w:iCs/>
        </w:rPr>
        <w:t>Environmental Studies</w:t>
      </w:r>
      <w:r w:rsidRPr="00CA3C50">
        <w:t>.</w:t>
      </w:r>
    </w:p>
    <w:p w14:paraId="3F8AD89B" w14:textId="77777777" w:rsidR="00CA3C50" w:rsidRPr="00CA3C50" w:rsidRDefault="00CA3C50" w:rsidP="00BE059E">
      <w:pPr>
        <w:pStyle w:val="Bibliographie"/>
      </w:pPr>
      <w:r w:rsidRPr="00CA3C50">
        <w:t xml:space="preserve">Salieri, B., </w:t>
      </w:r>
      <w:proofErr w:type="spellStart"/>
      <w:r w:rsidRPr="00CA3C50">
        <w:t>Hischier</w:t>
      </w:r>
      <w:proofErr w:type="spellEnd"/>
      <w:r w:rsidRPr="00CA3C50">
        <w:t xml:space="preserve">, R., </w:t>
      </w:r>
      <w:proofErr w:type="spellStart"/>
      <w:r w:rsidRPr="00CA3C50">
        <w:t>Quik</w:t>
      </w:r>
      <w:proofErr w:type="spellEnd"/>
      <w:r w:rsidRPr="00CA3C50">
        <w:t xml:space="preserve">, J. T. K., &amp; Jolliet, O. (2019). Fate modelling of nanoparticle releases in </w:t>
      </w:r>
      <w:proofErr w:type="gramStart"/>
      <w:r w:rsidRPr="00CA3C50">
        <w:t>LCA :</w:t>
      </w:r>
      <w:proofErr w:type="gramEnd"/>
      <w:r w:rsidRPr="00CA3C50">
        <w:t xml:space="preserve"> An integrative approach towards “USEtox4Nano”. </w:t>
      </w:r>
      <w:r w:rsidRPr="00CA3C50">
        <w:rPr>
          <w:i/>
          <w:iCs/>
        </w:rPr>
        <w:t>Journal of Cleaner Production</w:t>
      </w:r>
      <w:r w:rsidRPr="00CA3C50">
        <w:t xml:space="preserve">, </w:t>
      </w:r>
      <w:r w:rsidRPr="00CA3C50">
        <w:rPr>
          <w:i/>
          <w:iCs/>
        </w:rPr>
        <w:t>206</w:t>
      </w:r>
      <w:r w:rsidRPr="00CA3C50">
        <w:t>, 701‑712. https://doi.org/10.1016/j.jclepro.2018.09.187</w:t>
      </w:r>
    </w:p>
    <w:p w14:paraId="4CA489C0" w14:textId="77777777" w:rsidR="00CA3C50" w:rsidRPr="00CA3C50" w:rsidRDefault="00CA3C50" w:rsidP="00BE059E">
      <w:pPr>
        <w:pStyle w:val="Bibliographie"/>
      </w:pPr>
      <w:proofErr w:type="spellStart"/>
      <w:r w:rsidRPr="00CA3C50">
        <w:t>Schinegger</w:t>
      </w:r>
      <w:proofErr w:type="spellEnd"/>
      <w:r w:rsidRPr="00CA3C50">
        <w:t>, R., &amp; Friedrich, T. (2024). Dataset « Fish ». Www.freshwaterecology.info—The taxa and autecology database for freshwater organisms (Version 8.0) [Dataset].</w:t>
      </w:r>
    </w:p>
    <w:p w14:paraId="5F45639D" w14:textId="77777777" w:rsidR="00CA3C50" w:rsidRPr="00CA3C50" w:rsidRDefault="00CA3C50" w:rsidP="00BE059E">
      <w:pPr>
        <w:pStyle w:val="Bibliographie"/>
      </w:pPr>
      <w:r w:rsidRPr="00CA3C50">
        <w:t xml:space="preserve">Schmidt-Kloiber, A., &amp; Hering, D. (2015). Www.freshwaterecology.info – An online tool that unifies, </w:t>
      </w:r>
      <w:proofErr w:type="spellStart"/>
      <w:r w:rsidRPr="00CA3C50">
        <w:t>standardises</w:t>
      </w:r>
      <w:proofErr w:type="spellEnd"/>
      <w:r w:rsidRPr="00CA3C50">
        <w:t xml:space="preserve"> and codifies more than 20,000 European freshwater organisms and their ecological preferences. </w:t>
      </w:r>
      <w:r w:rsidRPr="00CA3C50">
        <w:rPr>
          <w:i/>
          <w:iCs/>
        </w:rPr>
        <w:t>Ecological Indicators</w:t>
      </w:r>
      <w:r w:rsidRPr="00CA3C50">
        <w:t xml:space="preserve">, </w:t>
      </w:r>
      <w:r w:rsidRPr="00CA3C50">
        <w:rPr>
          <w:i/>
          <w:iCs/>
        </w:rPr>
        <w:t>53</w:t>
      </w:r>
      <w:r w:rsidRPr="00CA3C50">
        <w:t>, 271‑282. https://doi.org/10.1016/j.ecolind.2015.02.007</w:t>
      </w:r>
    </w:p>
    <w:p w14:paraId="040B6836" w14:textId="77777777" w:rsidR="00CA3C50" w:rsidRPr="00CA3C50" w:rsidRDefault="00CA3C50" w:rsidP="00BE059E">
      <w:pPr>
        <w:pStyle w:val="Bibliographie"/>
      </w:pPr>
      <w:r w:rsidRPr="00CA3C50">
        <w:t>Schmidt-Kloiber, A., &amp; Hering, D. (2024). www.freshwaterecology.info—The taxa and autecology database for freshwater organisms (Version 8.0) [Dataset].</w:t>
      </w:r>
    </w:p>
    <w:p w14:paraId="44A9A1DB" w14:textId="77777777" w:rsidR="00CA3C50" w:rsidRPr="00CA3C50" w:rsidRDefault="00CA3C50" w:rsidP="00BE059E">
      <w:pPr>
        <w:pStyle w:val="Bibliographie"/>
      </w:pPr>
      <w:r w:rsidRPr="00CA3C50">
        <w:t>Shaked, S. (2011). Multi-Continental Multimedia Model of Pollutant Intake and Application to Impacts of Global Emissions and Globally Traded Goods. University of Michigan.</w:t>
      </w:r>
    </w:p>
    <w:p w14:paraId="3AB317EA" w14:textId="77777777" w:rsidR="00CA3C50" w:rsidRPr="00CA3C50" w:rsidRDefault="00CA3C50" w:rsidP="00BE059E">
      <w:pPr>
        <w:pStyle w:val="Bibliographie"/>
      </w:pPr>
      <w:r w:rsidRPr="00CA3C50">
        <w:t xml:space="preserve">Wernet, G., Bauer, C., Steubing, B., Reinhard, J., Moreno-Ruiz, E., &amp; Weidema, B. (2016). The </w:t>
      </w:r>
      <w:proofErr w:type="spellStart"/>
      <w:r w:rsidRPr="00CA3C50">
        <w:t>ecoinvent</w:t>
      </w:r>
      <w:proofErr w:type="spellEnd"/>
      <w:r w:rsidRPr="00CA3C50">
        <w:t xml:space="preserve"> database version 3 (part I</w:t>
      </w:r>
      <w:proofErr w:type="gramStart"/>
      <w:r w:rsidRPr="00CA3C50">
        <w:t>) :</w:t>
      </w:r>
      <w:proofErr w:type="gramEnd"/>
      <w:r w:rsidRPr="00CA3C50">
        <w:t xml:space="preserve"> Overview and methodology. </w:t>
      </w:r>
      <w:r w:rsidRPr="00CA3C50">
        <w:rPr>
          <w:i/>
          <w:iCs/>
        </w:rPr>
        <w:t>The International Journal of Life Cycle Assessment</w:t>
      </w:r>
      <w:r w:rsidRPr="00CA3C50">
        <w:t xml:space="preserve">, </w:t>
      </w:r>
      <w:r w:rsidRPr="00CA3C50">
        <w:rPr>
          <w:i/>
          <w:iCs/>
        </w:rPr>
        <w:t>21</w:t>
      </w:r>
      <w:r w:rsidRPr="00CA3C50">
        <w:t>(9), 1218‑1230. https://doi.org/10.1007/s11367-016-1087-8</w:t>
      </w:r>
    </w:p>
    <w:p w14:paraId="74ACA4EC" w14:textId="0EE99304" w:rsidR="00381013" w:rsidRPr="00381013" w:rsidRDefault="00381013" w:rsidP="00BE059E">
      <w:r w:rsidRPr="006B7FAF">
        <w:lastRenderedPageBreak/>
        <w:fldChar w:fldCharType="end"/>
      </w:r>
    </w:p>
    <w:sectPr w:rsidR="00381013" w:rsidRPr="00381013" w:rsidSect="00BE059E">
      <w:pgSz w:w="11906" w:h="16838"/>
      <w:pgMar w:top="1417" w:right="1417" w:bottom="1417" w:left="1417" w:header="708" w:footer="708" w:gutter="0"/>
      <w:lnNumType w:countBy="1" w:restart="continuous"/>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4" w:author="Juliette Louvet" w:date="2025-01-31T08:26:00Z" w:initials="JL">
    <w:p w14:paraId="499809D2" w14:textId="77777777" w:rsidR="00CA3C50" w:rsidRDefault="00CA3C50" w:rsidP="00BE059E">
      <w:pPr>
        <w:pStyle w:val="Commentaire"/>
      </w:pPr>
      <w:r>
        <w:rPr>
          <w:rStyle w:val="Marquedecommentaire"/>
        </w:rPr>
        <w:annotationRef/>
      </w:r>
      <w:r>
        <w:t xml:space="preserve">Reviewer 2: </w:t>
      </w:r>
      <w:r>
        <w:rPr>
          <w:highlight w:val="black"/>
        </w:rPr>
        <w:t>what is the relevance of TRWP (rubber)? Also, what size of plastic are you including here? what is the funcitonal unit? Where is your data inventory? is it cradle to gate? only use? cradle to grave?</w:t>
      </w:r>
      <w:r>
        <w:t xml:space="preserve"> </w:t>
      </w:r>
    </w:p>
  </w:comment>
  <w:comment w:id="25" w:author="Juliette Louvet" w:date="2025-02-04T10:55:00Z" w:initials="JL">
    <w:p w14:paraId="68BDA9DC" w14:textId="77777777" w:rsidR="00CA3C50" w:rsidRDefault="00CA3C50" w:rsidP="00BE059E">
      <w:pPr>
        <w:pStyle w:val="Commentaire"/>
      </w:pPr>
      <w:r>
        <w:rPr>
          <w:rStyle w:val="Marquedecommentaire"/>
        </w:rPr>
        <w:annotationRef/>
      </w:r>
      <w:r>
        <w:t>Informations disponibles dans l’étude de cas originelle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99809D2" w15:done="1"/>
  <w15:commentEx w15:paraId="68BDA9DC" w15:paraIdParent="499809D2"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75FD1C8" w16cex:dateUtc="2025-01-31T13:26:00Z"/>
  <w16cex:commentExtensible w16cex:durableId="453A3974" w16cex:dateUtc="2025-02-04T15:5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99809D2" w16cid:durableId="075FD1C8"/>
  <w16cid:commentId w16cid:paraId="68BDA9DC" w16cid:durableId="453A3974"/>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D7849"/>
    <w:multiLevelType w:val="multilevel"/>
    <w:tmpl w:val="87DA2854"/>
    <w:lvl w:ilvl="0">
      <w:start w:val="1"/>
      <w:numFmt w:val="decimal"/>
      <w:lvlText w:val="%1"/>
      <w:lvlJc w:val="left"/>
      <w:pPr>
        <w:ind w:left="480" w:hanging="480"/>
      </w:pPr>
      <w:rPr>
        <w:rFonts w:hint="default"/>
      </w:rPr>
    </w:lvl>
    <w:lvl w:ilvl="1">
      <w:start w:val="9"/>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42F3331"/>
    <w:multiLevelType w:val="hybridMultilevel"/>
    <w:tmpl w:val="6DDC0A20"/>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5B467ED"/>
    <w:multiLevelType w:val="hybridMultilevel"/>
    <w:tmpl w:val="62A6D290"/>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09565D4"/>
    <w:multiLevelType w:val="multilevel"/>
    <w:tmpl w:val="A8EE3BA2"/>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35568BA"/>
    <w:multiLevelType w:val="multilevel"/>
    <w:tmpl w:val="C4E637A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3CB77E6"/>
    <w:multiLevelType w:val="hybridMultilevel"/>
    <w:tmpl w:val="FA80A2DE"/>
    <w:lvl w:ilvl="0" w:tplc="8E1EBC7E">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65200D0"/>
    <w:multiLevelType w:val="hybridMultilevel"/>
    <w:tmpl w:val="EA1CC0E6"/>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2D097F85"/>
    <w:multiLevelType w:val="multilevel"/>
    <w:tmpl w:val="A932867C"/>
    <w:lvl w:ilvl="0">
      <w:start w:val="1"/>
      <w:numFmt w:val="decimal"/>
      <w:pStyle w:val="Titre1"/>
      <w:lvlText w:val="%1."/>
      <w:lvlJc w:val="left"/>
      <w:pPr>
        <w:ind w:left="720" w:hanging="360"/>
      </w:pPr>
      <w:rPr>
        <w:rFonts w:hint="default"/>
      </w:rPr>
    </w:lvl>
    <w:lvl w:ilvl="1">
      <w:start w:val="1"/>
      <w:numFmt w:val="decimal"/>
      <w:pStyle w:val="Titre2"/>
      <w:isLgl/>
      <w:lvlText w:val="%1.%2."/>
      <w:lvlJc w:val="left"/>
      <w:pPr>
        <w:ind w:left="720" w:hanging="360"/>
      </w:pPr>
    </w:lvl>
    <w:lvl w:ilvl="2">
      <w:start w:val="1"/>
      <w:numFmt w:val="decimal"/>
      <w:pStyle w:val="Titre3"/>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32843E98"/>
    <w:multiLevelType w:val="multilevel"/>
    <w:tmpl w:val="2C5E716A"/>
    <w:lvl w:ilvl="0">
      <w:start w:val="2"/>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9" w15:restartNumberingAfterBreak="0">
    <w:nsid w:val="37D066B5"/>
    <w:multiLevelType w:val="hybridMultilevel"/>
    <w:tmpl w:val="A89E42CE"/>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3E23098E"/>
    <w:multiLevelType w:val="hybridMultilevel"/>
    <w:tmpl w:val="5E9266C8"/>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485D4F25"/>
    <w:multiLevelType w:val="hybridMultilevel"/>
    <w:tmpl w:val="9C084EC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E1C412F"/>
    <w:multiLevelType w:val="hybridMultilevel"/>
    <w:tmpl w:val="7DDA7A5E"/>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6D8B45D1"/>
    <w:multiLevelType w:val="hybridMultilevel"/>
    <w:tmpl w:val="480C5FF8"/>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76A8577E"/>
    <w:multiLevelType w:val="multilevel"/>
    <w:tmpl w:val="A4806B4A"/>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16cid:durableId="1266379439">
    <w:abstractNumId w:val="7"/>
  </w:num>
  <w:num w:numId="2" w16cid:durableId="74059199">
    <w:abstractNumId w:val="5"/>
  </w:num>
  <w:num w:numId="3" w16cid:durableId="1003777056">
    <w:abstractNumId w:val="11"/>
  </w:num>
  <w:num w:numId="4" w16cid:durableId="498079409">
    <w:abstractNumId w:val="12"/>
  </w:num>
  <w:num w:numId="5" w16cid:durableId="183174206">
    <w:abstractNumId w:val="3"/>
  </w:num>
  <w:num w:numId="6" w16cid:durableId="1933005757">
    <w:abstractNumId w:val="10"/>
  </w:num>
  <w:num w:numId="7" w16cid:durableId="1796561737">
    <w:abstractNumId w:val="1"/>
  </w:num>
  <w:num w:numId="8" w16cid:durableId="897279478">
    <w:abstractNumId w:val="14"/>
  </w:num>
  <w:num w:numId="9" w16cid:durableId="1983653955">
    <w:abstractNumId w:val="4"/>
  </w:num>
  <w:num w:numId="10" w16cid:durableId="1253051364">
    <w:abstractNumId w:val="7"/>
    <w:lvlOverride w:ilvl="0">
      <w:startOverride w:val="2"/>
    </w:lvlOverride>
    <w:lvlOverride w:ilvl="1">
      <w:startOverride w:val="1"/>
    </w:lvlOverride>
  </w:num>
  <w:num w:numId="11" w16cid:durableId="1535456810">
    <w:abstractNumId w:val="2"/>
  </w:num>
  <w:num w:numId="12" w16cid:durableId="199361499">
    <w:abstractNumId w:val="13"/>
  </w:num>
  <w:num w:numId="13" w16cid:durableId="1004093543">
    <w:abstractNumId w:val="6"/>
  </w:num>
  <w:num w:numId="14" w16cid:durableId="253518813">
    <w:abstractNumId w:val="9"/>
  </w:num>
  <w:num w:numId="15" w16cid:durableId="519515858">
    <w:abstractNumId w:val="0"/>
  </w:num>
  <w:num w:numId="16" w16cid:durableId="613366652">
    <w:abstractNumId w:val="8"/>
  </w:num>
  <w:num w:numId="17" w16cid:durableId="1977951475">
    <w:abstractNumId w:val="7"/>
    <w:lvlOverride w:ilvl="0">
      <w:startOverride w:val="3"/>
    </w:lvlOverride>
    <w:lvlOverride w:ilvl="1">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uliette Louvet">
    <w15:presenceInfo w15:providerId="AD" w15:userId="S::juliette.louvet@polymtlus.ca::c054b2f5-3bbb-46d0-bf4b-7167a50fcd0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6B0"/>
    <w:rsid w:val="000C301B"/>
    <w:rsid w:val="001B633D"/>
    <w:rsid w:val="001D2D88"/>
    <w:rsid w:val="001E7D4C"/>
    <w:rsid w:val="00230EF6"/>
    <w:rsid w:val="00325B44"/>
    <w:rsid w:val="003379DA"/>
    <w:rsid w:val="00366DF5"/>
    <w:rsid w:val="00381013"/>
    <w:rsid w:val="00393AD1"/>
    <w:rsid w:val="00524BC2"/>
    <w:rsid w:val="00593829"/>
    <w:rsid w:val="005C3328"/>
    <w:rsid w:val="006B7FAF"/>
    <w:rsid w:val="007852C2"/>
    <w:rsid w:val="007A5067"/>
    <w:rsid w:val="007F6276"/>
    <w:rsid w:val="00816503"/>
    <w:rsid w:val="00974174"/>
    <w:rsid w:val="00A624E8"/>
    <w:rsid w:val="00A668E5"/>
    <w:rsid w:val="00AA2E1C"/>
    <w:rsid w:val="00AC530D"/>
    <w:rsid w:val="00B129D6"/>
    <w:rsid w:val="00BA2EFB"/>
    <w:rsid w:val="00BA46B0"/>
    <w:rsid w:val="00BE059E"/>
    <w:rsid w:val="00C03146"/>
    <w:rsid w:val="00C111A0"/>
    <w:rsid w:val="00C52FC0"/>
    <w:rsid w:val="00C55D63"/>
    <w:rsid w:val="00C97735"/>
    <w:rsid w:val="00CA3C50"/>
    <w:rsid w:val="00CE7526"/>
    <w:rsid w:val="00CF18EC"/>
    <w:rsid w:val="00CF3581"/>
    <w:rsid w:val="00D91DAA"/>
    <w:rsid w:val="00DD3A33"/>
    <w:rsid w:val="00DD7946"/>
    <w:rsid w:val="00ED6520"/>
    <w:rsid w:val="00EE494E"/>
    <w:rsid w:val="00F23505"/>
    <w:rsid w:val="00F2485E"/>
    <w:rsid w:val="00F6147A"/>
    <w:rsid w:val="00FD36C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D7F88"/>
  <w15:chartTrackingRefBased/>
  <w15:docId w15:val="{B0CA53F3-8376-4BCD-A26E-8E6004CBC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059E"/>
    <w:pPr>
      <w:spacing w:line="276" w:lineRule="auto"/>
      <w:jc w:val="both"/>
    </w:pPr>
    <w:rPr>
      <w:rFonts w:ascii="Times New Roman" w:hAnsi="Times New Roman" w:cs="Times New Roman"/>
      <w:color w:val="000000"/>
      <w:kern w:val="0"/>
      <w:sz w:val="24"/>
      <w:szCs w:val="24"/>
      <w:lang w:val="en-US"/>
    </w:rPr>
  </w:style>
  <w:style w:type="paragraph" w:styleId="Titre1">
    <w:name w:val="heading 1"/>
    <w:basedOn w:val="Normal"/>
    <w:next w:val="Normal"/>
    <w:link w:val="Titre1Car"/>
    <w:uiPriority w:val="9"/>
    <w:qFormat/>
    <w:rsid w:val="001B633D"/>
    <w:pPr>
      <w:keepNext/>
      <w:keepLines/>
      <w:numPr>
        <w:numId w:val="1"/>
      </w:numPr>
      <w:spacing w:before="360" w:after="80"/>
      <w:outlineLvl w:val="0"/>
    </w:pPr>
    <w:rPr>
      <w:rFonts w:eastAsiaTheme="majorEastAsia"/>
      <w:b/>
      <w:bCs/>
      <w:sz w:val="28"/>
      <w:szCs w:val="28"/>
    </w:rPr>
  </w:style>
  <w:style w:type="paragraph" w:styleId="Titre2">
    <w:name w:val="heading 2"/>
    <w:basedOn w:val="Paragraphedeliste"/>
    <w:next w:val="Normal"/>
    <w:link w:val="Titre2Car"/>
    <w:uiPriority w:val="9"/>
    <w:unhideWhenUsed/>
    <w:qFormat/>
    <w:rsid w:val="00CA3C50"/>
    <w:pPr>
      <w:numPr>
        <w:ilvl w:val="1"/>
        <w:numId w:val="1"/>
      </w:numPr>
      <w:outlineLvl w:val="1"/>
    </w:pPr>
    <w:rPr>
      <w:b/>
      <w:bCs/>
      <w:sz w:val="28"/>
      <w:szCs w:val="28"/>
    </w:rPr>
  </w:style>
  <w:style w:type="paragraph" w:styleId="Titre3">
    <w:name w:val="heading 3"/>
    <w:basedOn w:val="Paragraphedeliste"/>
    <w:next w:val="Normal"/>
    <w:link w:val="Titre3Car"/>
    <w:uiPriority w:val="9"/>
    <w:unhideWhenUsed/>
    <w:qFormat/>
    <w:rsid w:val="00366DF5"/>
    <w:pPr>
      <w:numPr>
        <w:ilvl w:val="2"/>
        <w:numId w:val="1"/>
      </w:numPr>
      <w:outlineLvl w:val="2"/>
    </w:pPr>
    <w:rPr>
      <w:b/>
      <w:bCs/>
      <w:sz w:val="28"/>
      <w:szCs w:val="28"/>
    </w:rPr>
  </w:style>
  <w:style w:type="paragraph" w:styleId="Titre4">
    <w:name w:val="heading 4"/>
    <w:basedOn w:val="Normal"/>
    <w:next w:val="Normal"/>
    <w:link w:val="Titre4Car"/>
    <w:uiPriority w:val="9"/>
    <w:semiHidden/>
    <w:unhideWhenUsed/>
    <w:qFormat/>
    <w:rsid w:val="00BA46B0"/>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BA46B0"/>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BA46B0"/>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BA46B0"/>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BA46B0"/>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BA46B0"/>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B633D"/>
    <w:rPr>
      <w:rFonts w:ascii="Times New Roman" w:eastAsiaTheme="majorEastAsia" w:hAnsi="Times New Roman" w:cs="Times New Roman"/>
      <w:b/>
      <w:bCs/>
      <w:sz w:val="28"/>
      <w:szCs w:val="28"/>
      <w:lang w:val="en-US"/>
    </w:rPr>
  </w:style>
  <w:style w:type="character" w:customStyle="1" w:styleId="Titre2Car">
    <w:name w:val="Titre 2 Car"/>
    <w:basedOn w:val="Policepardfaut"/>
    <w:link w:val="Titre2"/>
    <w:uiPriority w:val="9"/>
    <w:rsid w:val="00CA3C50"/>
    <w:rPr>
      <w:rFonts w:ascii="Times New Roman" w:hAnsi="Times New Roman" w:cs="Times New Roman"/>
      <w:b/>
      <w:bCs/>
      <w:color w:val="000000"/>
      <w:kern w:val="0"/>
      <w:sz w:val="28"/>
      <w:szCs w:val="28"/>
      <w:lang w:val="en-US"/>
    </w:rPr>
  </w:style>
  <w:style w:type="character" w:customStyle="1" w:styleId="Titre3Car">
    <w:name w:val="Titre 3 Car"/>
    <w:basedOn w:val="Policepardfaut"/>
    <w:link w:val="Titre3"/>
    <w:uiPriority w:val="9"/>
    <w:rsid w:val="00366DF5"/>
    <w:rPr>
      <w:rFonts w:ascii="Times New Roman" w:hAnsi="Times New Roman" w:cs="Times New Roman"/>
      <w:b/>
      <w:bCs/>
      <w:color w:val="000000"/>
      <w:kern w:val="0"/>
      <w:sz w:val="28"/>
      <w:szCs w:val="28"/>
      <w:lang w:val="en-US"/>
    </w:rPr>
  </w:style>
  <w:style w:type="character" w:customStyle="1" w:styleId="Titre4Car">
    <w:name w:val="Titre 4 Car"/>
    <w:basedOn w:val="Policepardfaut"/>
    <w:link w:val="Titre4"/>
    <w:uiPriority w:val="9"/>
    <w:semiHidden/>
    <w:rsid w:val="00BA46B0"/>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BA46B0"/>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BA46B0"/>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BA46B0"/>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BA46B0"/>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BA46B0"/>
    <w:rPr>
      <w:rFonts w:eastAsiaTheme="majorEastAsia" w:cstheme="majorBidi"/>
      <w:color w:val="272727" w:themeColor="text1" w:themeTint="D8"/>
    </w:rPr>
  </w:style>
  <w:style w:type="paragraph" w:styleId="Titre">
    <w:name w:val="Title"/>
    <w:basedOn w:val="Normal"/>
    <w:next w:val="Normal"/>
    <w:link w:val="TitreCar"/>
    <w:uiPriority w:val="10"/>
    <w:qFormat/>
    <w:rsid w:val="00BA46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BA46B0"/>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BA46B0"/>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BA46B0"/>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BA46B0"/>
    <w:pPr>
      <w:spacing w:before="160"/>
      <w:jc w:val="center"/>
    </w:pPr>
    <w:rPr>
      <w:i/>
      <w:iCs/>
      <w:color w:val="404040" w:themeColor="text1" w:themeTint="BF"/>
    </w:rPr>
  </w:style>
  <w:style w:type="character" w:customStyle="1" w:styleId="CitationCar">
    <w:name w:val="Citation Car"/>
    <w:basedOn w:val="Policepardfaut"/>
    <w:link w:val="Citation"/>
    <w:uiPriority w:val="29"/>
    <w:rsid w:val="00BA46B0"/>
    <w:rPr>
      <w:i/>
      <w:iCs/>
      <w:color w:val="404040" w:themeColor="text1" w:themeTint="BF"/>
    </w:rPr>
  </w:style>
  <w:style w:type="paragraph" w:styleId="Paragraphedeliste">
    <w:name w:val="List Paragraph"/>
    <w:basedOn w:val="Normal"/>
    <w:uiPriority w:val="34"/>
    <w:qFormat/>
    <w:rsid w:val="00BA46B0"/>
    <w:pPr>
      <w:ind w:left="720"/>
      <w:contextualSpacing/>
    </w:pPr>
  </w:style>
  <w:style w:type="character" w:styleId="Accentuationintense">
    <w:name w:val="Intense Emphasis"/>
    <w:basedOn w:val="Policepardfaut"/>
    <w:uiPriority w:val="21"/>
    <w:qFormat/>
    <w:rsid w:val="00BA46B0"/>
    <w:rPr>
      <w:i/>
      <w:iCs/>
      <w:color w:val="2F5496" w:themeColor="accent1" w:themeShade="BF"/>
    </w:rPr>
  </w:style>
  <w:style w:type="paragraph" w:styleId="Citationintense">
    <w:name w:val="Intense Quote"/>
    <w:basedOn w:val="Normal"/>
    <w:next w:val="Normal"/>
    <w:link w:val="CitationintenseCar"/>
    <w:uiPriority w:val="30"/>
    <w:qFormat/>
    <w:rsid w:val="00BA46B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BA46B0"/>
    <w:rPr>
      <w:i/>
      <w:iCs/>
      <w:color w:val="2F5496" w:themeColor="accent1" w:themeShade="BF"/>
    </w:rPr>
  </w:style>
  <w:style w:type="character" w:styleId="Rfrenceintense">
    <w:name w:val="Intense Reference"/>
    <w:basedOn w:val="Policepardfaut"/>
    <w:uiPriority w:val="32"/>
    <w:qFormat/>
    <w:rsid w:val="00BA46B0"/>
    <w:rPr>
      <w:b/>
      <w:bCs/>
      <w:smallCaps/>
      <w:color w:val="2F5496" w:themeColor="accent1" w:themeShade="BF"/>
      <w:spacing w:val="5"/>
    </w:rPr>
  </w:style>
  <w:style w:type="character" w:styleId="Marquedecommentaire">
    <w:name w:val="annotation reference"/>
    <w:basedOn w:val="Policepardfaut"/>
    <w:uiPriority w:val="99"/>
    <w:semiHidden/>
    <w:unhideWhenUsed/>
    <w:rsid w:val="007852C2"/>
    <w:rPr>
      <w:sz w:val="16"/>
      <w:szCs w:val="16"/>
    </w:rPr>
  </w:style>
  <w:style w:type="paragraph" w:styleId="Commentaire">
    <w:name w:val="annotation text"/>
    <w:basedOn w:val="Normal"/>
    <w:link w:val="CommentaireCar"/>
    <w:uiPriority w:val="99"/>
    <w:unhideWhenUsed/>
    <w:rsid w:val="007852C2"/>
    <w:pPr>
      <w:spacing w:line="240" w:lineRule="auto"/>
    </w:pPr>
    <w:rPr>
      <w:sz w:val="20"/>
      <w:szCs w:val="20"/>
    </w:rPr>
  </w:style>
  <w:style w:type="character" w:customStyle="1" w:styleId="CommentaireCar">
    <w:name w:val="Commentaire Car"/>
    <w:basedOn w:val="Policepardfaut"/>
    <w:link w:val="Commentaire"/>
    <w:uiPriority w:val="99"/>
    <w:rsid w:val="007852C2"/>
    <w:rPr>
      <w:sz w:val="20"/>
      <w:szCs w:val="20"/>
      <w:lang w:val="en-US"/>
    </w:rPr>
  </w:style>
  <w:style w:type="paragraph" w:styleId="Lgende">
    <w:name w:val="caption"/>
    <w:basedOn w:val="Normal"/>
    <w:next w:val="Normal"/>
    <w:uiPriority w:val="35"/>
    <w:unhideWhenUsed/>
    <w:qFormat/>
    <w:rsid w:val="007852C2"/>
    <w:pPr>
      <w:spacing w:after="200" w:line="240" w:lineRule="auto"/>
      <w:jc w:val="center"/>
    </w:pPr>
    <w:rPr>
      <w:i/>
      <w:iCs/>
    </w:rPr>
  </w:style>
  <w:style w:type="paragraph" w:customStyle="1" w:styleId="Default">
    <w:name w:val="Default"/>
    <w:rsid w:val="001B633D"/>
    <w:pPr>
      <w:autoSpaceDE w:val="0"/>
      <w:autoSpaceDN w:val="0"/>
      <w:adjustRightInd w:val="0"/>
      <w:spacing w:after="0" w:line="240" w:lineRule="auto"/>
    </w:pPr>
    <w:rPr>
      <w:rFonts w:ascii="Arial" w:hAnsi="Arial" w:cs="Arial"/>
      <w:color w:val="000000"/>
      <w:kern w:val="0"/>
      <w:sz w:val="24"/>
      <w:szCs w:val="24"/>
    </w:rPr>
  </w:style>
  <w:style w:type="paragraph" w:styleId="En-ttedetabledesmatires">
    <w:name w:val="TOC Heading"/>
    <w:basedOn w:val="Titre1"/>
    <w:next w:val="Normal"/>
    <w:uiPriority w:val="39"/>
    <w:unhideWhenUsed/>
    <w:qFormat/>
    <w:rsid w:val="00325B44"/>
    <w:pPr>
      <w:numPr>
        <w:numId w:val="0"/>
      </w:numPr>
      <w:spacing w:before="240" w:after="0"/>
      <w:outlineLvl w:val="9"/>
    </w:pPr>
    <w:rPr>
      <w:rFonts w:asciiTheme="majorHAnsi" w:hAnsiTheme="majorHAnsi" w:cstheme="majorBidi"/>
      <w:b w:val="0"/>
      <w:bCs w:val="0"/>
      <w:color w:val="2F5496" w:themeColor="accent1" w:themeShade="BF"/>
      <w:sz w:val="32"/>
      <w:szCs w:val="32"/>
      <w:lang w:val="fr-FR" w:eastAsia="fr-FR"/>
      <w14:ligatures w14:val="none"/>
    </w:rPr>
  </w:style>
  <w:style w:type="paragraph" w:styleId="TM1">
    <w:name w:val="toc 1"/>
    <w:basedOn w:val="Normal"/>
    <w:next w:val="Normal"/>
    <w:autoRedefine/>
    <w:uiPriority w:val="39"/>
    <w:unhideWhenUsed/>
    <w:rsid w:val="00325B44"/>
    <w:pPr>
      <w:spacing w:after="100"/>
    </w:pPr>
  </w:style>
  <w:style w:type="paragraph" w:styleId="TM2">
    <w:name w:val="toc 2"/>
    <w:basedOn w:val="Normal"/>
    <w:next w:val="Normal"/>
    <w:autoRedefine/>
    <w:uiPriority w:val="39"/>
    <w:unhideWhenUsed/>
    <w:rsid w:val="00325B44"/>
    <w:pPr>
      <w:spacing w:after="100"/>
      <w:ind w:left="220"/>
    </w:pPr>
  </w:style>
  <w:style w:type="character" w:styleId="Lienhypertexte">
    <w:name w:val="Hyperlink"/>
    <w:basedOn w:val="Policepardfaut"/>
    <w:uiPriority w:val="99"/>
    <w:unhideWhenUsed/>
    <w:rsid w:val="00325B44"/>
    <w:rPr>
      <w:color w:val="0563C1" w:themeColor="hyperlink"/>
      <w:u w:val="single"/>
    </w:rPr>
  </w:style>
  <w:style w:type="paragraph" w:styleId="TM3">
    <w:name w:val="toc 3"/>
    <w:basedOn w:val="Normal"/>
    <w:next w:val="Normal"/>
    <w:autoRedefine/>
    <w:uiPriority w:val="39"/>
    <w:unhideWhenUsed/>
    <w:rsid w:val="007A5067"/>
    <w:pPr>
      <w:spacing w:after="100"/>
      <w:ind w:left="440"/>
    </w:pPr>
  </w:style>
  <w:style w:type="paragraph" w:styleId="Bibliographie">
    <w:name w:val="Bibliography"/>
    <w:basedOn w:val="Normal"/>
    <w:next w:val="Normal"/>
    <w:uiPriority w:val="37"/>
    <w:unhideWhenUsed/>
    <w:rsid w:val="00381013"/>
    <w:pPr>
      <w:spacing w:after="0" w:line="480" w:lineRule="auto"/>
      <w:ind w:left="720" w:hanging="720"/>
    </w:pPr>
  </w:style>
  <w:style w:type="paragraph" w:styleId="Rvision">
    <w:name w:val="Revision"/>
    <w:hidden/>
    <w:uiPriority w:val="99"/>
    <w:semiHidden/>
    <w:rsid w:val="00EE494E"/>
    <w:pPr>
      <w:spacing w:after="0" w:line="240" w:lineRule="auto"/>
    </w:pPr>
  </w:style>
  <w:style w:type="paragraph" w:styleId="Objetducommentaire">
    <w:name w:val="annotation subject"/>
    <w:basedOn w:val="Commentaire"/>
    <w:next w:val="Commentaire"/>
    <w:link w:val="ObjetducommentaireCar"/>
    <w:uiPriority w:val="99"/>
    <w:semiHidden/>
    <w:unhideWhenUsed/>
    <w:rsid w:val="00EE494E"/>
    <w:rPr>
      <w:b/>
      <w:bCs/>
      <w:lang w:val="fr-FR"/>
    </w:rPr>
  </w:style>
  <w:style w:type="character" w:customStyle="1" w:styleId="ObjetducommentaireCar">
    <w:name w:val="Objet du commentaire Car"/>
    <w:basedOn w:val="CommentaireCar"/>
    <w:link w:val="Objetducommentaire"/>
    <w:uiPriority w:val="99"/>
    <w:semiHidden/>
    <w:rsid w:val="00EE494E"/>
    <w:rPr>
      <w:b/>
      <w:bCs/>
      <w:sz w:val="20"/>
      <w:szCs w:val="20"/>
      <w:lang w:val="en-US"/>
    </w:rPr>
  </w:style>
  <w:style w:type="character" w:styleId="Numrodeligne">
    <w:name w:val="line number"/>
    <w:basedOn w:val="Policepardfaut"/>
    <w:uiPriority w:val="99"/>
    <w:semiHidden/>
    <w:unhideWhenUsed/>
    <w:rsid w:val="00BE05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microsoft.com/office/2011/relationships/people" Target="people.xml"/><Relationship Id="rId3" Type="http://schemas.openxmlformats.org/officeDocument/2006/relationships/styles" Target="styles.xml"/><Relationship Id="rId7" Type="http://schemas.microsoft.com/office/2011/relationships/commentsExtended" Target="commentsExtended.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microsoft.com/office/2018/08/relationships/commentsExtensible" Target="commentsExtensible.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EAECCF-4006-4639-98F2-FD9836F045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12</Pages>
  <Words>11205</Words>
  <Characters>61628</Characters>
  <Application>Microsoft Office Word</Application>
  <DocSecurity>0</DocSecurity>
  <Lines>513</Lines>
  <Paragraphs>145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72688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Juliette Louvet</dc:creator>
  <cp:keywords/>
  <dc:description/>
  <cp:lastModifiedBy>Juliette Louvet</cp:lastModifiedBy>
  <cp:revision>12</cp:revision>
  <dcterms:created xsi:type="dcterms:W3CDTF">2024-11-16T21:52:00Z</dcterms:created>
  <dcterms:modified xsi:type="dcterms:W3CDTF">2025-05-31T14:52:00Z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id="tvFiDUVR"/&gt;&lt;style id="http://www.zotero.org/styles/apa" locale="fr-CA"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