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C05CB" w14:textId="77777777" w:rsidR="002752A7" w:rsidRPr="001B4C80" w:rsidRDefault="002752A7" w:rsidP="002752A7">
      <w:pPr>
        <w:numPr>
          <w:ilvl w:val="2"/>
          <w:numId w:val="2"/>
        </w:numPr>
        <w:tabs>
          <w:tab w:val="left" w:pos="27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b/>
          <w:bCs/>
          <w:kern w:val="0"/>
          <w:sz w:val="24"/>
          <w:szCs w:val="24"/>
          <w:lang w:val="en-US"/>
          <w14:ligatures w14:val="none"/>
        </w:rPr>
        <w:t>Patient Measure of Safety Questionnaire</w:t>
      </w:r>
    </w:p>
    <w:p w14:paraId="5896FB89" w14:textId="77777777" w:rsidR="002752A7" w:rsidRPr="001B4C80" w:rsidRDefault="002752A7" w:rsidP="002752A7">
      <w:pPr>
        <w:tabs>
          <w:tab w:val="left" w:pos="27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b/>
          <w:bCs/>
          <w:kern w:val="0"/>
          <w:sz w:val="24"/>
          <w:szCs w:val="24"/>
          <w:lang w:val="en-US"/>
          <w14:ligatures w14:val="none"/>
        </w:rPr>
        <w:t xml:space="preserve"> </w:t>
      </w:r>
      <w:r w:rsidRPr="001B4C80">
        <w:rPr>
          <w:rFonts w:ascii="Times New Roman" w:eastAsia="Calibri" w:hAnsi="Times New Roman" w:cs="Times New Roman"/>
          <w:kern w:val="0"/>
          <w:sz w:val="24"/>
          <w:szCs w:val="24"/>
          <w:lang w:val="en-US"/>
          <w14:ligatures w14:val="none"/>
        </w:rPr>
        <w:t xml:space="preserve">The PMOS questionnaire in this study offers a comprehensive evaluation of various aspects of patient and family experiences in healthcare settings beyond merely assessing perceptions of safety. This robust questionnaire encompasses 42 items that measure ten critical constructs, each relating to different dimensions of patient safety culture and healthcare experience </w:t>
      </w:r>
      <w:r w:rsidRPr="001B4C80">
        <w:rPr>
          <w:rFonts w:ascii="Times New Roman" w:eastAsia="Calibri" w:hAnsi="Times New Roman" w:cs="Times New Roman"/>
          <w:noProof/>
          <w:kern w:val="0"/>
          <w:sz w:val="24"/>
          <w:szCs w:val="24"/>
          <w:lang w:val="en-US"/>
          <w14:ligatures w14:val="none"/>
        </w:rPr>
        <w:t>(McEachan et al., 2013)</w:t>
      </w:r>
      <w:r w:rsidRPr="001B4C80">
        <w:rPr>
          <w:rFonts w:ascii="Times New Roman" w:eastAsia="Calibri" w:hAnsi="Times New Roman" w:cs="Times New Roman"/>
          <w:kern w:val="0"/>
          <w:sz w:val="24"/>
          <w:szCs w:val="24"/>
          <w:lang w:val="en-US"/>
          <w14:ligatures w14:val="none"/>
        </w:rPr>
        <w:t>. These constructs are:</w:t>
      </w:r>
    </w:p>
    <w:p w14:paraId="333C98DA" w14:textId="77777777" w:rsidR="002752A7" w:rsidRPr="001B4C80" w:rsidRDefault="002752A7" w:rsidP="002752A7">
      <w:pPr>
        <w:numPr>
          <w:ilvl w:val="0"/>
          <w:numId w:val="1"/>
        </w:numPr>
        <w:tabs>
          <w:tab w:val="left" w:pos="27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Dignity (one item)</w:t>
      </w:r>
    </w:p>
    <w:p w14:paraId="36C0B41E" w14:textId="77777777" w:rsidR="002752A7" w:rsidRPr="001B4C80" w:rsidRDefault="002752A7" w:rsidP="002752A7">
      <w:pPr>
        <w:numPr>
          <w:ilvl w:val="0"/>
          <w:numId w:val="1"/>
        </w:numPr>
        <w:tabs>
          <w:tab w:val="left" w:pos="27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Communication and Teamwork (8 items)</w:t>
      </w:r>
    </w:p>
    <w:p w14:paraId="19CAC355" w14:textId="77777777" w:rsidR="002752A7" w:rsidRPr="001B4C80" w:rsidRDefault="002752A7" w:rsidP="002752A7">
      <w:pPr>
        <w:numPr>
          <w:ilvl w:val="0"/>
          <w:numId w:val="1"/>
        </w:numPr>
        <w:tabs>
          <w:tab w:val="left" w:pos="27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Organization and Care Planning (5 items)</w:t>
      </w:r>
    </w:p>
    <w:p w14:paraId="12B464F4" w14:textId="77777777" w:rsidR="002752A7" w:rsidRPr="001B4C80" w:rsidRDefault="002752A7" w:rsidP="002752A7">
      <w:pPr>
        <w:numPr>
          <w:ilvl w:val="0"/>
          <w:numId w:val="1"/>
        </w:numPr>
        <w:tabs>
          <w:tab w:val="left" w:pos="27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Ward Type and Layout (11 items)</w:t>
      </w:r>
    </w:p>
    <w:p w14:paraId="2D91ACA6" w14:textId="77777777" w:rsidR="002752A7" w:rsidRPr="001B4C80" w:rsidRDefault="002752A7" w:rsidP="002752A7">
      <w:pPr>
        <w:numPr>
          <w:ilvl w:val="0"/>
          <w:numId w:val="1"/>
        </w:numPr>
        <w:tabs>
          <w:tab w:val="left" w:pos="27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Equipment (2 items)</w:t>
      </w:r>
    </w:p>
    <w:p w14:paraId="48992523" w14:textId="77777777" w:rsidR="002752A7" w:rsidRPr="001B4C80" w:rsidRDefault="002752A7" w:rsidP="002752A7">
      <w:pPr>
        <w:numPr>
          <w:ilvl w:val="0"/>
          <w:numId w:val="1"/>
        </w:numPr>
        <w:tabs>
          <w:tab w:val="left" w:pos="27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Roles and Responsibilities (4 items)</w:t>
      </w:r>
    </w:p>
    <w:p w14:paraId="36327879" w14:textId="77777777" w:rsidR="002752A7" w:rsidRPr="001B4C80" w:rsidRDefault="002752A7" w:rsidP="002752A7">
      <w:pPr>
        <w:numPr>
          <w:ilvl w:val="0"/>
          <w:numId w:val="1"/>
        </w:numPr>
        <w:tabs>
          <w:tab w:val="left" w:pos="27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Access to Resources (4 items)</w:t>
      </w:r>
    </w:p>
    <w:p w14:paraId="49447BBE" w14:textId="77777777" w:rsidR="002752A7" w:rsidRPr="001B4C80" w:rsidRDefault="002752A7" w:rsidP="002752A7">
      <w:pPr>
        <w:numPr>
          <w:ilvl w:val="0"/>
          <w:numId w:val="1"/>
        </w:numPr>
        <w:tabs>
          <w:tab w:val="left" w:pos="27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Information Flow (3 items)</w:t>
      </w:r>
    </w:p>
    <w:p w14:paraId="634C144B" w14:textId="77777777" w:rsidR="002752A7" w:rsidRPr="001B4C80" w:rsidRDefault="002752A7" w:rsidP="002752A7">
      <w:pPr>
        <w:numPr>
          <w:ilvl w:val="0"/>
          <w:numId w:val="1"/>
        </w:numPr>
        <w:tabs>
          <w:tab w:val="left" w:pos="27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Staff Training (2 items)</w:t>
      </w:r>
    </w:p>
    <w:p w14:paraId="78B36D24" w14:textId="77777777" w:rsidR="002752A7" w:rsidRPr="001B4C80" w:rsidRDefault="002752A7" w:rsidP="002752A7">
      <w:pPr>
        <w:numPr>
          <w:ilvl w:val="0"/>
          <w:numId w:val="1"/>
        </w:numPr>
        <w:tabs>
          <w:tab w:val="left" w:pos="270"/>
          <w:tab w:val="left" w:pos="450"/>
        </w:tabs>
        <w:spacing w:line="480" w:lineRule="auto"/>
        <w:ind w:left="180"/>
        <w:contextualSpacing/>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Delays (2 items)</w:t>
      </w:r>
    </w:p>
    <w:p w14:paraId="166EED80" w14:textId="77777777" w:rsidR="002752A7" w:rsidRPr="001B4C80" w:rsidRDefault="002752A7" w:rsidP="002752A7">
      <w:pPr>
        <w:spacing w:line="480" w:lineRule="auto"/>
        <w:ind w:left="180"/>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 xml:space="preserve">In the PMOS scale developed and validated by McEachan et al. in 2013, scoring is conducted through a dual approach. Firstly, the mean score for each construct within the scale is calculated. This involves averaging the responses for all the items that constitute a particular safety domain, thereby providing specific insight into various dimensions of patient safety as perceived by patients. Secondly, the PMOS Positive Index is determined by counting the number of positive responses for each item across the questionnaire. A positive reaction is denoted by either 'strongly agree' or 'agree' for positively worded items and 'strongly disagree' </w:t>
      </w:r>
      <w:r w:rsidRPr="001B4C80">
        <w:rPr>
          <w:rFonts w:ascii="Times New Roman" w:eastAsia="Calibri" w:hAnsi="Times New Roman" w:cs="Times New Roman"/>
          <w:kern w:val="0"/>
          <w:sz w:val="24"/>
          <w:szCs w:val="24"/>
          <w:lang w:val="en-US"/>
          <w14:ligatures w14:val="none"/>
        </w:rPr>
        <w:lastRenderedPageBreak/>
        <w:t>or 'disagree' for negatively worded items. This index is then calculated by averaging these positive responses, giving an overall indication of patient-perceived safety. The cutoff point for this index is set at 21, as per McEachan et al. (2013), indicating that scores below this threshold are considered low, reflecting a lesser agreement with positive safety perceptions. Conversely, scores above this threshold suggest a higher level of agreement and, consequently, a more favorable perception of safety. This scoring system is significant because it encompasses 42 possible positive responses, offering a comprehensive measure of patient safety perception in hospital settings.</w:t>
      </w:r>
    </w:p>
    <w:p w14:paraId="3899FEDF" w14:textId="77777777" w:rsidR="002752A7" w:rsidRPr="006145E1" w:rsidRDefault="002752A7" w:rsidP="002752A7">
      <w:pPr>
        <w:spacing w:line="480" w:lineRule="auto"/>
        <w:ind w:left="180"/>
        <w:rPr>
          <w:rFonts w:ascii="Times New Roman" w:eastAsia="Calibri" w:hAnsi="Times New Roman" w:cs="Times New Roman"/>
          <w:kern w:val="0"/>
          <w:sz w:val="24"/>
          <w:szCs w:val="24"/>
          <w:lang w:val="en-US"/>
          <w14:ligatures w14:val="none"/>
        </w:rPr>
      </w:pPr>
      <w:r w:rsidRPr="001B4C80">
        <w:rPr>
          <w:rFonts w:ascii="Times New Roman" w:eastAsia="Calibri" w:hAnsi="Times New Roman" w:cs="Times New Roman"/>
          <w:kern w:val="0"/>
          <w:sz w:val="24"/>
          <w:szCs w:val="24"/>
          <w:lang w:val="en-US"/>
          <w14:ligatures w14:val="none"/>
        </w:rPr>
        <w:t xml:space="preserve">McEachan et al. (2013) assessed the PMOS for reliability and validity in a study involving 297 patients from 11 hospital wards. Factor analysis revealed ten critical safety domains, explaining 58% of the variance in the questionnaire. The PMOS demonstrated good internal consistency, with Cronbach's alpha coefficients ranging from 0.66 to 0.89. Test-retest reliability was also satisfactory, with a correlation coefficient of 0.75. Convergent validity was established through significant correlations between the PMOS positive index and staff-reported perceptions of patient safety and grade. The PMOS showed discriminant validity, differentiating significantly across the 11 hospital wards. The PMOS demonstrated acceptable reliability and validity, making it a valuable tool for assessing patient perceptions of safety in hospital settings </w:t>
      </w:r>
      <w:r w:rsidRPr="001B4C80">
        <w:rPr>
          <w:rFonts w:ascii="Times New Roman" w:eastAsia="Calibri" w:hAnsi="Times New Roman" w:cs="Times New Roman"/>
          <w:noProof/>
          <w:kern w:val="0"/>
          <w:sz w:val="24"/>
          <w:szCs w:val="24"/>
          <w:lang w:val="en-US"/>
          <w14:ligatures w14:val="none"/>
        </w:rPr>
        <w:t>(McEachan et al., 2013)</w:t>
      </w:r>
      <w:r w:rsidRPr="001B4C80">
        <w:rPr>
          <w:rFonts w:ascii="Times New Roman" w:eastAsia="Calibri" w:hAnsi="Times New Roman" w:cs="Times New Roman"/>
          <w:kern w:val="0"/>
          <w:sz w:val="24"/>
          <w:szCs w:val="24"/>
          <w:lang w:val="en-US"/>
          <w14:ligatures w14:val="none"/>
        </w:rPr>
        <w:t xml:space="preserve">. Additionally, </w:t>
      </w:r>
      <w:r w:rsidRPr="001B4C80">
        <w:rPr>
          <w:rFonts w:ascii="Times New Roman" w:eastAsia="Calibri" w:hAnsi="Times New Roman" w:cs="Times New Roman"/>
          <w:noProof/>
          <w:kern w:val="0"/>
          <w:sz w:val="24"/>
          <w:szCs w:val="24"/>
          <w:lang w:val="en-US"/>
          <w14:ligatures w14:val="none"/>
        </w:rPr>
        <w:t>Giles et al. (2019)</w:t>
      </w:r>
      <w:r w:rsidRPr="001B4C80">
        <w:rPr>
          <w:rFonts w:ascii="Times New Roman" w:eastAsia="Calibri" w:hAnsi="Times New Roman" w:cs="Times New Roman"/>
          <w:kern w:val="0"/>
          <w:sz w:val="24"/>
          <w:szCs w:val="24"/>
          <w:lang w:val="en-US"/>
          <w14:ligatures w14:val="none"/>
        </w:rPr>
        <w:t xml:space="preserve"> reported solid internal reliability with a Cronbach's alpha coefficient of 0.93 for the instrument.</w:t>
      </w:r>
      <w:r w:rsidRPr="006145E1">
        <w:rPr>
          <w:rFonts w:ascii="Times New Roman" w:eastAsia="Calibri" w:hAnsi="Times New Roman" w:cs="Times New Roman"/>
          <w:kern w:val="0"/>
          <w:sz w:val="24"/>
          <w:szCs w:val="24"/>
          <w:lang w:val="en-US"/>
          <w14:ligatures w14:val="none"/>
        </w:rPr>
        <w:t xml:space="preserve"> </w:t>
      </w:r>
    </w:p>
    <w:p w14:paraId="06D393C5" w14:textId="77777777" w:rsidR="002752A7" w:rsidRPr="006145E1" w:rsidRDefault="002752A7" w:rsidP="002752A7">
      <w:pPr>
        <w:spacing w:line="480" w:lineRule="auto"/>
        <w:rPr>
          <w:rFonts w:asciiTheme="majorBidi" w:hAnsiTheme="majorBidi" w:cstheme="majorBidi"/>
          <w:sz w:val="24"/>
          <w:szCs w:val="24"/>
          <w:lang w:val="en-US"/>
        </w:rPr>
      </w:pPr>
    </w:p>
    <w:p w14:paraId="03B99FC6"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B07A1A"/>
    <w:multiLevelType w:val="multilevel"/>
    <w:tmpl w:val="7BB8D58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76C546BD"/>
    <w:multiLevelType w:val="hybridMultilevel"/>
    <w:tmpl w:val="0D885A10"/>
    <w:lvl w:ilvl="0" w:tplc="CE4E3044">
      <w:start w:val="1"/>
      <w:numFmt w:val="decimal"/>
      <w:lvlText w:val="%1."/>
      <w:lvlJc w:val="left"/>
      <w:pPr>
        <w:ind w:left="720" w:hanging="360"/>
      </w:pPr>
    </w:lvl>
    <w:lvl w:ilvl="1" w:tplc="120A736C">
      <w:start w:val="1"/>
      <w:numFmt w:val="lowerLetter"/>
      <w:lvlText w:val="%2."/>
      <w:lvlJc w:val="left"/>
      <w:pPr>
        <w:ind w:left="1440" w:hanging="360"/>
      </w:pPr>
    </w:lvl>
    <w:lvl w:ilvl="2" w:tplc="58B81B6C">
      <w:start w:val="1"/>
      <w:numFmt w:val="lowerRoman"/>
      <w:lvlText w:val="%3."/>
      <w:lvlJc w:val="right"/>
      <w:pPr>
        <w:ind w:left="2160" w:hanging="180"/>
      </w:pPr>
    </w:lvl>
    <w:lvl w:ilvl="3" w:tplc="604CE2F8">
      <w:start w:val="1"/>
      <w:numFmt w:val="decimal"/>
      <w:lvlText w:val="%4."/>
      <w:lvlJc w:val="left"/>
      <w:pPr>
        <w:ind w:left="2880" w:hanging="360"/>
      </w:pPr>
    </w:lvl>
    <w:lvl w:ilvl="4" w:tplc="D5D03334">
      <w:start w:val="1"/>
      <w:numFmt w:val="lowerLetter"/>
      <w:lvlText w:val="%5."/>
      <w:lvlJc w:val="left"/>
      <w:pPr>
        <w:ind w:left="3600" w:hanging="360"/>
      </w:pPr>
    </w:lvl>
    <w:lvl w:ilvl="5" w:tplc="980803F4">
      <w:start w:val="1"/>
      <w:numFmt w:val="lowerRoman"/>
      <w:lvlText w:val="%6."/>
      <w:lvlJc w:val="right"/>
      <w:pPr>
        <w:ind w:left="4320" w:hanging="180"/>
      </w:pPr>
    </w:lvl>
    <w:lvl w:ilvl="6" w:tplc="FDDA2CDC">
      <w:start w:val="1"/>
      <w:numFmt w:val="decimal"/>
      <w:lvlText w:val="%7."/>
      <w:lvlJc w:val="left"/>
      <w:pPr>
        <w:ind w:left="5040" w:hanging="360"/>
      </w:pPr>
    </w:lvl>
    <w:lvl w:ilvl="7" w:tplc="67C44F7C">
      <w:start w:val="1"/>
      <w:numFmt w:val="lowerLetter"/>
      <w:lvlText w:val="%8."/>
      <w:lvlJc w:val="left"/>
      <w:pPr>
        <w:ind w:left="5760" w:hanging="360"/>
      </w:pPr>
    </w:lvl>
    <w:lvl w:ilvl="8" w:tplc="BACCC672">
      <w:start w:val="1"/>
      <w:numFmt w:val="lowerRoman"/>
      <w:lvlText w:val="%9."/>
      <w:lvlJc w:val="right"/>
      <w:pPr>
        <w:ind w:left="6480" w:hanging="180"/>
      </w:pPr>
    </w:lvl>
  </w:abstractNum>
  <w:num w:numId="1" w16cid:durableId="5232066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130665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2A7"/>
    <w:rsid w:val="002752A7"/>
    <w:rsid w:val="002E281E"/>
    <w:rsid w:val="003201BB"/>
    <w:rsid w:val="00865217"/>
    <w:rsid w:val="00F356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13B63"/>
  <w15:chartTrackingRefBased/>
  <w15:docId w15:val="{BCA35FEA-E22E-4AE0-9A1E-0EDACFA9B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2A7"/>
    <w:pPr>
      <w:spacing w:line="259" w:lineRule="auto"/>
    </w:pPr>
    <w:rPr>
      <w:sz w:val="22"/>
      <w:szCs w:val="22"/>
      <w:lang w:val="en-MY"/>
    </w:rPr>
  </w:style>
  <w:style w:type="paragraph" w:styleId="Heading1">
    <w:name w:val="heading 1"/>
    <w:basedOn w:val="Normal"/>
    <w:next w:val="Normal"/>
    <w:link w:val="Heading1Char"/>
    <w:uiPriority w:val="9"/>
    <w:qFormat/>
    <w:rsid w:val="002752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52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52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52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52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52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52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52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52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52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52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52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52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52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52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52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52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52A7"/>
    <w:rPr>
      <w:rFonts w:eastAsiaTheme="majorEastAsia" w:cstheme="majorBidi"/>
      <w:color w:val="272727" w:themeColor="text1" w:themeTint="D8"/>
    </w:rPr>
  </w:style>
  <w:style w:type="paragraph" w:styleId="Title">
    <w:name w:val="Title"/>
    <w:basedOn w:val="Normal"/>
    <w:next w:val="Normal"/>
    <w:link w:val="TitleChar"/>
    <w:uiPriority w:val="10"/>
    <w:qFormat/>
    <w:rsid w:val="002752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52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52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52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52A7"/>
    <w:pPr>
      <w:spacing w:before="160"/>
      <w:jc w:val="center"/>
    </w:pPr>
    <w:rPr>
      <w:i/>
      <w:iCs/>
      <w:color w:val="404040" w:themeColor="text1" w:themeTint="BF"/>
    </w:rPr>
  </w:style>
  <w:style w:type="character" w:customStyle="1" w:styleId="QuoteChar">
    <w:name w:val="Quote Char"/>
    <w:basedOn w:val="DefaultParagraphFont"/>
    <w:link w:val="Quote"/>
    <w:uiPriority w:val="29"/>
    <w:rsid w:val="002752A7"/>
    <w:rPr>
      <w:i/>
      <w:iCs/>
      <w:color w:val="404040" w:themeColor="text1" w:themeTint="BF"/>
    </w:rPr>
  </w:style>
  <w:style w:type="paragraph" w:styleId="ListParagraph">
    <w:name w:val="List Paragraph"/>
    <w:basedOn w:val="Normal"/>
    <w:uiPriority w:val="34"/>
    <w:qFormat/>
    <w:rsid w:val="002752A7"/>
    <w:pPr>
      <w:ind w:left="720"/>
      <w:contextualSpacing/>
    </w:pPr>
  </w:style>
  <w:style w:type="character" w:styleId="IntenseEmphasis">
    <w:name w:val="Intense Emphasis"/>
    <w:basedOn w:val="DefaultParagraphFont"/>
    <w:uiPriority w:val="21"/>
    <w:qFormat/>
    <w:rsid w:val="002752A7"/>
    <w:rPr>
      <w:i/>
      <w:iCs/>
      <w:color w:val="0F4761" w:themeColor="accent1" w:themeShade="BF"/>
    </w:rPr>
  </w:style>
  <w:style w:type="paragraph" w:styleId="IntenseQuote">
    <w:name w:val="Intense Quote"/>
    <w:basedOn w:val="Normal"/>
    <w:next w:val="Normal"/>
    <w:link w:val="IntenseQuoteChar"/>
    <w:uiPriority w:val="30"/>
    <w:qFormat/>
    <w:rsid w:val="002752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52A7"/>
    <w:rPr>
      <w:i/>
      <w:iCs/>
      <w:color w:val="0F4761" w:themeColor="accent1" w:themeShade="BF"/>
    </w:rPr>
  </w:style>
  <w:style w:type="character" w:styleId="IntenseReference">
    <w:name w:val="Intense Reference"/>
    <w:basedOn w:val="DefaultParagraphFont"/>
    <w:uiPriority w:val="32"/>
    <w:qFormat/>
    <w:rsid w:val="002752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459</Words>
  <Characters>2619</Characters>
  <Application>Microsoft Office Word</Application>
  <DocSecurity>0</DocSecurity>
  <Lines>21</Lines>
  <Paragraphs>6</Paragraphs>
  <ScaleCrop>false</ScaleCrop>
  <Company>Springer Nature</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2025-09-02T08:32:00Z</dcterms:created>
  <dcterms:modified xsi:type="dcterms:W3CDTF">2025-09-02T08:32:00Z</dcterms:modified>
</cp:coreProperties>
</file>