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D95" w:rsidRPr="001C7974" w:rsidRDefault="000B5D95" w:rsidP="000B5D95">
      <w:pPr>
        <w:pStyle w:val="Default"/>
        <w:jc w:val="center"/>
        <w:rPr>
          <w:b/>
          <w:bCs/>
          <w:color w:val="auto"/>
        </w:rPr>
      </w:pPr>
      <w:r w:rsidRPr="001C7974">
        <w:rPr>
          <w:b/>
          <w:bCs/>
          <w:color w:val="auto"/>
        </w:rPr>
        <w:t>Supplementary material</w:t>
      </w:r>
    </w:p>
    <w:p w:rsidR="000B5D95" w:rsidRPr="001C7974" w:rsidRDefault="000B5D95" w:rsidP="000B5D95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1C7974">
        <w:rPr>
          <w:sz w:val="22"/>
          <w:szCs w:val="22"/>
        </w:rPr>
        <w:t>Supplementary Figures</w:t>
      </w:r>
    </w:p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  <w:bookmarkStart w:id="0" w:name="_Toc525738430"/>
    </w:p>
    <w:p w:rsidR="000B5D95" w:rsidRPr="001C7974" w:rsidRDefault="000B5D95" w:rsidP="000B5D95">
      <w:pPr>
        <w:keepNext/>
        <w:spacing w:after="160" w:line="360" w:lineRule="auto"/>
        <w:jc w:val="both"/>
      </w:pPr>
      <w:r w:rsidRPr="001C7974">
        <w:rPr>
          <w:noProof/>
        </w:rPr>
        <w:drawing>
          <wp:inline distT="0" distB="0" distL="0" distR="0">
            <wp:extent cx="5988846" cy="5049795"/>
            <wp:effectExtent l="19050" t="0" r="0" b="0"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16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414" cy="5050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jc w:val="center"/>
        <w:rPr>
          <w:b w:val="0"/>
          <w:bCs w:val="0"/>
          <w:i/>
          <w:color w:val="auto"/>
          <w:sz w:val="22"/>
          <w:szCs w:val="22"/>
        </w:rPr>
      </w:pPr>
      <w:bookmarkStart w:id="1" w:name="_Toc49593382"/>
      <w:r w:rsidRPr="001C7974">
        <w:rPr>
          <w:b w:val="0"/>
          <w:i/>
          <w:color w:val="auto"/>
          <w:sz w:val="22"/>
          <w:szCs w:val="22"/>
        </w:rPr>
        <w:t xml:space="preserve">Figure </w:t>
      </w:r>
      <w:r w:rsidRPr="001C7974">
        <w:rPr>
          <w:b w:val="0"/>
          <w:i/>
          <w:color w:val="auto"/>
          <w:sz w:val="22"/>
          <w:szCs w:val="22"/>
        </w:rPr>
        <w:fldChar w:fldCharType="begin"/>
      </w:r>
      <w:r w:rsidRPr="001C7974">
        <w:rPr>
          <w:b w:val="0"/>
          <w:i/>
          <w:color w:val="auto"/>
          <w:sz w:val="22"/>
          <w:szCs w:val="22"/>
        </w:rPr>
        <w:instrText xml:space="preserve"> SEQ Figure \* ARABIC </w:instrText>
      </w:r>
      <w:r w:rsidRPr="001C7974">
        <w:rPr>
          <w:b w:val="0"/>
          <w:i/>
          <w:color w:val="auto"/>
          <w:sz w:val="22"/>
          <w:szCs w:val="22"/>
        </w:rPr>
        <w:fldChar w:fldCharType="separate"/>
      </w:r>
      <w:r w:rsidRPr="001C7974">
        <w:rPr>
          <w:b w:val="0"/>
          <w:i/>
          <w:noProof/>
          <w:color w:val="auto"/>
          <w:sz w:val="22"/>
          <w:szCs w:val="22"/>
        </w:rPr>
        <w:t>3</w:t>
      </w:r>
      <w:r w:rsidRPr="001C7974">
        <w:rPr>
          <w:b w:val="0"/>
          <w:i/>
          <w:color w:val="auto"/>
          <w:sz w:val="22"/>
          <w:szCs w:val="22"/>
        </w:rPr>
        <w:fldChar w:fldCharType="end"/>
      </w:r>
      <w:bookmarkStart w:id="2" w:name="_Toc44955479"/>
      <w:r w:rsidRPr="001C7974">
        <w:t xml:space="preserve"> </w:t>
      </w:r>
      <w:r w:rsidRPr="001C7974">
        <w:rPr>
          <w:b w:val="0"/>
          <w:bCs w:val="0"/>
          <w:i/>
          <w:color w:val="auto"/>
          <w:sz w:val="22"/>
          <w:szCs w:val="22"/>
        </w:rPr>
        <w:t>Slope map of the study area</w:t>
      </w:r>
      <w:bookmarkEnd w:id="1"/>
      <w:bookmarkEnd w:id="2"/>
    </w:p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</w:p>
    <w:p w:rsidR="000B5D95" w:rsidRPr="001C7974" w:rsidRDefault="000B5D95" w:rsidP="000B5D95">
      <w:pPr>
        <w:pStyle w:val="Heading2"/>
        <w:spacing w:before="0" w:after="200" w:line="360" w:lineRule="auto"/>
        <w:ind w:left="648" w:hanging="648"/>
        <w:jc w:val="both"/>
        <w:rPr>
          <w:rFonts w:ascii="Times New Roman" w:hAnsi="Times New Roman" w:cs="Times New Roman"/>
        </w:rPr>
      </w:pPr>
      <w:bookmarkStart w:id="3" w:name="_Toc44955480"/>
      <w:r w:rsidRPr="001C7974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38795" cy="5329881"/>
            <wp:effectExtent l="19050" t="0" r="4805" b="0"/>
            <wp:docPr id="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10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826" cy="5335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jc w:val="center"/>
        <w:rPr>
          <w:b w:val="0"/>
          <w:i/>
          <w:color w:val="auto"/>
          <w:sz w:val="22"/>
          <w:szCs w:val="22"/>
        </w:rPr>
      </w:pPr>
      <w:bookmarkStart w:id="4" w:name="_Toc49593383"/>
      <w:r w:rsidRPr="001C7974">
        <w:rPr>
          <w:b w:val="0"/>
          <w:i/>
          <w:color w:val="auto"/>
          <w:sz w:val="22"/>
          <w:szCs w:val="22"/>
        </w:rPr>
        <w:t xml:space="preserve">Figure </w:t>
      </w:r>
      <w:r w:rsidRPr="001C7974">
        <w:rPr>
          <w:b w:val="0"/>
          <w:i/>
          <w:color w:val="auto"/>
          <w:sz w:val="22"/>
          <w:szCs w:val="22"/>
        </w:rPr>
        <w:fldChar w:fldCharType="begin"/>
      </w:r>
      <w:r w:rsidRPr="001C7974">
        <w:rPr>
          <w:b w:val="0"/>
          <w:i/>
          <w:color w:val="auto"/>
          <w:sz w:val="22"/>
          <w:szCs w:val="22"/>
        </w:rPr>
        <w:instrText xml:space="preserve"> SEQ Figure \* ARABIC </w:instrText>
      </w:r>
      <w:r w:rsidRPr="001C7974">
        <w:rPr>
          <w:b w:val="0"/>
          <w:i/>
          <w:color w:val="auto"/>
          <w:sz w:val="22"/>
          <w:szCs w:val="22"/>
        </w:rPr>
        <w:fldChar w:fldCharType="separate"/>
      </w:r>
      <w:r w:rsidRPr="001C7974">
        <w:rPr>
          <w:b w:val="0"/>
          <w:i/>
          <w:noProof/>
          <w:color w:val="auto"/>
          <w:sz w:val="22"/>
          <w:szCs w:val="22"/>
        </w:rPr>
        <w:t>4</w:t>
      </w:r>
      <w:r w:rsidRPr="001C7974">
        <w:rPr>
          <w:b w:val="0"/>
          <w:i/>
          <w:color w:val="auto"/>
          <w:sz w:val="22"/>
          <w:szCs w:val="22"/>
        </w:rPr>
        <w:fldChar w:fldCharType="end"/>
      </w:r>
      <w:r w:rsidRPr="001C7974">
        <w:rPr>
          <w:color w:val="auto"/>
        </w:rPr>
        <w:t xml:space="preserve"> </w:t>
      </w:r>
      <w:r w:rsidRPr="001C7974">
        <w:rPr>
          <w:b w:val="0"/>
          <w:i/>
          <w:color w:val="auto"/>
          <w:sz w:val="22"/>
          <w:szCs w:val="22"/>
        </w:rPr>
        <w:t>Aspect map of the study area</w:t>
      </w:r>
      <w:bookmarkEnd w:id="3"/>
      <w:bookmarkEnd w:id="4"/>
    </w:p>
    <w:p w:rsidR="000B5D95" w:rsidRPr="001C7974" w:rsidRDefault="000B5D95" w:rsidP="000B5D95">
      <w:pPr>
        <w:pStyle w:val="Heading2"/>
        <w:spacing w:before="0" w:after="200" w:line="360" w:lineRule="auto"/>
        <w:jc w:val="center"/>
        <w:rPr>
          <w:rFonts w:ascii="Times New Roman" w:hAnsi="Times New Roman" w:cs="Times New Roman"/>
        </w:rPr>
      </w:pPr>
      <w:r w:rsidRPr="001C7974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2073361" cy="2041039"/>
            <wp:effectExtent l="19050" t="0" r="3089" b="0"/>
            <wp:docPr id="29" name="Picture 1" descr="E:\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679" cy="205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jc w:val="center"/>
        <w:rPr>
          <w:b w:val="0"/>
          <w:i/>
          <w:color w:val="auto"/>
          <w:sz w:val="20"/>
          <w:szCs w:val="20"/>
        </w:rPr>
      </w:pPr>
      <w:bookmarkStart w:id="5" w:name="_Toc49593388"/>
      <w:r w:rsidRPr="001C7974">
        <w:rPr>
          <w:b w:val="0"/>
          <w:i/>
          <w:color w:val="auto"/>
          <w:sz w:val="20"/>
          <w:szCs w:val="20"/>
        </w:rPr>
        <w:t xml:space="preserve">Figure </w:t>
      </w:r>
      <w:bookmarkStart w:id="6" w:name="_Toc530550622"/>
      <w:bookmarkStart w:id="7" w:name="_Toc515089295"/>
      <w:bookmarkStart w:id="8" w:name="_Toc44955491"/>
      <w:r w:rsidRPr="001C7974">
        <w:rPr>
          <w:b w:val="0"/>
          <w:i/>
          <w:color w:val="auto"/>
          <w:sz w:val="20"/>
          <w:szCs w:val="20"/>
        </w:rPr>
        <w:t>6</w:t>
      </w:r>
      <w:r w:rsidRPr="001C7974">
        <w:rPr>
          <w:b w:val="0"/>
          <w:color w:val="auto"/>
          <w:sz w:val="20"/>
          <w:szCs w:val="20"/>
        </w:rPr>
        <w:t xml:space="preserve">: The six </w:t>
      </w:r>
      <w:bookmarkEnd w:id="6"/>
      <w:bookmarkEnd w:id="7"/>
      <w:r w:rsidRPr="001C7974">
        <w:rPr>
          <w:b w:val="0"/>
          <w:color w:val="auto"/>
          <w:sz w:val="20"/>
          <w:szCs w:val="20"/>
        </w:rPr>
        <w:t>major normal faults plotted on Rose diagram and they illustrated a mirror reflection to each other</w:t>
      </w:r>
      <w:bookmarkEnd w:id="5"/>
      <w:bookmarkEnd w:id="8"/>
      <w:r w:rsidRPr="001C7974">
        <w:rPr>
          <w:b w:val="0"/>
          <w:color w:val="auto"/>
          <w:sz w:val="20"/>
          <w:szCs w:val="20"/>
        </w:rPr>
        <w:t xml:space="preserve"> </w:t>
      </w:r>
    </w:p>
    <w:p w:rsidR="000B5D95" w:rsidRPr="001C7974" w:rsidRDefault="000B5D95" w:rsidP="000B5D95">
      <w:pPr>
        <w:shd w:val="clear" w:color="auto" w:fill="FFFFFF"/>
        <w:spacing w:before="100" w:beforeAutospacing="1" w:after="24" w:line="360" w:lineRule="auto"/>
        <w:jc w:val="both"/>
      </w:pPr>
      <w:r w:rsidRPr="001C7974">
        <w:rPr>
          <w:noProof/>
        </w:rPr>
        <w:lastRenderedPageBreak/>
        <w:drawing>
          <wp:inline distT="0" distB="0" distL="0" distR="0">
            <wp:extent cx="6029826" cy="7356389"/>
            <wp:effectExtent l="19050" t="0" r="9024" b="0"/>
            <wp:docPr id="30" name="Picture 4" descr="C:\Users\dmu\Desktop\m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mu\Desktop\mm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657" t="17536" r="5125" b="14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769" cy="7359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ind w:left="720" w:hanging="720"/>
        <w:jc w:val="both"/>
        <w:rPr>
          <w:b w:val="0"/>
          <w:i/>
          <w:color w:val="auto"/>
          <w:sz w:val="22"/>
          <w:szCs w:val="22"/>
        </w:rPr>
      </w:pPr>
      <w:bookmarkStart w:id="9" w:name="_Toc49593389"/>
      <w:proofErr w:type="gramStart"/>
      <w:r w:rsidRPr="001C7974">
        <w:rPr>
          <w:b w:val="0"/>
          <w:i/>
          <w:color w:val="auto"/>
          <w:sz w:val="22"/>
          <w:szCs w:val="22"/>
        </w:rPr>
        <w:t xml:space="preserve">Figure7  </w:t>
      </w:r>
      <w:bookmarkStart w:id="10" w:name="_Toc44955492"/>
      <w:r w:rsidRPr="001C7974">
        <w:rPr>
          <w:b w:val="0"/>
          <w:i/>
          <w:color w:val="auto"/>
          <w:sz w:val="22"/>
          <w:szCs w:val="22"/>
        </w:rPr>
        <w:t>T</w:t>
      </w:r>
      <w:r w:rsidRPr="001C7974">
        <w:rPr>
          <w:b w:val="0"/>
          <w:i/>
          <w:iCs/>
          <w:color w:val="auto"/>
          <w:sz w:val="22"/>
          <w:szCs w:val="22"/>
        </w:rPr>
        <w:t>he</w:t>
      </w:r>
      <w:proofErr w:type="gramEnd"/>
      <w:r w:rsidRPr="001C7974">
        <w:rPr>
          <w:b w:val="0"/>
          <w:i/>
          <w:iCs/>
          <w:color w:val="auto"/>
          <w:sz w:val="22"/>
          <w:szCs w:val="22"/>
        </w:rPr>
        <w:t xml:space="preserve"> correlation of local geology (Fig b) to the </w:t>
      </w:r>
      <w:r w:rsidRPr="001C7974">
        <w:rPr>
          <w:b w:val="0"/>
          <w:i/>
          <w:color w:val="auto"/>
          <w:sz w:val="22"/>
          <w:szCs w:val="22"/>
        </w:rPr>
        <w:t>generalized stratigraphic units of the Blue Nile Basin (Fig a), (Gani, et al., 2008)</w:t>
      </w:r>
      <w:bookmarkEnd w:id="9"/>
      <w:bookmarkEnd w:id="10"/>
      <w:r w:rsidRPr="001C7974">
        <w:rPr>
          <w:b w:val="0"/>
          <w:i/>
          <w:color w:val="auto"/>
          <w:sz w:val="22"/>
          <w:szCs w:val="22"/>
        </w:rPr>
        <w:t xml:space="preserve"> </w:t>
      </w:r>
    </w:p>
    <w:p w:rsidR="000B5D95" w:rsidRPr="001C7974" w:rsidRDefault="000B5D95" w:rsidP="000B5D95"/>
    <w:p w:rsidR="000B5D95" w:rsidRPr="001C7974" w:rsidRDefault="000B5D95" w:rsidP="000B5D95">
      <w:pPr>
        <w:keepNext/>
      </w:pPr>
      <w:r w:rsidRPr="001C7974">
        <w:rPr>
          <w:noProof/>
        </w:rPr>
        <w:lastRenderedPageBreak/>
        <w:drawing>
          <wp:inline distT="0" distB="0" distL="0" distR="0">
            <wp:extent cx="5860192" cy="6329782"/>
            <wp:effectExtent l="19050" t="19050" r="26258" b="13868"/>
            <wp:docPr id="31" name="Picture 2" descr="C:\Users\dmu\Desktop\m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mu\Desktop\mb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4321" t="17615" r="138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844" cy="6326166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7030A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spacing w:line="360" w:lineRule="auto"/>
        <w:jc w:val="both"/>
        <w:rPr>
          <w:noProof/>
        </w:rPr>
      </w:pPr>
      <w:bookmarkStart w:id="11" w:name="_Toc49593390"/>
      <w:proofErr w:type="gramStart"/>
      <w:r w:rsidRPr="001C7974">
        <w:rPr>
          <w:b/>
          <w:i/>
          <w:sz w:val="22"/>
          <w:szCs w:val="22"/>
        </w:rPr>
        <w:t>Figure 8.</w:t>
      </w:r>
      <w:proofErr w:type="gramEnd"/>
      <w:r w:rsidRPr="001C7974">
        <w:rPr>
          <w:b/>
          <w:i/>
          <w:sz w:val="22"/>
          <w:szCs w:val="22"/>
        </w:rPr>
        <w:t xml:space="preserve"> The physiographic set up and potential areas of geomaterials </w:t>
      </w:r>
      <w:r w:rsidRPr="001C7974">
        <w:rPr>
          <w:b/>
          <w:bCs/>
          <w:i/>
          <w:sz w:val="22"/>
          <w:szCs w:val="22"/>
        </w:rPr>
        <w:t>(Google Map, 2019)</w:t>
      </w:r>
      <w:bookmarkEnd w:id="11"/>
      <w:r w:rsidRPr="001C7974">
        <w:rPr>
          <w:noProof/>
        </w:rPr>
        <w:t xml:space="preserve"> </w:t>
      </w:r>
    </w:p>
    <w:p w:rsidR="000B5D95" w:rsidRPr="001C7974" w:rsidRDefault="000B5D95" w:rsidP="000B5D95">
      <w:pPr>
        <w:spacing w:line="360" w:lineRule="auto"/>
        <w:jc w:val="both"/>
      </w:pPr>
      <w:r w:rsidRPr="001C7974">
        <w:rPr>
          <w:noProof/>
        </w:rPr>
        <w:lastRenderedPageBreak/>
        <w:drawing>
          <wp:inline distT="0" distB="0" distL="0" distR="0">
            <wp:extent cx="5755674" cy="5055060"/>
            <wp:effectExtent l="19050" t="0" r="0" b="0"/>
            <wp:docPr id="32" name="Picture 1" descr="C:\Users\dmu\Desktop\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mu\Desktop\N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2903" t="15758" r="54415" b="47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20" cy="505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spacing w:line="360" w:lineRule="auto"/>
        <w:jc w:val="both"/>
      </w:pPr>
    </w:p>
    <w:p w:rsidR="000B5D95" w:rsidRPr="001C7974" w:rsidRDefault="000B5D95" w:rsidP="000B5D95">
      <w:pPr>
        <w:pStyle w:val="Caption"/>
        <w:spacing w:line="360" w:lineRule="auto"/>
        <w:jc w:val="center"/>
      </w:pPr>
      <w:r w:rsidRPr="001C7974">
        <w:rPr>
          <w:b w:val="0"/>
          <w:i/>
          <w:color w:val="auto"/>
          <w:sz w:val="22"/>
          <w:szCs w:val="22"/>
        </w:rPr>
        <w:t xml:space="preserve">Figure </w:t>
      </w:r>
      <w:proofErr w:type="gramStart"/>
      <w:r w:rsidRPr="001C7974">
        <w:rPr>
          <w:b w:val="0"/>
          <w:i/>
          <w:color w:val="auto"/>
          <w:sz w:val="22"/>
          <w:szCs w:val="22"/>
        </w:rPr>
        <w:t>9  a</w:t>
      </w:r>
      <w:proofErr w:type="gramEnd"/>
      <w:r w:rsidRPr="001C7974">
        <w:rPr>
          <w:b w:val="0"/>
          <w:i/>
          <w:color w:val="auto"/>
          <w:sz w:val="22"/>
          <w:szCs w:val="22"/>
        </w:rPr>
        <w:t xml:space="preserve"> Regional 3D view of the study area using surfer softwares</w:t>
      </w:r>
    </w:p>
    <w:p w:rsidR="000B5D95" w:rsidRPr="001C7974" w:rsidRDefault="000B5D95" w:rsidP="000B5D95">
      <w:pPr>
        <w:pStyle w:val="Caption"/>
        <w:spacing w:before="240" w:line="360" w:lineRule="auto"/>
        <w:rPr>
          <w:b w:val="0"/>
          <w:i/>
          <w:color w:val="auto"/>
          <w:sz w:val="22"/>
          <w:szCs w:val="22"/>
        </w:rPr>
      </w:pPr>
    </w:p>
    <w:p w:rsidR="000B5D95" w:rsidRPr="001C7974" w:rsidRDefault="000B5D95" w:rsidP="000B5D95">
      <w:pPr>
        <w:keepNext/>
        <w:spacing w:before="240"/>
      </w:pPr>
      <w:r w:rsidRPr="001C7974">
        <w:rPr>
          <w:noProof/>
        </w:rPr>
        <w:lastRenderedPageBreak/>
        <w:drawing>
          <wp:inline distT="0" distB="0" distL="0" distR="0">
            <wp:extent cx="5557966" cy="4843849"/>
            <wp:effectExtent l="19050" t="0" r="4634" b="0"/>
            <wp:docPr id="33" name="Picture 1" descr="E:\m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9402" t="42607" r="18828" b="32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032" cy="4844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spacing w:line="360" w:lineRule="auto"/>
      </w:pPr>
      <w:bookmarkStart w:id="12" w:name="_Toc49593391"/>
      <w:proofErr w:type="gramStart"/>
      <w:r w:rsidRPr="001C7974">
        <w:rPr>
          <w:b w:val="0"/>
          <w:i/>
          <w:color w:val="auto"/>
          <w:sz w:val="22"/>
          <w:szCs w:val="22"/>
        </w:rPr>
        <w:t>Figure 9b.</w:t>
      </w:r>
      <w:proofErr w:type="gramEnd"/>
      <w:r w:rsidRPr="001C7974">
        <w:rPr>
          <w:b w:val="0"/>
          <w:i/>
          <w:color w:val="auto"/>
          <w:sz w:val="22"/>
          <w:szCs w:val="22"/>
        </w:rPr>
        <w:t xml:space="preserve">  Local 3D view of the study area using global mapper </w:t>
      </w:r>
      <w:bookmarkEnd w:id="12"/>
      <w:r w:rsidRPr="001C7974">
        <w:rPr>
          <w:b w:val="0"/>
          <w:i/>
          <w:color w:val="auto"/>
          <w:sz w:val="22"/>
          <w:szCs w:val="22"/>
        </w:rPr>
        <w:t xml:space="preserve">softwares with 1.5 times the vertical exaggeration </w:t>
      </w:r>
    </w:p>
    <w:p w:rsidR="000B5D95" w:rsidRPr="001C7974" w:rsidRDefault="000B5D95" w:rsidP="000B5D95"/>
    <w:p w:rsidR="000B5D95" w:rsidRPr="001C7974" w:rsidRDefault="000B5D95" w:rsidP="000B5D95">
      <w:pPr>
        <w:pStyle w:val="Default"/>
        <w:ind w:left="360"/>
        <w:rPr>
          <w:sz w:val="22"/>
          <w:szCs w:val="22"/>
        </w:rPr>
      </w:pPr>
      <w:r w:rsidRPr="001C7974">
        <w:rPr>
          <w:sz w:val="22"/>
          <w:szCs w:val="22"/>
        </w:rPr>
        <w:t>II. Supplementary Plates</w:t>
      </w:r>
    </w:p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</w:p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</w:p>
    <w:p w:rsidR="000B5D95" w:rsidRPr="001C7974" w:rsidRDefault="000B5D95" w:rsidP="000B5D95">
      <w:pPr>
        <w:keepNext/>
        <w:spacing w:line="360" w:lineRule="auto"/>
        <w:jc w:val="both"/>
      </w:pPr>
      <w:r w:rsidRPr="001C7974">
        <w:rPr>
          <w:noProof/>
        </w:rPr>
        <w:lastRenderedPageBreak/>
        <w:drawing>
          <wp:inline distT="0" distB="0" distL="0" distR="0">
            <wp:extent cx="5730961" cy="3486548"/>
            <wp:effectExtent l="19050" t="0" r="3089" b="0"/>
            <wp:docPr id="34" name="Picture 9" descr="Sli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lide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10000"/>
                    </a:blip>
                    <a:srcRect b="31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059" cy="3489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jc w:val="both"/>
      </w:pPr>
      <w:bookmarkStart w:id="13" w:name="_Toc44955483"/>
      <w:r w:rsidRPr="001C7974">
        <w:rPr>
          <w:b w:val="0"/>
          <w:i/>
          <w:color w:val="auto"/>
          <w:sz w:val="22"/>
          <w:szCs w:val="22"/>
        </w:rPr>
        <w:t xml:space="preserve">Plate </w:t>
      </w:r>
      <w:proofErr w:type="gramStart"/>
      <w:r w:rsidRPr="001C7974">
        <w:rPr>
          <w:b w:val="0"/>
          <w:i/>
          <w:color w:val="auto"/>
          <w:sz w:val="22"/>
          <w:szCs w:val="22"/>
        </w:rPr>
        <w:t>1  Different</w:t>
      </w:r>
      <w:proofErr w:type="gramEnd"/>
      <w:r w:rsidRPr="001C7974">
        <w:rPr>
          <w:b w:val="0"/>
          <w:i/>
          <w:color w:val="auto"/>
          <w:sz w:val="22"/>
          <w:szCs w:val="22"/>
        </w:rPr>
        <w:t xml:space="preserve"> sizes and shapes of unconsolidated cataclastic sediments along Wuseta River</w:t>
      </w:r>
      <w:bookmarkEnd w:id="13"/>
    </w:p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</w:p>
    <w:p w:rsidR="000B5D95" w:rsidRPr="001C7974" w:rsidRDefault="000B5D95" w:rsidP="000B5D95">
      <w:pPr>
        <w:keepNext/>
        <w:spacing w:line="360" w:lineRule="auto"/>
        <w:jc w:val="both"/>
      </w:pPr>
      <w:r w:rsidRPr="001C7974">
        <w:rPr>
          <w:noProof/>
          <w:color w:val="00B0F0"/>
        </w:rPr>
        <w:drawing>
          <wp:inline distT="0" distB="0" distL="0" distR="0">
            <wp:extent cx="5231538" cy="3715265"/>
            <wp:effectExtent l="19050" t="0" r="7212" b="0"/>
            <wp:docPr id="35" name="Picture 10" descr="IMG_20160101_031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_20160101_0313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420" cy="371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jc w:val="center"/>
        <w:rPr>
          <w:b w:val="0"/>
          <w:sz w:val="24"/>
          <w:szCs w:val="24"/>
        </w:rPr>
      </w:pPr>
      <w:bookmarkStart w:id="14" w:name="_Toc44955484"/>
      <w:r w:rsidRPr="001C7974">
        <w:rPr>
          <w:b w:val="0"/>
          <w:i/>
          <w:color w:val="auto"/>
          <w:sz w:val="22"/>
          <w:szCs w:val="22"/>
        </w:rPr>
        <w:t>Plate 2</w:t>
      </w:r>
      <w:r w:rsidRPr="001C7974">
        <w:rPr>
          <w:i/>
          <w:color w:val="auto"/>
          <w:sz w:val="22"/>
          <w:szCs w:val="22"/>
        </w:rPr>
        <w:t xml:space="preserve"> </w:t>
      </w:r>
      <w:r w:rsidRPr="001C7974">
        <w:rPr>
          <w:b w:val="0"/>
          <w:i/>
          <w:color w:val="auto"/>
          <w:sz w:val="22"/>
          <w:szCs w:val="22"/>
        </w:rPr>
        <w:t>slightly weathered different sizes of colluviums rocks on the foot of cliff areas</w:t>
      </w:r>
      <w:r w:rsidRPr="001C7974">
        <w:rPr>
          <w:b w:val="0"/>
          <w:sz w:val="24"/>
          <w:szCs w:val="24"/>
        </w:rPr>
        <w:t>.</w:t>
      </w:r>
      <w:bookmarkEnd w:id="14"/>
    </w:p>
    <w:p w:rsidR="000B5D95" w:rsidRPr="001C7974" w:rsidRDefault="000B5D95" w:rsidP="000B5D95">
      <w:pPr>
        <w:keepNext/>
        <w:spacing w:line="360" w:lineRule="auto"/>
        <w:jc w:val="both"/>
      </w:pPr>
      <w:r w:rsidRPr="001C7974">
        <w:rPr>
          <w:noProof/>
          <w:color w:val="FF0000"/>
        </w:rPr>
        <w:lastRenderedPageBreak/>
        <w:drawing>
          <wp:inline distT="0" distB="0" distL="0" distR="0">
            <wp:extent cx="5796864" cy="3083325"/>
            <wp:effectExtent l="19050" t="0" r="0" b="0"/>
            <wp:docPr id="36" name="Picture 12" descr="Sl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lide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40000"/>
                    </a:blip>
                    <a:srcRect b="32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096" cy="3095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spacing w:line="360" w:lineRule="auto"/>
        <w:jc w:val="both"/>
        <w:rPr>
          <w:b w:val="0"/>
          <w:i/>
          <w:color w:val="auto"/>
          <w:sz w:val="22"/>
          <w:szCs w:val="22"/>
        </w:rPr>
      </w:pPr>
      <w:bookmarkStart w:id="15" w:name="_Toc44955486"/>
      <w:r w:rsidRPr="001C7974">
        <w:rPr>
          <w:b w:val="0"/>
          <w:i/>
          <w:color w:val="auto"/>
          <w:sz w:val="22"/>
          <w:szCs w:val="22"/>
        </w:rPr>
        <w:t xml:space="preserve">Plate 4 Light to reddish color of Mudstone well exposed on the local name of Argoshesh gorge at GPS reading of long. </w:t>
      </w:r>
      <w:proofErr w:type="gramStart"/>
      <w:r w:rsidRPr="001C7974">
        <w:rPr>
          <w:b w:val="0"/>
          <w:i/>
          <w:color w:val="auto"/>
          <w:sz w:val="22"/>
          <w:szCs w:val="22"/>
        </w:rPr>
        <w:t>37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>ο</w:t>
      </w:r>
      <w:r w:rsidRPr="001C7974">
        <w:rPr>
          <w:b w:val="0"/>
          <w:i/>
          <w:color w:val="auto"/>
          <w:sz w:val="22"/>
          <w:szCs w:val="22"/>
        </w:rPr>
        <w:t xml:space="preserve"> 40</w:t>
      </w:r>
      <w:r w:rsidRPr="001C7974">
        <w:rPr>
          <w:b w:val="0"/>
          <w:i/>
          <w:color w:val="auto"/>
          <w:sz w:val="22"/>
          <w:szCs w:val="22"/>
          <w:vertAlign w:val="superscript"/>
          <w:rtl/>
          <w:lang w:bidi="he-IL"/>
        </w:rPr>
        <w:t xml:space="preserve">׳ 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 xml:space="preserve">  </w:t>
      </w:r>
      <w:r w:rsidRPr="001C7974">
        <w:rPr>
          <w:b w:val="0"/>
          <w:i/>
          <w:color w:val="auto"/>
          <w:sz w:val="22"/>
          <w:szCs w:val="22"/>
        </w:rPr>
        <w:t xml:space="preserve">40 </w:t>
      </w:r>
      <w:r w:rsidRPr="001C7974">
        <w:rPr>
          <w:b w:val="0"/>
          <w:i/>
          <w:color w:val="auto"/>
          <w:sz w:val="22"/>
          <w:szCs w:val="22"/>
          <w:vertAlign w:val="superscript"/>
          <w:rtl/>
          <w:lang w:bidi="he-IL"/>
        </w:rPr>
        <w:t>״</w:t>
      </w:r>
      <w:r w:rsidRPr="001C7974">
        <w:rPr>
          <w:b w:val="0"/>
          <w:i/>
          <w:color w:val="auto"/>
          <w:sz w:val="22"/>
          <w:szCs w:val="22"/>
        </w:rPr>
        <w:t>, lat 10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>ο</w:t>
      </w:r>
      <w:r w:rsidRPr="001C7974">
        <w:rPr>
          <w:b w:val="0"/>
          <w:i/>
          <w:color w:val="auto"/>
          <w:sz w:val="22"/>
          <w:szCs w:val="22"/>
        </w:rPr>
        <w:t xml:space="preserve"> 13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 xml:space="preserve"> </w:t>
      </w:r>
      <w:r w:rsidRPr="001C7974">
        <w:rPr>
          <w:b w:val="0"/>
          <w:i/>
          <w:color w:val="auto"/>
          <w:sz w:val="22"/>
          <w:szCs w:val="22"/>
          <w:vertAlign w:val="superscript"/>
          <w:rtl/>
          <w:lang w:bidi="he-IL"/>
        </w:rPr>
        <w:t>׳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 xml:space="preserve"> </w:t>
      </w:r>
      <w:r w:rsidRPr="001C7974">
        <w:rPr>
          <w:b w:val="0"/>
          <w:i/>
          <w:color w:val="auto"/>
          <w:sz w:val="22"/>
          <w:szCs w:val="22"/>
        </w:rPr>
        <w:t>30</w:t>
      </w:r>
      <w:r w:rsidRPr="001C7974">
        <w:rPr>
          <w:b w:val="0"/>
          <w:i/>
          <w:color w:val="auto"/>
          <w:sz w:val="22"/>
          <w:szCs w:val="22"/>
          <w:vertAlign w:val="superscript"/>
          <w:rtl/>
          <w:lang w:bidi="he-IL"/>
        </w:rPr>
        <w:t>״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 xml:space="preserve"> </w:t>
      </w:r>
      <w:r w:rsidRPr="001C7974">
        <w:rPr>
          <w:b w:val="0"/>
          <w:i/>
          <w:color w:val="auto"/>
          <w:sz w:val="22"/>
          <w:szCs w:val="22"/>
        </w:rPr>
        <w:t xml:space="preserve">and </w:t>
      </w:r>
      <w:r w:rsidRPr="001C7974">
        <w:rPr>
          <w:b w:val="0"/>
          <w:i/>
          <w:color w:val="auto"/>
          <w:sz w:val="22"/>
          <w:szCs w:val="22"/>
          <w:vertAlign w:val="superscript"/>
        </w:rPr>
        <w:t xml:space="preserve">  </w:t>
      </w:r>
      <w:r w:rsidRPr="001C7974">
        <w:rPr>
          <w:b w:val="0"/>
          <w:i/>
          <w:color w:val="auto"/>
          <w:sz w:val="22"/>
          <w:szCs w:val="22"/>
        </w:rPr>
        <w:t>alt. 1545 m.</w:t>
      </w:r>
      <w:bookmarkEnd w:id="15"/>
      <w:proofErr w:type="gramEnd"/>
    </w:p>
    <w:p w:rsidR="000B5D95" w:rsidRPr="001C7974" w:rsidRDefault="000B5D95" w:rsidP="000B5D95">
      <w:pPr>
        <w:keepNext/>
        <w:spacing w:line="360" w:lineRule="auto"/>
        <w:jc w:val="both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07.75pt;margin-top:133.95pt;width:.75pt;height:118.8pt;z-index:251660288;mso-position-vertical-relative:line" o:connectortype="straight" strokecolor="#7030a0" strokeweight="3pt">
            <v:stroke dashstyle="dashDot"/>
          </v:shape>
        </w:pict>
      </w:r>
      <w:r w:rsidRPr="001C7974">
        <w:rPr>
          <w:noProof/>
        </w:rPr>
        <w:drawing>
          <wp:inline distT="0" distB="0" distL="0" distR="0">
            <wp:extent cx="5730961" cy="3325925"/>
            <wp:effectExtent l="19050" t="0" r="3089" b="0"/>
            <wp:docPr id="37" name="Picture 14" descr="1585108918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5851089181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375" cy="3326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spacing w:line="360" w:lineRule="auto"/>
        <w:jc w:val="both"/>
        <w:rPr>
          <w:i/>
          <w:color w:val="auto"/>
          <w:sz w:val="22"/>
          <w:szCs w:val="22"/>
        </w:rPr>
      </w:pPr>
      <w:bookmarkStart w:id="16" w:name="_Toc49593385"/>
      <w:r w:rsidRPr="001C7974">
        <w:rPr>
          <w:b w:val="0"/>
          <w:i/>
          <w:color w:val="auto"/>
          <w:sz w:val="22"/>
          <w:szCs w:val="22"/>
        </w:rPr>
        <w:t xml:space="preserve">Plate </w:t>
      </w:r>
      <w:r w:rsidRPr="001C7974">
        <w:rPr>
          <w:b w:val="0"/>
          <w:i/>
          <w:color w:val="auto"/>
          <w:sz w:val="22"/>
          <w:szCs w:val="22"/>
        </w:rPr>
        <w:fldChar w:fldCharType="begin"/>
      </w:r>
      <w:r w:rsidRPr="001C7974">
        <w:rPr>
          <w:b w:val="0"/>
          <w:i/>
          <w:color w:val="auto"/>
          <w:sz w:val="22"/>
          <w:szCs w:val="22"/>
        </w:rPr>
        <w:instrText xml:space="preserve"> SEQ Figure \* ARABIC </w:instrText>
      </w:r>
      <w:r w:rsidRPr="001C7974">
        <w:rPr>
          <w:b w:val="0"/>
          <w:i/>
          <w:color w:val="auto"/>
          <w:sz w:val="22"/>
          <w:szCs w:val="22"/>
        </w:rPr>
        <w:fldChar w:fldCharType="separate"/>
      </w:r>
      <w:r w:rsidRPr="001C7974">
        <w:rPr>
          <w:b w:val="0"/>
          <w:i/>
          <w:noProof/>
          <w:color w:val="auto"/>
          <w:sz w:val="22"/>
          <w:szCs w:val="22"/>
        </w:rPr>
        <w:t>6</w:t>
      </w:r>
      <w:r w:rsidRPr="001C7974">
        <w:rPr>
          <w:b w:val="0"/>
          <w:i/>
          <w:color w:val="auto"/>
          <w:sz w:val="22"/>
          <w:szCs w:val="22"/>
        </w:rPr>
        <w:fldChar w:fldCharType="end"/>
      </w:r>
      <w:bookmarkStart w:id="17" w:name="_Toc44955488"/>
      <w:r w:rsidRPr="001C7974">
        <w:rPr>
          <w:i/>
          <w:color w:val="auto"/>
          <w:sz w:val="22"/>
          <w:szCs w:val="22"/>
        </w:rPr>
        <w:t xml:space="preserve"> </w:t>
      </w:r>
      <w:r w:rsidRPr="001C7974">
        <w:rPr>
          <w:b w:val="0"/>
          <w:i/>
          <w:color w:val="auto"/>
          <w:sz w:val="22"/>
          <w:szCs w:val="22"/>
        </w:rPr>
        <w:t>A horizontally interbedded two to three meters thick and laterally continuous fresh to slightly weathered brown and slight rusty red Siltstone is preserved on the cliff of Wuseta River.</w:t>
      </w:r>
      <w:bookmarkEnd w:id="16"/>
      <w:bookmarkEnd w:id="17"/>
    </w:p>
    <w:p w:rsidR="000B5D95" w:rsidRPr="001C7974" w:rsidRDefault="000B5D95" w:rsidP="000B5D95"/>
    <w:p w:rsidR="000B5D95" w:rsidRPr="001C7974" w:rsidRDefault="000B5D95" w:rsidP="000B5D95">
      <w:pPr>
        <w:pStyle w:val="Default"/>
        <w:jc w:val="both"/>
        <w:rPr>
          <w:rFonts w:eastAsia="Arial Unicode MS"/>
          <w:sz w:val="18"/>
          <w:szCs w:val="18"/>
          <w:lang w:bidi="en-US"/>
        </w:rPr>
      </w:pPr>
    </w:p>
    <w:p w:rsidR="000B5D95" w:rsidRPr="001C7974" w:rsidRDefault="000B5D95" w:rsidP="000B5D95">
      <w:pPr>
        <w:keepNext/>
        <w:shd w:val="clear" w:color="auto" w:fill="FFFFFF"/>
        <w:spacing w:line="360" w:lineRule="auto"/>
        <w:jc w:val="both"/>
      </w:pPr>
      <w:r w:rsidRPr="001C7974">
        <w:rPr>
          <w:noProof/>
        </w:rPr>
        <w:lastRenderedPageBreak/>
        <w:drawing>
          <wp:inline distT="0" distB="0" distL="0" distR="0">
            <wp:extent cx="5929774" cy="3554569"/>
            <wp:effectExtent l="19050" t="0" r="0" b="0"/>
            <wp:docPr id="38" name="Picture 15" descr="SH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HAL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30" cy="355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D95" w:rsidRPr="001C7974" w:rsidRDefault="000B5D95" w:rsidP="000B5D95">
      <w:pPr>
        <w:pStyle w:val="Caption"/>
        <w:spacing w:line="360" w:lineRule="auto"/>
        <w:jc w:val="both"/>
        <w:rPr>
          <w:b w:val="0"/>
          <w:i/>
          <w:color w:val="auto"/>
          <w:sz w:val="20"/>
          <w:szCs w:val="20"/>
        </w:rPr>
      </w:pPr>
      <w:bookmarkStart w:id="18" w:name="_Toc49593386"/>
      <w:proofErr w:type="gramStart"/>
      <w:r w:rsidRPr="001C7974">
        <w:rPr>
          <w:b w:val="0"/>
          <w:i/>
          <w:color w:val="auto"/>
          <w:sz w:val="20"/>
          <w:szCs w:val="20"/>
        </w:rPr>
        <w:t xml:space="preserve">Plate  </w:t>
      </w:r>
      <w:proofErr w:type="gramEnd"/>
      <w:r w:rsidRPr="001C7974">
        <w:rPr>
          <w:b w:val="0"/>
          <w:i/>
          <w:color w:val="auto"/>
          <w:sz w:val="20"/>
          <w:szCs w:val="20"/>
        </w:rPr>
        <w:fldChar w:fldCharType="begin"/>
      </w:r>
      <w:r w:rsidRPr="001C7974">
        <w:rPr>
          <w:b w:val="0"/>
          <w:i/>
          <w:color w:val="auto"/>
          <w:sz w:val="20"/>
          <w:szCs w:val="20"/>
        </w:rPr>
        <w:instrText xml:space="preserve"> SEQ Figure \* ARABIC </w:instrText>
      </w:r>
      <w:r w:rsidRPr="001C7974">
        <w:rPr>
          <w:b w:val="0"/>
          <w:i/>
          <w:color w:val="auto"/>
          <w:sz w:val="20"/>
          <w:szCs w:val="20"/>
        </w:rPr>
        <w:fldChar w:fldCharType="separate"/>
      </w:r>
      <w:r w:rsidRPr="001C7974">
        <w:rPr>
          <w:b w:val="0"/>
          <w:i/>
          <w:noProof/>
          <w:color w:val="auto"/>
          <w:sz w:val="20"/>
          <w:szCs w:val="20"/>
        </w:rPr>
        <w:t>7</w:t>
      </w:r>
      <w:r w:rsidRPr="001C7974">
        <w:rPr>
          <w:b w:val="0"/>
          <w:i/>
          <w:color w:val="auto"/>
          <w:sz w:val="20"/>
          <w:szCs w:val="20"/>
        </w:rPr>
        <w:fldChar w:fldCharType="end"/>
      </w:r>
      <w:bookmarkStart w:id="19" w:name="_Toc44955489"/>
      <w:r w:rsidRPr="001C7974">
        <w:rPr>
          <w:b w:val="0"/>
          <w:i/>
          <w:color w:val="auto"/>
          <w:sz w:val="20"/>
          <w:szCs w:val="20"/>
        </w:rPr>
        <w:t xml:space="preserve"> Stream cut exposures of horizontally bedded moderately to completely weathered Shale. The individual thin layers are easily split from its bed rock </w:t>
      </w:r>
      <w:proofErr w:type="spellStart"/>
      <w:r w:rsidRPr="001C7974">
        <w:rPr>
          <w:b w:val="0"/>
          <w:i/>
          <w:color w:val="auto"/>
          <w:sz w:val="20"/>
          <w:szCs w:val="20"/>
        </w:rPr>
        <w:t>formation.at</w:t>
      </w:r>
      <w:proofErr w:type="spellEnd"/>
      <w:r w:rsidRPr="001C7974">
        <w:rPr>
          <w:b w:val="0"/>
          <w:i/>
          <w:color w:val="auto"/>
          <w:sz w:val="20"/>
          <w:szCs w:val="20"/>
        </w:rPr>
        <w:t xml:space="preserve"> GPS reading of long. </w:t>
      </w:r>
      <w:proofErr w:type="gramStart"/>
      <w:r w:rsidRPr="001C7974">
        <w:rPr>
          <w:b w:val="0"/>
          <w:i/>
          <w:color w:val="auto"/>
          <w:sz w:val="20"/>
          <w:szCs w:val="20"/>
        </w:rPr>
        <w:t>37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>ο</w:t>
      </w:r>
      <w:r w:rsidRPr="001C7974">
        <w:rPr>
          <w:b w:val="0"/>
          <w:i/>
          <w:color w:val="auto"/>
          <w:sz w:val="20"/>
          <w:szCs w:val="20"/>
        </w:rPr>
        <w:t xml:space="preserve"> 39 </w:t>
      </w:r>
      <w:r w:rsidRPr="001C7974">
        <w:rPr>
          <w:b w:val="0"/>
          <w:i/>
          <w:color w:val="auto"/>
          <w:sz w:val="20"/>
          <w:szCs w:val="20"/>
          <w:vertAlign w:val="superscript"/>
          <w:rtl/>
          <w:lang w:bidi="he-IL"/>
        </w:rPr>
        <w:t>׳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 xml:space="preserve"> </w:t>
      </w:r>
      <w:r w:rsidRPr="001C7974">
        <w:rPr>
          <w:b w:val="0"/>
          <w:i/>
          <w:color w:val="auto"/>
          <w:sz w:val="20"/>
          <w:szCs w:val="20"/>
        </w:rPr>
        <w:t>58</w:t>
      </w:r>
      <w:r w:rsidRPr="001C7974">
        <w:rPr>
          <w:b w:val="0"/>
          <w:i/>
          <w:color w:val="auto"/>
          <w:sz w:val="20"/>
          <w:szCs w:val="20"/>
          <w:vertAlign w:val="superscript"/>
          <w:rtl/>
          <w:lang w:bidi="he-IL"/>
        </w:rPr>
        <w:t>״</w:t>
      </w:r>
      <w:r w:rsidRPr="001C7974">
        <w:rPr>
          <w:b w:val="0"/>
          <w:i/>
          <w:color w:val="auto"/>
          <w:sz w:val="20"/>
          <w:szCs w:val="20"/>
        </w:rPr>
        <w:t>, lat 10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>ο</w:t>
      </w:r>
      <w:r w:rsidRPr="001C7974">
        <w:rPr>
          <w:b w:val="0"/>
          <w:i/>
          <w:color w:val="auto"/>
          <w:sz w:val="20"/>
          <w:szCs w:val="20"/>
        </w:rPr>
        <w:t xml:space="preserve"> 13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 xml:space="preserve"> </w:t>
      </w:r>
      <w:r w:rsidRPr="001C7974">
        <w:rPr>
          <w:b w:val="0"/>
          <w:i/>
          <w:color w:val="auto"/>
          <w:sz w:val="20"/>
          <w:szCs w:val="20"/>
          <w:vertAlign w:val="superscript"/>
          <w:rtl/>
          <w:lang w:bidi="he-IL"/>
        </w:rPr>
        <w:t>׳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 xml:space="preserve"> </w:t>
      </w:r>
      <w:r w:rsidRPr="001C7974">
        <w:rPr>
          <w:b w:val="0"/>
          <w:i/>
          <w:color w:val="auto"/>
          <w:sz w:val="20"/>
          <w:szCs w:val="20"/>
        </w:rPr>
        <w:t>89</w:t>
      </w:r>
      <w:r w:rsidRPr="001C7974">
        <w:rPr>
          <w:b w:val="0"/>
          <w:i/>
          <w:color w:val="auto"/>
          <w:sz w:val="20"/>
          <w:szCs w:val="20"/>
          <w:vertAlign w:val="superscript"/>
          <w:rtl/>
          <w:lang w:bidi="he-IL"/>
        </w:rPr>
        <w:t>״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 xml:space="preserve"> </w:t>
      </w:r>
      <w:r w:rsidRPr="001C7974">
        <w:rPr>
          <w:b w:val="0"/>
          <w:i/>
          <w:color w:val="auto"/>
          <w:sz w:val="20"/>
          <w:szCs w:val="20"/>
        </w:rPr>
        <w:t>and</w:t>
      </w:r>
      <w:r w:rsidRPr="001C7974">
        <w:rPr>
          <w:b w:val="0"/>
          <w:i/>
          <w:color w:val="auto"/>
          <w:sz w:val="20"/>
          <w:szCs w:val="20"/>
          <w:vertAlign w:val="superscript"/>
        </w:rPr>
        <w:t xml:space="preserve"> </w:t>
      </w:r>
      <w:r w:rsidRPr="001C7974">
        <w:rPr>
          <w:b w:val="0"/>
          <w:i/>
          <w:color w:val="auto"/>
          <w:sz w:val="20"/>
          <w:szCs w:val="20"/>
        </w:rPr>
        <w:t>alt. 2119 m.</w:t>
      </w:r>
      <w:bookmarkEnd w:id="18"/>
      <w:bookmarkEnd w:id="19"/>
      <w:proofErr w:type="gramEnd"/>
      <w:r w:rsidRPr="001C7974">
        <w:rPr>
          <w:b w:val="0"/>
          <w:i/>
          <w:color w:val="auto"/>
          <w:sz w:val="20"/>
          <w:szCs w:val="20"/>
        </w:rPr>
        <w:t xml:space="preserve"> </w:t>
      </w:r>
      <w:bookmarkEnd w:id="0"/>
    </w:p>
    <w:p w:rsidR="000B5D95" w:rsidRPr="001C7974" w:rsidRDefault="000B5D95" w:rsidP="000B5D95">
      <w:pPr>
        <w:pStyle w:val="Default"/>
        <w:rPr>
          <w:b/>
          <w:bCs/>
          <w:sz w:val="22"/>
          <w:szCs w:val="22"/>
        </w:rPr>
      </w:pPr>
      <w:r w:rsidRPr="001C7974">
        <w:rPr>
          <w:b/>
          <w:bCs/>
          <w:sz w:val="22"/>
          <w:szCs w:val="22"/>
        </w:rPr>
        <w:t>Iv. Supplementary Tables</w:t>
      </w:r>
    </w:p>
    <w:p w:rsidR="000B5D95" w:rsidRPr="001C7974" w:rsidRDefault="000B5D95" w:rsidP="000B5D95">
      <w:pPr>
        <w:pStyle w:val="Default"/>
        <w:ind w:left="360"/>
        <w:rPr>
          <w:b/>
          <w:bCs/>
          <w:sz w:val="22"/>
          <w:szCs w:val="22"/>
        </w:rPr>
      </w:pPr>
    </w:p>
    <w:p w:rsidR="000B5D95" w:rsidRPr="001C7974" w:rsidRDefault="000B5D95" w:rsidP="000B5D95">
      <w:pPr>
        <w:autoSpaceDE w:val="0"/>
        <w:autoSpaceDN w:val="0"/>
        <w:adjustRightInd w:val="0"/>
        <w:spacing w:line="360" w:lineRule="auto"/>
        <w:jc w:val="both"/>
      </w:pPr>
      <w:bookmarkStart w:id="20" w:name="_Toc44955459"/>
      <w:r w:rsidRPr="001C7974">
        <w:t xml:space="preserve">Table4. </w:t>
      </w:r>
      <w:r w:rsidRPr="001C7974">
        <w:fldChar w:fldCharType="begin"/>
      </w:r>
      <w:r w:rsidRPr="001C7974">
        <w:instrText xml:space="preserve"> SEQ Table \* ARABIC </w:instrText>
      </w:r>
      <w:r w:rsidRPr="001C7974">
        <w:fldChar w:fldCharType="separate"/>
      </w:r>
      <w:proofErr w:type="gramStart"/>
      <w:r w:rsidRPr="001C7974">
        <w:rPr>
          <w:noProof/>
        </w:rPr>
        <w:t>1</w:t>
      </w:r>
      <w:r w:rsidRPr="001C7974">
        <w:fldChar w:fldCharType="end"/>
      </w:r>
      <w:r w:rsidRPr="001C7974">
        <w:t xml:space="preserve"> structural measurements</w:t>
      </w:r>
      <w:bookmarkEnd w:id="20"/>
      <w:proofErr w:type="gramEnd"/>
      <w:r w:rsidRPr="001C7974">
        <w:t xml:space="preserve"> </w:t>
      </w:r>
    </w:p>
    <w:tbl>
      <w:tblPr>
        <w:tblStyle w:val="TableGrid"/>
        <w:tblW w:w="0" w:type="auto"/>
        <w:tblLook w:val="04A0"/>
      </w:tblPr>
      <w:tblGrid>
        <w:gridCol w:w="1908"/>
        <w:gridCol w:w="2066"/>
        <w:gridCol w:w="1264"/>
        <w:gridCol w:w="1620"/>
        <w:gridCol w:w="1440"/>
      </w:tblGrid>
      <w:tr w:rsidR="000B5D95" w:rsidRPr="001C7974" w:rsidTr="004911BC">
        <w:tc>
          <w:tcPr>
            <w:tcW w:w="1908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Lithologic unit</w:t>
            </w:r>
          </w:p>
        </w:tc>
        <w:tc>
          <w:tcPr>
            <w:tcW w:w="2066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Geologic structure</w:t>
            </w: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Strike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Dip direction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Dip amount</w:t>
            </w:r>
          </w:p>
        </w:tc>
      </w:tr>
      <w:tr w:rsidR="000B5D95" w:rsidRPr="001C7974" w:rsidTr="004911BC">
        <w:tc>
          <w:tcPr>
            <w:tcW w:w="1908" w:type="dxa"/>
            <w:vMerge w:val="restart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Aphanitic basalt</w:t>
            </w:r>
          </w:p>
        </w:tc>
        <w:tc>
          <w:tcPr>
            <w:tcW w:w="2066" w:type="dxa"/>
            <w:vMerge w:val="restart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Fault</w:t>
            </w: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006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096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33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012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102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75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rPr>
          <w:trHeight w:val="458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021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111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80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005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275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35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012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282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75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021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291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440" w:type="dxa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80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rPr>
          <w:trHeight w:val="246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 w:val="restart"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Joint</w:t>
            </w:r>
          </w:p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(columnar joint)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025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rPr>
                <w:lang w:val="am-ET"/>
              </w:rPr>
            </w:pPr>
          </w:p>
        </w:tc>
      </w:tr>
      <w:tr w:rsidR="000B5D95" w:rsidRPr="001C7974" w:rsidTr="004911BC">
        <w:trPr>
          <w:trHeight w:val="156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011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rPr>
                <w:lang w:val="am-ET"/>
              </w:rPr>
            </w:pPr>
          </w:p>
        </w:tc>
      </w:tr>
      <w:tr w:rsidR="000B5D95" w:rsidRPr="001C7974" w:rsidTr="004911BC">
        <w:trPr>
          <w:trHeight w:val="193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008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</w:p>
        </w:tc>
      </w:tr>
      <w:tr w:rsidR="000B5D95" w:rsidRPr="001C7974" w:rsidTr="004911BC">
        <w:trPr>
          <w:trHeight w:val="208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022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rPr>
                <w:lang w:val="am-ET"/>
              </w:rPr>
            </w:pPr>
          </w:p>
        </w:tc>
      </w:tr>
      <w:tr w:rsidR="000B5D95" w:rsidRPr="001C7974" w:rsidTr="004911BC">
        <w:tc>
          <w:tcPr>
            <w:tcW w:w="1908" w:type="dxa"/>
            <w:vMerge w:val="restart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Sandstone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Joint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042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</w:p>
        </w:tc>
      </w:tr>
      <w:tr w:rsidR="000B5D95" w:rsidRPr="001C7974" w:rsidTr="004911BC">
        <w:trPr>
          <w:trHeight w:val="169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010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-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</w:p>
        </w:tc>
      </w:tr>
      <w:tr w:rsidR="000B5D95" w:rsidRPr="001C7974" w:rsidTr="004911BC">
        <w:trPr>
          <w:trHeight w:val="234"/>
        </w:trPr>
        <w:tc>
          <w:tcPr>
            <w:tcW w:w="1908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 w:val="restart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Bedding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175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  <w:r w:rsidRPr="001C7974">
              <w:t>0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rPr>
          <w:trHeight w:val="208"/>
        </w:trPr>
        <w:tc>
          <w:tcPr>
            <w:tcW w:w="1908" w:type="dxa"/>
            <w:vMerge/>
            <w:tcBorders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005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  <w:r w:rsidRPr="001C7974">
              <w:t>0</w:t>
            </w:r>
            <w:r w:rsidRPr="001C7974">
              <w:rPr>
                <w:vertAlign w:val="superscript"/>
              </w:rPr>
              <w:t>ο</w:t>
            </w:r>
          </w:p>
        </w:tc>
      </w:tr>
      <w:tr w:rsidR="000B5D95" w:rsidRPr="001C7974" w:rsidTr="004911BC">
        <w:trPr>
          <w:trHeight w:val="208"/>
        </w:trPr>
        <w:tc>
          <w:tcPr>
            <w:tcW w:w="1908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lastRenderedPageBreak/>
              <w:t>Shale</w:t>
            </w:r>
          </w:p>
        </w:tc>
        <w:tc>
          <w:tcPr>
            <w:tcW w:w="2066" w:type="dxa"/>
            <w:vMerge/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264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085</w:t>
            </w:r>
            <w:r w:rsidRPr="001C7974">
              <w:rPr>
                <w:vertAlign w:val="superscript"/>
              </w:rPr>
              <w:t>ο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1C7974">
              <w:t>-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B5D95" w:rsidRPr="001C7974" w:rsidRDefault="000B5D95" w:rsidP="004911B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am-ET"/>
              </w:rPr>
            </w:pPr>
            <w:r w:rsidRPr="001C7974">
              <w:t>0</w:t>
            </w:r>
            <w:r w:rsidRPr="001C7974">
              <w:rPr>
                <w:vertAlign w:val="superscript"/>
              </w:rPr>
              <w:t>ο</w:t>
            </w:r>
          </w:p>
        </w:tc>
      </w:tr>
    </w:tbl>
    <w:p w:rsidR="000B5D95" w:rsidRPr="001C7974" w:rsidRDefault="000B5D95" w:rsidP="000B5D95">
      <w:pPr>
        <w:spacing w:before="240" w:after="240"/>
      </w:pPr>
      <w:bookmarkStart w:id="21" w:name="_Toc44955460"/>
      <w:r w:rsidRPr="001C7974">
        <w:t xml:space="preserve">Table </w:t>
      </w:r>
      <w:fldSimple w:instr=" SEQ Table \* ARABIC ">
        <w:r w:rsidRPr="001C7974">
          <w:rPr>
            <w:noProof/>
          </w:rPr>
          <w:t>2</w:t>
        </w:r>
      </w:fldSimple>
      <w:r w:rsidRPr="001C7974">
        <w:t xml:space="preserve"> GPS reading field data to estimate the potentials exposures of different rock units</w:t>
      </w:r>
      <w:bookmarkEnd w:id="21"/>
    </w:p>
    <w:tbl>
      <w:tblPr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66"/>
        <w:gridCol w:w="1341"/>
        <w:gridCol w:w="895"/>
        <w:gridCol w:w="1563"/>
        <w:gridCol w:w="1376"/>
        <w:gridCol w:w="987"/>
        <w:gridCol w:w="1257"/>
        <w:gridCol w:w="1053"/>
      </w:tblGrid>
      <w:tr w:rsidR="000B5D95" w:rsidRPr="001C7974" w:rsidTr="004911BC">
        <w:trPr>
          <w:trHeight w:val="620"/>
        </w:trPr>
        <w:tc>
          <w:tcPr>
            <w:tcW w:w="3528" w:type="dxa"/>
            <w:gridSpan w:val="3"/>
          </w:tcPr>
          <w:p w:rsidR="000B5D95" w:rsidRPr="001C7974" w:rsidRDefault="000B5D95" w:rsidP="004911BC">
            <w:r w:rsidRPr="001C7974">
              <w:rPr>
                <w:sz w:val="22"/>
                <w:szCs w:val="22"/>
              </w:rPr>
              <w:t>Location    (Top of the cliff)</w:t>
            </w:r>
          </w:p>
        </w:tc>
        <w:tc>
          <w:tcPr>
            <w:tcW w:w="3960" w:type="dxa"/>
            <w:gridSpan w:val="3"/>
            <w:tcBorders>
              <w:right w:val="single" w:sz="4" w:space="0" w:color="auto"/>
            </w:tcBorders>
          </w:tcPr>
          <w:p w:rsidR="000B5D95" w:rsidRPr="001C7974" w:rsidRDefault="000B5D95" w:rsidP="004911BC">
            <w:r w:rsidRPr="001C7974">
              <w:rPr>
                <w:sz w:val="22"/>
                <w:szCs w:val="22"/>
              </w:rPr>
              <w:t xml:space="preserve">Location (Foot of the cliff) 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</w:tcBorders>
          </w:tcPr>
          <w:p w:rsidR="000B5D95" w:rsidRPr="001C7974" w:rsidRDefault="000B5D95" w:rsidP="004911BC">
            <w:r w:rsidRPr="001C7974">
              <w:rPr>
                <w:sz w:val="22"/>
                <w:szCs w:val="22"/>
              </w:rPr>
              <w:t xml:space="preserve">dominant </w:t>
            </w:r>
          </w:p>
          <w:p w:rsidR="000B5D95" w:rsidRPr="001C7974" w:rsidRDefault="000B5D95" w:rsidP="004911BC">
            <w:r w:rsidRPr="001C7974">
              <w:rPr>
                <w:sz w:val="22"/>
                <w:szCs w:val="22"/>
              </w:rPr>
              <w:t>rock units</w:t>
            </w:r>
          </w:p>
        </w:tc>
        <w:tc>
          <w:tcPr>
            <w:tcW w:w="990" w:type="dxa"/>
            <w:vMerge w:val="restart"/>
          </w:tcPr>
          <w:p w:rsidR="000B5D95" w:rsidRPr="001C7974" w:rsidRDefault="000B5D95" w:rsidP="004911BC">
            <w:pPr>
              <w:ind w:right="-56"/>
            </w:pPr>
            <w:r w:rsidRPr="001C7974">
              <w:rPr>
                <w:sz w:val="22"/>
                <w:szCs w:val="22"/>
              </w:rPr>
              <w:t xml:space="preserve">Thickness </w:t>
            </w:r>
          </w:p>
          <w:p w:rsidR="000B5D95" w:rsidRPr="001C7974" w:rsidRDefault="000B5D95" w:rsidP="004911BC">
            <w:r w:rsidRPr="001C7974">
              <w:rPr>
                <w:sz w:val="22"/>
                <w:szCs w:val="22"/>
              </w:rPr>
              <w:t>(m)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Long.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Latitude</w:t>
            </w:r>
          </w:p>
        </w:tc>
        <w:tc>
          <w:tcPr>
            <w:tcW w:w="900" w:type="dxa"/>
          </w:tcPr>
          <w:p w:rsidR="000B5D95" w:rsidRPr="001C7974" w:rsidRDefault="000B5D95" w:rsidP="004911BC">
            <w:pPr>
              <w:ind w:left="-108" w:right="-108" w:firstLine="108"/>
              <w:jc w:val="center"/>
            </w:pPr>
            <w:r w:rsidRPr="001C7974">
              <w:rPr>
                <w:sz w:val="22"/>
                <w:szCs w:val="22"/>
              </w:rPr>
              <w:t>Alt (m)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Long.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latitude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Alt.(m)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Merge/>
          </w:tcPr>
          <w:p w:rsidR="000B5D95" w:rsidRPr="001C7974" w:rsidRDefault="000B5D95" w:rsidP="004911BC">
            <w:pPr>
              <w:jc w:val="center"/>
            </w:pP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43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00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1626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51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29”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1518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</w:p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Sandstone</w:t>
            </w: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108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42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28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20”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1618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32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16”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1505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113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42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21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10”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1662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26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08”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1549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113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42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20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04”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1626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23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1485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141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42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11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01”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1624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11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49”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1474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151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58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01”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1650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56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48”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1463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187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49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04”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1651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</w:rPr>
              <w:t xml:space="preserve"> 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43”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1456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195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13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59”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1709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13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 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26”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1442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267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01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00”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1697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45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 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1491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206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color w:val="000000"/>
                <w:sz w:val="22"/>
                <w:szCs w:val="22"/>
              </w:rPr>
              <w:t>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08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27”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1708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52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1523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186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29”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1638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52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1519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120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50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1597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00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45”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1545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52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40”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1713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00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45”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1544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169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39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49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05”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1598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06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46”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1399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199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18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1613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20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02”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1413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201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04”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1581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42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01”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1499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82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38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1600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47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13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1515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84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59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25”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1646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51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36”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1497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149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23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1582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41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21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27”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1469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114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01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>00”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1579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55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>15”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1454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125</w:t>
            </w:r>
          </w:p>
        </w:tc>
      </w:tr>
      <w:tr w:rsidR="000B5D95" w:rsidRPr="001C7974" w:rsidTr="004911BC">
        <w:tc>
          <w:tcPr>
            <w:tcW w:w="1278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34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47”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1579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18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>11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54”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1424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156</w:t>
            </w:r>
          </w:p>
        </w:tc>
      </w:tr>
      <w:tr w:rsidR="000B5D95" w:rsidRPr="001C7974" w:rsidTr="004911BC">
        <w:tc>
          <w:tcPr>
            <w:tcW w:w="1278" w:type="dxa"/>
            <w:tcBorders>
              <w:top w:val="single" w:sz="4" w:space="0" w:color="auto"/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31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36”</w:t>
            </w:r>
          </w:p>
        </w:tc>
        <w:tc>
          <w:tcPr>
            <w:tcW w:w="90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1573</w:t>
            </w:r>
          </w:p>
        </w:tc>
        <w:tc>
          <w:tcPr>
            <w:tcW w:w="1582" w:type="dxa"/>
            <w:tcBorders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07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11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37”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1408</w:t>
            </w:r>
          </w:p>
        </w:tc>
        <w:tc>
          <w:tcPr>
            <w:tcW w:w="1260" w:type="dxa"/>
            <w:vMerge/>
            <w:tcBorders>
              <w:lef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</w:p>
        </w:tc>
        <w:tc>
          <w:tcPr>
            <w:tcW w:w="990" w:type="dxa"/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165</w:t>
            </w:r>
          </w:p>
        </w:tc>
      </w:tr>
      <w:tr w:rsidR="000B5D95" w:rsidRPr="001C7974" w:rsidTr="004911BC">
        <w:trPr>
          <w:trHeight w:val="165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37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ο</w:t>
            </w:r>
            <w:r w:rsidRPr="001C7974">
              <w:rPr>
                <w:color w:val="000000"/>
                <w:sz w:val="22"/>
                <w:szCs w:val="22"/>
              </w:rPr>
              <w:t xml:space="preserve"> 40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’</w:t>
            </w:r>
            <w:r w:rsidRPr="001C7974">
              <w:rPr>
                <w:color w:val="000000"/>
                <w:sz w:val="22"/>
                <w:szCs w:val="22"/>
              </w:rPr>
              <w:t xml:space="preserve"> 32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color w:val="000000"/>
                <w:sz w:val="22"/>
                <w:szCs w:val="22"/>
                <w:vertAlign w:val="superscript"/>
              </w:rPr>
              <w:t xml:space="preserve"> ο</w:t>
            </w:r>
            <w:r w:rsidRPr="001C7974">
              <w:rPr>
                <w:sz w:val="22"/>
                <w:szCs w:val="22"/>
                <w:vertAlign w:val="superscript"/>
              </w:rPr>
              <w:t xml:space="preserve"> </w:t>
            </w:r>
            <w:r w:rsidRPr="001C7974">
              <w:rPr>
                <w:sz w:val="22"/>
                <w:szCs w:val="22"/>
              </w:rPr>
              <w:t>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78”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1760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D95" w:rsidRPr="001C7974" w:rsidRDefault="000B5D95" w:rsidP="004911BC">
            <w:pPr>
              <w:jc w:val="center"/>
            </w:pPr>
            <w:r w:rsidRPr="001C7974">
              <w:rPr>
                <w:sz w:val="22"/>
                <w:szCs w:val="22"/>
              </w:rPr>
              <w:t>37</w:t>
            </w:r>
            <w:r w:rsidRPr="001C7974">
              <w:rPr>
                <w:sz w:val="22"/>
                <w:szCs w:val="22"/>
                <w:vertAlign w:val="superscript"/>
              </w:rPr>
              <w:t xml:space="preserve">ο </w:t>
            </w:r>
            <w:r w:rsidRPr="001C7974">
              <w:rPr>
                <w:sz w:val="22"/>
                <w:szCs w:val="22"/>
              </w:rPr>
              <w:t xml:space="preserve"> 40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64</w:t>
            </w:r>
            <w:r w:rsidRPr="001C7974">
              <w:rPr>
                <w:sz w:val="22"/>
                <w:szCs w:val="22"/>
                <w:vertAlign w:val="superscript"/>
              </w:rPr>
              <w:t>”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D95" w:rsidRPr="001C7974" w:rsidRDefault="000B5D95" w:rsidP="004911BC">
            <w:pPr>
              <w:jc w:val="center"/>
              <w:rPr>
                <w:vertAlign w:val="superscript"/>
              </w:rPr>
            </w:pPr>
            <w:r w:rsidRPr="001C7974">
              <w:rPr>
                <w:sz w:val="22"/>
                <w:szCs w:val="22"/>
              </w:rPr>
              <w:t>10</w:t>
            </w:r>
            <w:r w:rsidRPr="001C7974">
              <w:rPr>
                <w:sz w:val="22"/>
                <w:szCs w:val="22"/>
                <w:vertAlign w:val="superscript"/>
              </w:rPr>
              <w:t>ο</w:t>
            </w:r>
            <w:r w:rsidRPr="001C7974">
              <w:rPr>
                <w:sz w:val="22"/>
                <w:szCs w:val="22"/>
              </w:rPr>
              <w:t xml:space="preserve"> 12</w:t>
            </w:r>
            <w:r w:rsidRPr="001C7974">
              <w:rPr>
                <w:sz w:val="22"/>
                <w:szCs w:val="22"/>
                <w:vertAlign w:val="superscript"/>
              </w:rPr>
              <w:t>’</w:t>
            </w:r>
            <w:r w:rsidRPr="001C7974">
              <w:rPr>
                <w:sz w:val="22"/>
                <w:szCs w:val="22"/>
              </w:rPr>
              <w:t xml:space="preserve"> 59”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B5D95" w:rsidRPr="001C7974" w:rsidRDefault="000B5D95" w:rsidP="004911BC"/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B5D95" w:rsidRPr="001C7974" w:rsidRDefault="000B5D95" w:rsidP="004911BC">
            <w:pPr>
              <w:jc w:val="center"/>
              <w:rPr>
                <w:color w:val="000000"/>
              </w:rPr>
            </w:pPr>
            <w:r w:rsidRPr="001C7974">
              <w:rPr>
                <w:color w:val="000000"/>
                <w:sz w:val="22"/>
                <w:szCs w:val="22"/>
              </w:rPr>
              <w:t>250</w:t>
            </w:r>
          </w:p>
        </w:tc>
      </w:tr>
    </w:tbl>
    <w:p w:rsidR="000B5D95" w:rsidRPr="001C7974" w:rsidRDefault="000B5D95" w:rsidP="000B5D95">
      <w:pPr>
        <w:rPr>
          <w:sz w:val="22"/>
          <w:szCs w:val="22"/>
        </w:rPr>
      </w:pPr>
    </w:p>
    <w:p w:rsidR="000B5D95" w:rsidRDefault="000B5D95" w:rsidP="000B5D95">
      <w:pPr>
        <w:pStyle w:val="Default"/>
        <w:rPr>
          <w:b/>
          <w:bCs/>
          <w:color w:val="auto"/>
        </w:rPr>
      </w:pPr>
    </w:p>
    <w:p w:rsidR="00B152EC" w:rsidRPr="000B5D95" w:rsidRDefault="00B152EC" w:rsidP="000B5D95">
      <w:pPr>
        <w:rPr>
          <w:szCs w:val="22"/>
        </w:rPr>
      </w:pPr>
    </w:p>
    <w:sectPr w:rsidR="00B152EC" w:rsidRPr="000B5D95" w:rsidSect="00C05566">
      <w:pgSz w:w="12240" w:h="15840"/>
      <w:pgMar w:top="1260" w:right="1080" w:bottom="108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36AEE"/>
    <w:multiLevelType w:val="hybridMultilevel"/>
    <w:tmpl w:val="270679FE"/>
    <w:lvl w:ilvl="0" w:tplc="F4D8A78C">
      <w:start w:val="1"/>
      <w:numFmt w:val="upperRoman"/>
      <w:lvlText w:val="%1."/>
      <w:lvlJc w:val="left"/>
      <w:pPr>
        <w:ind w:left="144" w:firstLine="216"/>
      </w:pPr>
      <w:rPr>
        <w:rFonts w:hint="default"/>
        <w:kern w:val="48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2A41E2"/>
    <w:multiLevelType w:val="hybridMultilevel"/>
    <w:tmpl w:val="270679FE"/>
    <w:lvl w:ilvl="0" w:tplc="F4D8A78C">
      <w:start w:val="1"/>
      <w:numFmt w:val="upperRoman"/>
      <w:lvlText w:val="%1."/>
      <w:lvlJc w:val="left"/>
      <w:pPr>
        <w:ind w:left="144" w:firstLine="216"/>
      </w:pPr>
      <w:rPr>
        <w:rFonts w:hint="default"/>
        <w:kern w:val="48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applyBreakingRules/>
  </w:compat>
  <w:rsids>
    <w:rsidRoot w:val="00801BA5"/>
    <w:rsid w:val="00005F3F"/>
    <w:rsid w:val="00046A3B"/>
    <w:rsid w:val="00092DFB"/>
    <w:rsid w:val="000B5D95"/>
    <w:rsid w:val="00140F61"/>
    <w:rsid w:val="001832BF"/>
    <w:rsid w:val="001B0123"/>
    <w:rsid w:val="001C7974"/>
    <w:rsid w:val="00203278"/>
    <w:rsid w:val="00387CEA"/>
    <w:rsid w:val="00405796"/>
    <w:rsid w:val="004F117D"/>
    <w:rsid w:val="0067021E"/>
    <w:rsid w:val="006E5C15"/>
    <w:rsid w:val="00725CF9"/>
    <w:rsid w:val="00795123"/>
    <w:rsid w:val="00801BA5"/>
    <w:rsid w:val="00816983"/>
    <w:rsid w:val="008912DD"/>
    <w:rsid w:val="008A14E0"/>
    <w:rsid w:val="008F7BB8"/>
    <w:rsid w:val="009D6F10"/>
    <w:rsid w:val="00A219E7"/>
    <w:rsid w:val="00B152EC"/>
    <w:rsid w:val="00C822D1"/>
    <w:rsid w:val="00CA5496"/>
    <w:rsid w:val="00DA10DC"/>
    <w:rsid w:val="00E326FA"/>
    <w:rsid w:val="00E360AB"/>
    <w:rsid w:val="00E93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3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C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27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qFormat/>
    <w:rsid w:val="006E5C1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327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01B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2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2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152E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B152EC"/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2032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rsid w:val="0020327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2032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rsid w:val="006E5C1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ormalWeb">
    <w:name w:val="Normal (Web)"/>
    <w:basedOn w:val="Normal"/>
    <w:uiPriority w:val="99"/>
    <w:unhideWhenUsed/>
    <w:rsid w:val="008A14E0"/>
    <w:pPr>
      <w:shd w:val="clear" w:color="auto" w:fill="FFFFFF"/>
      <w:spacing w:before="100" w:beforeAutospacing="1" w:after="100" w:afterAutospacing="1" w:line="360" w:lineRule="auto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10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15</cp:revision>
  <dcterms:created xsi:type="dcterms:W3CDTF">2021-05-20T13:03:00Z</dcterms:created>
  <dcterms:modified xsi:type="dcterms:W3CDTF">2021-06-25T05:11:00Z</dcterms:modified>
</cp:coreProperties>
</file>