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B0E24" w14:textId="77777777" w:rsidR="00B85EA4" w:rsidRDefault="00B85EA4" w:rsidP="00B85EA4">
      <w:pPr>
        <w:spacing w:after="0" w:line="240" w:lineRule="auto"/>
        <w:rPr>
          <w:rFonts w:ascii="Arial" w:eastAsia="Arial" w:hAnsi="Arial" w:cs="Arial"/>
          <w:sz w:val="22"/>
          <w:szCs w:val="22"/>
        </w:rPr>
      </w:pPr>
      <w:r>
        <w:rPr>
          <w:rFonts w:ascii="Arial" w:eastAsia="Arial" w:hAnsi="Arial" w:cs="Arial"/>
          <w:b/>
          <w:sz w:val="22"/>
          <w:szCs w:val="22"/>
        </w:rPr>
        <w:t xml:space="preserve">APPENDIX A. Definitions of Key Topics and Theme Categories for Risk Communication. </w:t>
      </w:r>
      <w:r>
        <w:rPr>
          <w:rFonts w:ascii="Arial" w:eastAsia="Arial" w:hAnsi="Arial" w:cs="Arial"/>
          <w:sz w:val="22"/>
          <w:szCs w:val="22"/>
        </w:rPr>
        <w:t xml:space="preserve">Adapted from several prior studies </w:t>
      </w:r>
      <w:r>
        <w:fldChar w:fldCharType="begin"/>
      </w:r>
      <w:r>
        <w:instrText xml:space="preserve"> ADDIN ZOTERO_ITEM CSL_CITATION {"citationID":"FBuAEQ3A","properties":{"formattedCitation":"[34, 37, 39, 56]","plainCitation":"[34, 37, 39, 56]","noteIndex":0},"citationItems":[{"id":11259,"uris":["http://zotero.org/users/9129600/items/MC3VR629"],"itemData":{"id":11259,"type":"article-journal","abstract":"Background\nGovernmental and non-governmental institutions increasingly use social media as a strategic tool for public outreach. Global spread, promptness, and dialogic potentials make these platforms ideal for public health monitoring and emergency communication in crises such as COVID-19.\nObjective\nDrawing on the Crisis and Emergency Risk Communication framework, we sought to examine how leading health organizations use Instagram for communicating and engaging during the COVID-19 pandemic.\nMethods\nWe manually retrieved Instagram posts together with relevant metadata of four health organizations (WHO, CDC, IFRC, and NHS) shared between January 1, 2020, and April 30, 2020. Two coders manually coded the analytical sample of 269 posts related to COVID-19 on dimensions including content theme, gender depiction, person portrayal, and image type. We further analyzed engagement indices associated with the coded dimensions.\nResults\nThe CDC and WHO were the most active of all the assessed organizations with respect to the number of posts, reach, and engagement indices. Most of the posts were about personal preventive measures and mitigation, general advisory and vigilance, and showing gratitude and resilience. An overwhelming level of engagement was observed for posts representing celebrity, clarification, and infographics.\nConclusions\nInstagram can be an effective tool for health organizations to convey their messages during crisis communication, notably through celebrity involvement, clarification posts, and the use of infographics. There is much opportunity to strengthen the role of health organizations in countering misinformation on social media by providing accurate information, directing users to credible sources, and serving as a fact-check for false information.","container-title":"International Journal of Disaster Risk Reduction","DOI":"10.1016/j.ijdrr.2021.102346","ISSN":"2212-4209","journalAbbreviation":"International Journal of Disaster Risk Reduction","page":"102346","source":"ScienceDirect","title":"Public health agencies outreach through Instagram during the COVID-19 pandemic: Crisis and Emergency Risk Communication perspective","title-short":"Public health agencies outreach through Instagram during the COVID-19 pandemic","volume":"61","author":[{"family":"Malik","given":"Aqdas"},{"family":"Khan","given":"M. Laeeq"},{"family":"Quan-Haase","given":"Anabel"}],"issued":{"date-parts":[["2021",7,1]]}}},{"id":11253,"uris":["http://zotero.org/users/9129600/items/NNIPY4DQ"],"itemData":{"id":11253,"type":"article-journal","abstract":"In this study, we investigate the utilization of Instagram by public health ministries across the Gulf Cooperation Council (GCC) nations to disseminate health-related information during the COVID-19 pandemic. With Instagram’s visual-centric approach and high user engagement, the research aims to investigate its critical yet complex role in information dissemination amid a health crisis.","container-title":"BMC Public Health","DOI":"10.1186/s12889-024-18957-1","ISSN":"1471-2458","issue":"1","journalAbbreviation":"BMC Public Health","language":"en","page":"1587","source":"Springer Link","title":"Instagram for audience engagement: an evaluation of CERC framework in the GCC nations for digital public health during the Covid-19 pandemic","title-short":"Instagram for audience engagement","volume":"24","author":[{"family":"Elhersh","given":"Ghanem Ayed"},{"family":"Khan","given":"M. Laeeq"},{"family":"Malik","given":"Aqdas"},{"family":"Al-Umairi","given":"Maryam"},{"family":"Alqawasmeh","given":"Haneen Khaled"}],"issued":{"date-parts":[["2024",6,13]]}}},{"id":11265,"uris":["http://zotero.org/users/9129600/items/5JGXB9QU"],"itemData":{"id":11265,"type":"thesis","abstract":"Background: The scale and nature of the unprecedented COVID-19 pandemic demonstrated the importance of timely and immediate information dissemination to mitigate the transmission of the highly infectious virus. Governments have begun to utilize various social media platforms to provide useful and up-to-date information to the public. Although social media platforms are being increasingly utilized for risk communication, a limited amount of studies, particularly within Europe, have studied how stakeholders, such as governments, use social media to communicate risks, and the content that is communicated by these actors. Aims: The current study aimed to gain an insight in the ways the Scottish and Finnish government used their Twitter platforms to communicate the risk of COVID-19 and how their communication developed overtime. Drawing on the Crisis and Emergency Risk Communication framework (CERC), the author aimed to explore to what extent communicated risk messages aligned with CERC’s six principles (be first, be right, be credible, express empathy, promote action and show respect).\nMethods: Twitter posts published between March 1, 2020 and June 30, 2020 by the Finnish and Scottish governments communicating the risk of COVID-19 were manually retrieved using Twitter’s advanced search engine. 146 Finnish tweets and 330 Scottish tweets were deemed relevant and manually coded separately using principles from both content- and qualitative content analysis.\nResults: Both governments predominantly used Twitter to share key messages regarding COVID19, explain what they were doing or going to do to mitigate the situation, and promote action. The findings illustrate that both governments published the greatest number of tweets communicating the risk of COVID-19 when the number of new cases were significantly starting to rise, almost at their peak. All six CERC principles were reflected in the Finnish and Scottish government’s Twitter posts during the study period although, some to limited extents.\nConclusion: The findings of the study suggest that social media is a useful tool for risk communication, however, from a CERC prospective, gaps in risk communication strategies were identified. False information regarding COVID-19 has been rampant, however both the Finnish and Scottish government hardly used their Twitter platforms to address misinformation or rumors. This study has the potential to serve as a roadmap for strengthening the social media risk communications of government organizations, providing lessons learnt and areas within risk communication that need improvement.","event-place":"Finland","language":"en","publisher":"Tampere University","publisher-place":"Finland","source":"Zotero","title":"AN ANALYSIS OF RISK COMMUNICATION BY THE FINNISH AND SCOTTISH GOVERNMENT ON TWITTER DURING THE COVID-19 PANDEMIC","author":[{"family":"Mohamed","given":"Sainab"}],"issued":{"date-parts":[["2021"]]}}},{"id":11257,"uris":["http://zotero.org/users/9129600/items/595U4T5R"],"itemData":{"id":11257,"type":"article-journal","abstract":"Government communication introduced important lessons during the worldwide experience with the COVID-19 pandemic. It is important to apply known efficacious principles of risk and health communication strategies. The purpose of the study is to depict and explore the United Arab Emirates government communication scenario in tackling the COVID-19 pandemic as well as look at the types of strategies, information and messages delivered via digital mediums to handle challenges that are raised based on the Crisis and Emergency Risk Communication model. The study includes a qualitative analysis of two government bodies’ digital platforms: ‘The Ministry of Health and Prevention’ (mohap) and ‘Crisis and Disasters Management Authority’. Results indicated that the UAE government used different communication aims and strategies to face the pandemic according to the risk management scenario. In the quarantine phase, communication focused on giving people information about the disease, raising awareness about the disease, motivating health and behaviour change, informing people about government decisions and procedures. In the coexistence phase communication focused on emphasising the necessity of adherence the health measures, providing information on re-work in institutions and commercial centres, involving people in the health and social initiatives, confronting non-compliance with health precautions. Government communication also focused on facing rumours and false information. UAE government communication used digital platforms and social media to address more than 200 nationalities living in the state for ensuring that they adhere to the precautionary measures and coordinate with the authorities. Government communication was committed to a set of values including equality between citizens of the state and residents, societal and individual responsibility, recognising the frontline medical staff and acknowledging their sacrifices. UAE implemented an integrated, coherent and effective scenario to deal with the crisis. It developed risk communication strategies in health communication to manage the COVID-19 crisis by following international standards and also took into account its own political, economic, social and cultural features. The UAE government used many strategies to inform and convince people including clarification of measures strategy, reassurance strategy, ambiguity reduction strategy, behaviour efficacy strategy, correcting misinformation and rumours, advising strategy.","container-title":"Journal of Health Management","DOI":"10.1177/0972063420983091","ISSN":"0972-0634","issue":"4","language":"en","note":"publisher: SAGE Publications India","page":"516-527","source":"SAGE Journals","title":"Government Communication Strategies during Coronavirus Pandemic: United Arab Emirates Lessons","title-short":"Government Communication Strategies during Coronavirus Pandemic","volume":"22","author":[{"family":"Radwan","given":"Ahmed Farouk"},{"family":"Mousa","given":"Sheren Ali"}],"issued":{"date-parts":[["2020",12,1]]}}}],"schema":"https://github.com/citation-style-language/schema/raw/master/csl-citation.json"} </w:instrText>
      </w:r>
      <w:r>
        <w:fldChar w:fldCharType="separate"/>
      </w:r>
      <w:r>
        <w:t>[34, 37, 39, 56]</w:t>
      </w:r>
      <w:r>
        <w:fldChar w:fldCharType="end"/>
      </w:r>
      <w:r>
        <w:rPr>
          <w:rFonts w:ascii="Arial" w:eastAsia="Arial" w:hAnsi="Arial" w:cs="Arial"/>
          <w:sz w:val="22"/>
          <w:szCs w:val="22"/>
        </w:rPr>
        <w:t>.</w:t>
      </w:r>
    </w:p>
    <w:tbl>
      <w:tblPr>
        <w:tblW w:w="10350" w:type="dxa"/>
        <w:tblInd w:w="-454" w:type="dxa"/>
        <w:tblBorders>
          <w:top w:val="nil"/>
          <w:left w:val="nil"/>
          <w:bottom w:val="nil"/>
          <w:right w:val="nil"/>
          <w:insideH w:val="nil"/>
          <w:insideV w:val="nil"/>
        </w:tblBorders>
        <w:tblLayout w:type="fixed"/>
        <w:tblLook w:val="0600" w:firstRow="0" w:lastRow="0" w:firstColumn="0" w:lastColumn="0" w:noHBand="1" w:noVBand="1"/>
      </w:tblPr>
      <w:tblGrid>
        <w:gridCol w:w="1260"/>
        <w:gridCol w:w="2790"/>
        <w:gridCol w:w="6300"/>
      </w:tblGrid>
      <w:tr w:rsidR="00B85EA4" w14:paraId="4154CAB1" w14:textId="77777777" w:rsidTr="00BD1E5F">
        <w:trPr>
          <w:trHeight w:val="144"/>
        </w:trPr>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vAlign w:val="bottom"/>
          </w:tcPr>
          <w:p w14:paraId="4BFA85EB" w14:textId="77777777" w:rsidR="00B85EA4" w:rsidRDefault="00B85EA4" w:rsidP="00BD1E5F">
            <w:pPr>
              <w:spacing w:after="0" w:line="240" w:lineRule="auto"/>
              <w:ind w:firstLine="90"/>
              <w:contextualSpacing/>
              <w:rPr>
                <w:rFonts w:ascii="Arial" w:eastAsia="Arial" w:hAnsi="Arial" w:cs="Arial"/>
                <w:sz w:val="18"/>
                <w:szCs w:val="18"/>
              </w:rPr>
            </w:pPr>
            <w:r>
              <w:rPr>
                <w:rFonts w:ascii="Arial" w:eastAsia="Arial" w:hAnsi="Arial" w:cs="Arial"/>
                <w:b/>
                <w:sz w:val="18"/>
                <w:szCs w:val="18"/>
              </w:rPr>
              <w:t>Theme</w:t>
            </w:r>
          </w:p>
        </w:tc>
        <w:tc>
          <w:tcPr>
            <w:tcW w:w="2790" w:type="dxa"/>
            <w:tcBorders>
              <w:top w:val="single" w:sz="3" w:space="0" w:color="000000"/>
              <w:left w:val="nil"/>
              <w:bottom w:val="single" w:sz="3" w:space="0" w:color="000000"/>
              <w:right w:val="single" w:sz="3" w:space="0" w:color="000000"/>
            </w:tcBorders>
            <w:tcMar>
              <w:top w:w="20" w:type="dxa"/>
              <w:left w:w="20" w:type="dxa"/>
              <w:bottom w:w="100" w:type="dxa"/>
              <w:right w:w="20" w:type="dxa"/>
            </w:tcMar>
            <w:vAlign w:val="bottom"/>
          </w:tcPr>
          <w:p w14:paraId="64F07889"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b/>
                <w:sz w:val="18"/>
                <w:szCs w:val="18"/>
              </w:rPr>
              <w:t>Topic</w:t>
            </w:r>
          </w:p>
        </w:tc>
        <w:tc>
          <w:tcPr>
            <w:tcW w:w="6300" w:type="dxa"/>
            <w:tcBorders>
              <w:top w:val="single" w:sz="3" w:space="0" w:color="000000"/>
              <w:left w:val="nil"/>
              <w:bottom w:val="single" w:sz="3" w:space="0" w:color="000000"/>
              <w:right w:val="single" w:sz="3" w:space="0" w:color="000000"/>
            </w:tcBorders>
            <w:tcMar>
              <w:top w:w="20" w:type="dxa"/>
              <w:left w:w="20" w:type="dxa"/>
              <w:bottom w:w="100" w:type="dxa"/>
              <w:right w:w="20" w:type="dxa"/>
            </w:tcMar>
            <w:vAlign w:val="bottom"/>
          </w:tcPr>
          <w:p w14:paraId="784D1CBF"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b/>
                <w:sz w:val="18"/>
                <w:szCs w:val="18"/>
              </w:rPr>
              <w:t>Description</w:t>
            </w:r>
          </w:p>
        </w:tc>
      </w:tr>
      <w:tr w:rsidR="00B85EA4" w14:paraId="2EA03D7E" w14:textId="77777777" w:rsidTr="00BD1E5F">
        <w:trPr>
          <w:trHeight w:val="277"/>
        </w:trPr>
        <w:tc>
          <w:tcPr>
            <w:tcW w:w="1260" w:type="dxa"/>
            <w:vMerge w:val="restart"/>
            <w:tcBorders>
              <w:top w:val="nil"/>
              <w:left w:val="single" w:sz="3" w:space="0" w:color="000000"/>
              <w:bottom w:val="single" w:sz="3" w:space="0" w:color="000000"/>
              <w:right w:val="single" w:sz="3" w:space="0" w:color="000000"/>
            </w:tcBorders>
            <w:tcMar>
              <w:top w:w="20" w:type="dxa"/>
              <w:left w:w="20" w:type="dxa"/>
              <w:bottom w:w="100" w:type="dxa"/>
              <w:right w:w="20" w:type="dxa"/>
            </w:tcMar>
            <w:vAlign w:val="center"/>
          </w:tcPr>
          <w:p w14:paraId="6CF0B327" w14:textId="77777777" w:rsidR="00B85EA4" w:rsidRDefault="00B85EA4" w:rsidP="00BD1E5F">
            <w:pPr>
              <w:spacing w:after="0" w:line="240" w:lineRule="auto"/>
              <w:ind w:left="90"/>
              <w:contextualSpacing/>
              <w:rPr>
                <w:rFonts w:ascii="Arial" w:eastAsia="Arial" w:hAnsi="Arial" w:cs="Arial"/>
                <w:b/>
                <w:sz w:val="18"/>
                <w:szCs w:val="18"/>
              </w:rPr>
            </w:pPr>
            <w:r>
              <w:rPr>
                <w:rFonts w:ascii="Arial" w:eastAsia="Arial" w:hAnsi="Arial" w:cs="Arial"/>
                <w:b/>
                <w:sz w:val="18"/>
                <w:szCs w:val="18"/>
              </w:rPr>
              <w:t>Risk Messaging - COVID-19 Information</w:t>
            </w: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6915CA9D" w14:textId="77777777" w:rsidR="00B85EA4" w:rsidRDefault="00B85EA4" w:rsidP="00BD1E5F">
            <w:pPr>
              <w:spacing w:after="0" w:line="240" w:lineRule="auto"/>
              <w:ind w:left="90" w:right="165"/>
              <w:contextualSpacing/>
              <w:rPr>
                <w:rFonts w:ascii="Arial" w:eastAsia="Arial" w:hAnsi="Arial" w:cs="Arial"/>
                <w:sz w:val="18"/>
                <w:szCs w:val="18"/>
              </w:rPr>
            </w:pPr>
            <w:r>
              <w:rPr>
                <w:rFonts w:ascii="Arial" w:eastAsia="Arial" w:hAnsi="Arial" w:cs="Arial"/>
                <w:sz w:val="18"/>
                <w:szCs w:val="18"/>
              </w:rPr>
              <w:t>Basic information on the virus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040AD529"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Provides basic information about the nature of the virus and how it evolves</w:t>
            </w:r>
          </w:p>
        </w:tc>
      </w:tr>
      <w:tr w:rsidR="00B85EA4" w14:paraId="5826A38D" w14:textId="77777777" w:rsidTr="00BD1E5F">
        <w:trPr>
          <w:trHeight w:val="341"/>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5463DC12"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15FE7B74"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Symptoms and treatments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5ED2CD9B"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Describes the symptoms of the disease or updates any information related to the treatment method</w:t>
            </w:r>
          </w:p>
        </w:tc>
      </w:tr>
      <w:tr w:rsidR="00B85EA4" w14:paraId="2033600E" w14:textId="77777777" w:rsidTr="00BD1E5F">
        <w:trPr>
          <w:trHeight w:val="188"/>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5D5D35CE"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5BE61B04"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Infection and death cases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25A759F9"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Statistics of infected cases and death numbers</w:t>
            </w:r>
          </w:p>
        </w:tc>
      </w:tr>
      <w:tr w:rsidR="00B85EA4" w14:paraId="0617FEF4" w14:textId="77777777" w:rsidTr="00BD1E5F">
        <w:trPr>
          <w:trHeight w:val="224"/>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6DF8AE35"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8401F23"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Inquiries about COVID-19</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EF77388"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color w:val="0E0E0E"/>
                <w:sz w:val="18"/>
                <w:szCs w:val="18"/>
              </w:rPr>
              <w:t>Clarifies concepts and answers common questions about COVID-19</w:t>
            </w:r>
          </w:p>
        </w:tc>
      </w:tr>
      <w:tr w:rsidR="00B85EA4" w14:paraId="6E9078E5" w14:textId="77777777" w:rsidTr="00BD1E5F">
        <w:trPr>
          <w:trHeight w:val="152"/>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619C823F"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C3DA026"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Lifting restrictions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335B5E8"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Announces the lifting of bans or the relaxation of distancing restrictions</w:t>
            </w:r>
          </w:p>
        </w:tc>
      </w:tr>
      <w:tr w:rsidR="00B85EA4" w14:paraId="2F8B912F" w14:textId="77777777" w:rsidTr="00BD1E5F">
        <w:trPr>
          <w:trHeight w:val="420"/>
        </w:trPr>
        <w:tc>
          <w:tcPr>
            <w:tcW w:w="1260" w:type="dxa"/>
            <w:vMerge w:val="restart"/>
            <w:tcBorders>
              <w:top w:val="nil"/>
              <w:left w:val="single" w:sz="3" w:space="0" w:color="000000"/>
              <w:bottom w:val="single" w:sz="3" w:space="0" w:color="000000"/>
              <w:right w:val="single" w:sz="3" w:space="0" w:color="000000"/>
            </w:tcBorders>
            <w:tcMar>
              <w:top w:w="20" w:type="dxa"/>
              <w:left w:w="20" w:type="dxa"/>
              <w:bottom w:w="100" w:type="dxa"/>
              <w:right w:w="20" w:type="dxa"/>
            </w:tcMar>
            <w:vAlign w:val="center"/>
          </w:tcPr>
          <w:p w14:paraId="377ACD85" w14:textId="77777777" w:rsidR="00B85EA4" w:rsidRDefault="00B85EA4" w:rsidP="00BD1E5F">
            <w:pPr>
              <w:spacing w:after="0" w:line="240" w:lineRule="auto"/>
              <w:ind w:left="90" w:right="120"/>
              <w:contextualSpacing/>
              <w:rPr>
                <w:rFonts w:ascii="Arial" w:eastAsia="Arial" w:hAnsi="Arial" w:cs="Arial"/>
                <w:b/>
                <w:sz w:val="18"/>
                <w:szCs w:val="18"/>
              </w:rPr>
            </w:pPr>
            <w:r>
              <w:rPr>
                <w:rFonts w:ascii="Arial" w:eastAsia="Arial" w:hAnsi="Arial" w:cs="Arial"/>
                <w:b/>
                <w:sz w:val="18"/>
                <w:szCs w:val="18"/>
              </w:rPr>
              <w:t>Warnings and alerts</w:t>
            </w: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D2B498B"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Risk factors for viral transmission</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00B15EB9"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Describes the factors that cause the transmission and spread of the virus on a large scale</w:t>
            </w:r>
          </w:p>
        </w:tc>
      </w:tr>
      <w:tr w:rsidR="00B85EA4" w14:paraId="49532371" w14:textId="77777777" w:rsidTr="00BD1E5F">
        <w:trPr>
          <w:trHeight w:val="386"/>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184D97D6"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3C6B0F6"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Vulnerable groups at risk</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287FC91D"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Information about people with pre-existing conditions, older adults, or other groups at higher risk of infection</w:t>
            </w:r>
          </w:p>
        </w:tc>
      </w:tr>
      <w:tr w:rsidR="00B85EA4" w14:paraId="316C5C12" w14:textId="77777777" w:rsidTr="00BD1E5F">
        <w:trPr>
          <w:trHeight w:val="269"/>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158391F3"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382E054"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General alerts and surveillance</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EE4FA89"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Alerts, advice, or warnings to help the public respond to the pandemic in certain situations, such as travel and workplaces</w:t>
            </w:r>
          </w:p>
        </w:tc>
      </w:tr>
      <w:tr w:rsidR="00B85EA4" w14:paraId="6280D084" w14:textId="77777777" w:rsidTr="00BD1E5F">
        <w:trPr>
          <w:trHeight w:val="403"/>
        </w:trPr>
        <w:tc>
          <w:tcPr>
            <w:tcW w:w="1260" w:type="dxa"/>
            <w:vMerge w:val="restart"/>
            <w:tcBorders>
              <w:top w:val="nil"/>
              <w:left w:val="single" w:sz="3" w:space="0" w:color="000000"/>
              <w:bottom w:val="single" w:sz="3" w:space="0" w:color="000000"/>
              <w:right w:val="single" w:sz="3" w:space="0" w:color="000000"/>
            </w:tcBorders>
            <w:tcMar>
              <w:top w:w="20" w:type="dxa"/>
              <w:left w:w="20" w:type="dxa"/>
              <w:bottom w:w="100" w:type="dxa"/>
              <w:right w:w="20" w:type="dxa"/>
            </w:tcMar>
            <w:vAlign w:val="center"/>
          </w:tcPr>
          <w:p w14:paraId="2514F396" w14:textId="77777777" w:rsidR="00B85EA4" w:rsidRDefault="00B85EA4" w:rsidP="00BD1E5F">
            <w:pPr>
              <w:spacing w:after="0" w:line="240" w:lineRule="auto"/>
              <w:ind w:left="90"/>
              <w:contextualSpacing/>
              <w:rPr>
                <w:rFonts w:ascii="Arial" w:eastAsia="Arial" w:hAnsi="Arial" w:cs="Arial"/>
                <w:b/>
                <w:sz w:val="18"/>
                <w:szCs w:val="18"/>
              </w:rPr>
            </w:pPr>
            <w:r>
              <w:rPr>
                <w:rFonts w:ascii="Arial" w:eastAsia="Arial" w:hAnsi="Arial" w:cs="Arial"/>
                <w:b/>
                <w:sz w:val="18"/>
                <w:szCs w:val="18"/>
              </w:rPr>
              <w:t>Preparation and uncertainty reduction</w:t>
            </w: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2FD17B30"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 xml:space="preserve">Clarifications on the pandemic </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126FB509"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Alert/debunk pandemic/COVID-19 myths, fake news, or misinformation about the COVID-19 pandemic</w:t>
            </w:r>
          </w:p>
        </w:tc>
      </w:tr>
      <w:tr w:rsidR="00B85EA4" w14:paraId="52E35849" w14:textId="77777777" w:rsidTr="00BD1E5F">
        <w:trPr>
          <w:trHeight w:val="53"/>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02CC4547"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18A68CA"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Testing</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65E30FD5"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Information regarding tests that detect COVID-19</w:t>
            </w:r>
          </w:p>
        </w:tc>
      </w:tr>
      <w:tr w:rsidR="00B85EA4" w14:paraId="2F5EAE38" w14:textId="77777777" w:rsidTr="00BD1E5F">
        <w:trPr>
          <w:trHeight w:val="62"/>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76BED6A9"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123E120D"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Vaccine information</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2472B8D"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Clarifies how vaccines work and debunks myths about them</w:t>
            </w:r>
          </w:p>
        </w:tc>
      </w:tr>
      <w:tr w:rsidR="00B85EA4" w14:paraId="1D8ED406" w14:textId="77777777" w:rsidTr="00BD1E5F">
        <w:trPr>
          <w:trHeight w:val="224"/>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5E4E66B2"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00C69807"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Information on the scope of vaccination</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5DC30475"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Data on the number of vaccines available and/or people vaccinated</w:t>
            </w:r>
          </w:p>
        </w:tc>
      </w:tr>
      <w:tr w:rsidR="00B85EA4" w14:paraId="1C508F21" w14:textId="77777777" w:rsidTr="00BD1E5F">
        <w:trPr>
          <w:trHeight w:val="278"/>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0B68AF1E"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A12C992"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Quarantines and restrictions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DCBBE4E"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Information on measures restricting people's movements and public  measures to prevent contagion</w:t>
            </w:r>
          </w:p>
        </w:tc>
      </w:tr>
      <w:tr w:rsidR="00B85EA4" w14:paraId="1F70576C" w14:textId="77777777" w:rsidTr="00BD1E5F">
        <w:trPr>
          <w:trHeight w:val="250"/>
        </w:trPr>
        <w:tc>
          <w:tcPr>
            <w:tcW w:w="1260" w:type="dxa"/>
            <w:vMerge w:val="restart"/>
            <w:tcBorders>
              <w:top w:val="nil"/>
              <w:left w:val="single" w:sz="3" w:space="0" w:color="000000"/>
              <w:bottom w:val="single" w:sz="3" w:space="0" w:color="000000"/>
              <w:right w:val="single" w:sz="3" w:space="0" w:color="000000"/>
            </w:tcBorders>
            <w:tcMar>
              <w:top w:w="20" w:type="dxa"/>
              <w:left w:w="20" w:type="dxa"/>
              <w:bottom w:w="100" w:type="dxa"/>
              <w:right w:w="20" w:type="dxa"/>
            </w:tcMar>
            <w:vAlign w:val="center"/>
          </w:tcPr>
          <w:p w14:paraId="598FA1D4" w14:textId="77777777" w:rsidR="00B85EA4" w:rsidRDefault="00B85EA4" w:rsidP="00BD1E5F">
            <w:pPr>
              <w:spacing w:after="0" w:line="240" w:lineRule="auto"/>
              <w:ind w:left="90"/>
              <w:contextualSpacing/>
              <w:rPr>
                <w:rFonts w:ascii="Arial" w:eastAsia="Arial" w:hAnsi="Arial" w:cs="Arial"/>
                <w:b/>
                <w:sz w:val="18"/>
                <w:szCs w:val="18"/>
              </w:rPr>
            </w:pPr>
            <w:r>
              <w:rPr>
                <w:rFonts w:ascii="Arial" w:eastAsia="Arial" w:hAnsi="Arial" w:cs="Arial"/>
                <w:b/>
                <w:sz w:val="18"/>
                <w:szCs w:val="18"/>
              </w:rPr>
              <w:t>Self-efficacy and constructing meaning</w:t>
            </w: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6402EBC"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Social distancing and staying at home</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174DD1A5"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Promotes avoiding close physical contact and unnecessary travel, adhering to social distancing protocols, or staying home.</w:t>
            </w:r>
          </w:p>
        </w:tc>
      </w:tr>
      <w:tr w:rsidR="00B85EA4" w14:paraId="012D864C" w14:textId="77777777" w:rsidTr="00BD1E5F">
        <w:trPr>
          <w:trHeight w:val="341"/>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33D691B8"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9A0FE42"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Hand hygiene and face mask usage</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0470F94"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Promotes and provides information and guidance on the use of masks and thorough hand hygiene.</w:t>
            </w:r>
          </w:p>
        </w:tc>
      </w:tr>
      <w:tr w:rsidR="00B85EA4" w14:paraId="1764CE05" w14:textId="77777777" w:rsidTr="00BD1E5F">
        <w:trPr>
          <w:trHeight w:val="269"/>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4A85C9CE"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099BC685"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Mental health and well-being</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381BA3B9"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Tips and guidance on self-care methods (e.g., following a routine) to address fear, worry, or mental health symptoms.</w:t>
            </w:r>
          </w:p>
        </w:tc>
      </w:tr>
      <w:tr w:rsidR="00B85EA4" w14:paraId="0DB4AD21" w14:textId="77777777" w:rsidTr="00BD1E5F">
        <w:trPr>
          <w:trHeight w:val="107"/>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1140592E"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6CA9F880"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Encourages vaccination</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FAF2895"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Explicitly invites individuals to get vaccinated</w:t>
            </w:r>
          </w:p>
        </w:tc>
      </w:tr>
      <w:tr w:rsidR="00B85EA4" w14:paraId="72F0609F" w14:textId="77777777" w:rsidTr="00BD1E5F">
        <w:trPr>
          <w:trHeight w:val="233"/>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67628C06"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AA2B57E"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Clarifies doubts and answers questions regarding vaccines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5F199184"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Answers specific questions from the public about vaccines</w:t>
            </w:r>
          </w:p>
        </w:tc>
      </w:tr>
      <w:tr w:rsidR="00B85EA4" w14:paraId="16A08941" w14:textId="77777777" w:rsidTr="00BD1E5F">
        <w:trPr>
          <w:trHeight w:val="510"/>
        </w:trPr>
        <w:tc>
          <w:tcPr>
            <w:tcW w:w="1260" w:type="dxa"/>
            <w:vMerge w:val="restart"/>
            <w:tcBorders>
              <w:top w:val="nil"/>
              <w:left w:val="single" w:sz="3" w:space="0" w:color="000000"/>
              <w:bottom w:val="single" w:sz="3" w:space="0" w:color="000000"/>
              <w:right w:val="single" w:sz="3" w:space="0" w:color="000000"/>
            </w:tcBorders>
            <w:tcMar>
              <w:top w:w="20" w:type="dxa"/>
              <w:left w:w="20" w:type="dxa"/>
              <w:bottom w:w="100" w:type="dxa"/>
              <w:right w:w="20" w:type="dxa"/>
            </w:tcMar>
            <w:vAlign w:val="center"/>
          </w:tcPr>
          <w:p w14:paraId="0AB7B4A4" w14:textId="77777777" w:rsidR="00B85EA4" w:rsidRDefault="00B85EA4" w:rsidP="00BD1E5F">
            <w:pPr>
              <w:spacing w:after="0" w:line="240" w:lineRule="auto"/>
              <w:ind w:left="90"/>
              <w:contextualSpacing/>
              <w:rPr>
                <w:rFonts w:ascii="Arial" w:eastAsia="Arial" w:hAnsi="Arial" w:cs="Arial"/>
                <w:b/>
                <w:sz w:val="18"/>
                <w:szCs w:val="18"/>
              </w:rPr>
            </w:pPr>
            <w:r>
              <w:rPr>
                <w:rFonts w:ascii="Arial" w:eastAsia="Arial" w:hAnsi="Arial" w:cs="Arial"/>
                <w:b/>
                <w:sz w:val="18"/>
                <w:szCs w:val="18"/>
              </w:rPr>
              <w:t>Reassurance</w:t>
            </w: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499BB3D"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Ongoing activities, events, or campaigns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58B0EDD2"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Explains what the government is currently doing in response to the pandemic.</w:t>
            </w:r>
          </w:p>
        </w:tc>
      </w:tr>
      <w:tr w:rsidR="00B85EA4" w14:paraId="19983DFA" w14:textId="77777777" w:rsidTr="00BD1E5F">
        <w:trPr>
          <w:trHeight w:val="510"/>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27BE2EAC"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46114ED5"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Future activities, events, or campaigns</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210A0CC2"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Describes or explains actions that the government will take in the future in response to the pandemic.</w:t>
            </w:r>
          </w:p>
        </w:tc>
      </w:tr>
      <w:tr w:rsidR="00B85EA4" w14:paraId="02ABE273" w14:textId="77777777" w:rsidTr="00BD1E5F">
        <w:trPr>
          <w:trHeight w:val="125"/>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008E6EF3"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73430C8F"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Expression of gratitude</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6E45B133"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Expressing gratitude, approval, greetings, reassurance, or paying tribute to frontline workers (e.g., doctors, nurses, cleaning staff, etc.)</w:t>
            </w:r>
          </w:p>
        </w:tc>
      </w:tr>
      <w:tr w:rsidR="00B85EA4" w14:paraId="586A0E97" w14:textId="77777777" w:rsidTr="00BD1E5F">
        <w:trPr>
          <w:trHeight w:val="20"/>
        </w:trPr>
        <w:tc>
          <w:tcPr>
            <w:tcW w:w="1260" w:type="dxa"/>
            <w:vMerge/>
            <w:tcBorders>
              <w:top w:val="nil"/>
              <w:left w:val="single" w:sz="3" w:space="0" w:color="000000"/>
              <w:bottom w:val="single" w:sz="3" w:space="0" w:color="000000"/>
              <w:right w:val="single" w:sz="3" w:space="0" w:color="000000"/>
            </w:tcBorders>
            <w:tcMar>
              <w:top w:w="100" w:type="dxa"/>
              <w:left w:w="100" w:type="dxa"/>
              <w:bottom w:w="100" w:type="dxa"/>
              <w:right w:w="100" w:type="dxa"/>
            </w:tcMar>
          </w:tcPr>
          <w:p w14:paraId="171AFF11" w14:textId="77777777" w:rsidR="00B85EA4" w:rsidRDefault="00B85EA4" w:rsidP="00BD1E5F">
            <w:pPr>
              <w:spacing w:after="0" w:line="240" w:lineRule="auto"/>
              <w:contextualSpacing/>
              <w:jc w:val="both"/>
              <w:rPr>
                <w:rFonts w:ascii="Arial" w:eastAsia="Arial" w:hAnsi="Arial" w:cs="Arial"/>
                <w:sz w:val="22"/>
                <w:szCs w:val="22"/>
              </w:rPr>
            </w:pPr>
          </w:p>
        </w:tc>
        <w:tc>
          <w:tcPr>
            <w:tcW w:w="279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01B7E5E1" w14:textId="77777777" w:rsidR="00B85EA4" w:rsidRDefault="00B85EA4" w:rsidP="00BD1E5F">
            <w:pPr>
              <w:spacing w:after="0" w:line="240" w:lineRule="auto"/>
              <w:ind w:left="90"/>
              <w:contextualSpacing/>
              <w:rPr>
                <w:rFonts w:ascii="Arial" w:eastAsia="Arial" w:hAnsi="Arial" w:cs="Arial"/>
                <w:sz w:val="18"/>
                <w:szCs w:val="18"/>
              </w:rPr>
            </w:pPr>
            <w:r>
              <w:rPr>
                <w:rFonts w:ascii="Arial" w:eastAsia="Arial" w:hAnsi="Arial" w:cs="Arial"/>
                <w:sz w:val="18"/>
                <w:szCs w:val="18"/>
              </w:rPr>
              <w:t>Collective Responsibility</w:t>
            </w:r>
          </w:p>
        </w:tc>
        <w:tc>
          <w:tcPr>
            <w:tcW w:w="630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06FAA3C9" w14:textId="77777777" w:rsidR="00B85EA4" w:rsidRDefault="00B85EA4" w:rsidP="00BD1E5F">
            <w:pPr>
              <w:spacing w:after="0" w:line="240" w:lineRule="auto"/>
              <w:ind w:left="180"/>
              <w:contextualSpacing/>
              <w:rPr>
                <w:rFonts w:ascii="Arial" w:eastAsia="Arial" w:hAnsi="Arial" w:cs="Arial"/>
                <w:sz w:val="18"/>
                <w:szCs w:val="18"/>
              </w:rPr>
            </w:pPr>
            <w:r>
              <w:rPr>
                <w:rFonts w:ascii="Arial" w:eastAsia="Arial" w:hAnsi="Arial" w:cs="Arial"/>
                <w:sz w:val="18"/>
                <w:szCs w:val="18"/>
              </w:rPr>
              <w:t>Encourages people to cooperate and take responsibility to limit the spread of the pandemic</w:t>
            </w:r>
          </w:p>
        </w:tc>
      </w:tr>
    </w:tbl>
    <w:p w14:paraId="77BEAD01" w14:textId="77777777" w:rsidR="00B85EA4" w:rsidRDefault="00B85EA4" w:rsidP="00B85EA4">
      <w:pPr>
        <w:spacing w:after="0" w:line="240" w:lineRule="auto"/>
        <w:jc w:val="both"/>
        <w:rPr>
          <w:rFonts w:ascii="Arial" w:eastAsia="Arial" w:hAnsi="Arial" w:cs="Arial"/>
          <w:sz w:val="22"/>
          <w:szCs w:val="22"/>
        </w:rPr>
      </w:pPr>
      <w:r>
        <w:rPr>
          <w:rFonts w:ascii="Arial" w:eastAsia="Arial" w:hAnsi="Arial" w:cs="Arial"/>
          <w:b/>
          <w:sz w:val="22"/>
          <w:szCs w:val="22"/>
        </w:rPr>
        <w:lastRenderedPageBreak/>
        <w:t xml:space="preserve">APPENDIX B. Definitions of the Guiding Principles for Crisis Communication. </w:t>
      </w:r>
      <w:r>
        <w:rPr>
          <w:rFonts w:ascii="Arial" w:eastAsia="Arial" w:hAnsi="Arial" w:cs="Arial"/>
          <w:sz w:val="22"/>
          <w:szCs w:val="22"/>
        </w:rPr>
        <w:t xml:space="preserve">Adapted from Ford et al., 2024 </w:t>
      </w:r>
      <w:r>
        <w:fldChar w:fldCharType="begin"/>
      </w:r>
      <w:r>
        <w:instrText xml:space="preserve"> ADDIN ZOTERO_ITEM CSL_CITATION {"citationID":"F5fXTrup","properties":{"formattedCitation":"[10]","plainCitation":"[10]","noteIndex":0},"citationItems":[{"id":13739,"uris":["http://zotero.org/groups/4661763/items/MIW8LG8G"],"itemData":{"id":13739,"type":"article-journal","abstract":"In Canada, during the pandemic, young adults (18–29 year-olds) represented one of the least-vaccinated age groups against COVID-19. These low vaccination rates, and high infection rates, left young people vulnerable to severe infections and created a risk for transmission to immunocompromised populations. Given young adults’ unique characteristics, to encourage vaccination among this demographic, public health and government officials must adopt an audience-centred approach to communication. We sought to understand if the vaccine messages from 8 Canadian federal government Instagram accounts met the needs of young adults based two frameworks: Guiding Principles for Crisis Communication (compassion and empathy, conversational tone, transparency, clarity, call to action and correction of misinformation), and the 5C Model for Vaccine Hesitancy (confidence, complacency, constraints, collective responsibility, and risk calculation). Across 159 posts that mentioned COVID-19 vaccines, there was limited incorporation of best practices, suggesting the government’s communication strategy did not meet the needs of young people.","container-title":"Emerging Adulthood","DOI":"10.1177/21676968231222439","ISSN":"2167-6968","issue":"2","language":"en","note":"publisher: SAGE Publications Inc","page":"224-235","source":"SAGE Journals","title":"COVID-19 Vaccine Communications on Instagram and Vaccine Uptake in Young Adults: A Content Assessment and Public Engagement Analysis","title-short":"COVID-19 Vaccine Communications on Instagram and Vaccine Uptake in Young Adults","volume":"12","author":[{"family":"Ford","given":"Caitlin"},{"family":"MacKay","given":"Melissa"},{"family":"Thaivalappil","given":"Abhinand"},{"family":"McWhirter","given":"Jennifer"},{"family":"Papadopoulos","given":"Andrew"}],"issued":{"date-parts":[["2024",4,1]]}}}],"schema":"https://github.com/citation-style-language/schema/raw/master/csl-citation.json"} </w:instrText>
      </w:r>
      <w:r>
        <w:fldChar w:fldCharType="separate"/>
      </w:r>
      <w:r>
        <w:t>[10]</w:t>
      </w:r>
      <w:r>
        <w:fldChar w:fldCharType="end"/>
      </w:r>
      <w:r>
        <w:rPr>
          <w:rFonts w:ascii="Arial" w:eastAsia="Arial" w:hAnsi="Arial" w:cs="Arial"/>
          <w:sz w:val="22"/>
          <w:szCs w:val="22"/>
        </w:rPr>
        <w:t xml:space="preserve">. </w:t>
      </w:r>
    </w:p>
    <w:p w14:paraId="69000170" w14:textId="77777777" w:rsidR="00B85EA4" w:rsidRDefault="00B85EA4" w:rsidP="00B85EA4">
      <w:pPr>
        <w:spacing w:after="0" w:line="240" w:lineRule="auto"/>
        <w:jc w:val="both"/>
        <w:rPr>
          <w:rFonts w:ascii="Arial" w:eastAsia="Arial" w:hAnsi="Arial" w:cs="Arial"/>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70"/>
        <w:gridCol w:w="6690"/>
      </w:tblGrid>
      <w:tr w:rsidR="00B85EA4" w14:paraId="25CD5681" w14:textId="77777777" w:rsidTr="00BD1E5F">
        <w:tc>
          <w:tcPr>
            <w:tcW w:w="26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440C1D" w14:textId="77777777" w:rsidR="00B85EA4" w:rsidRDefault="00B85EA4" w:rsidP="00BD1E5F">
            <w:pPr>
              <w:widowControl w:val="0"/>
              <w:spacing w:after="0" w:line="240" w:lineRule="auto"/>
              <w:rPr>
                <w:rFonts w:ascii="Arial" w:eastAsia="Arial" w:hAnsi="Arial" w:cs="Arial"/>
                <w:b/>
                <w:sz w:val="20"/>
                <w:szCs w:val="20"/>
              </w:rPr>
            </w:pPr>
            <w:r>
              <w:rPr>
                <w:rFonts w:ascii="Arial" w:eastAsia="Arial" w:hAnsi="Arial" w:cs="Arial"/>
                <w:b/>
                <w:sz w:val="20"/>
                <w:szCs w:val="20"/>
              </w:rPr>
              <w:t>Guiding Principle</w:t>
            </w:r>
          </w:p>
        </w:tc>
        <w:tc>
          <w:tcPr>
            <w:tcW w:w="669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9199FE" w14:textId="77777777" w:rsidR="00B85EA4" w:rsidRDefault="00B85EA4" w:rsidP="00BD1E5F">
            <w:pPr>
              <w:widowControl w:val="0"/>
              <w:spacing w:after="0" w:line="240" w:lineRule="auto"/>
              <w:rPr>
                <w:rFonts w:ascii="Arial" w:eastAsia="Arial" w:hAnsi="Arial" w:cs="Arial"/>
                <w:b/>
                <w:sz w:val="20"/>
                <w:szCs w:val="20"/>
              </w:rPr>
            </w:pPr>
            <w:r>
              <w:rPr>
                <w:rFonts w:ascii="Arial" w:eastAsia="Arial" w:hAnsi="Arial" w:cs="Arial"/>
                <w:b/>
                <w:sz w:val="20"/>
                <w:szCs w:val="20"/>
              </w:rPr>
              <w:t>Communication Strategy</w:t>
            </w:r>
          </w:p>
        </w:tc>
      </w:tr>
      <w:tr w:rsidR="00B85EA4" w14:paraId="43D49144" w14:textId="77777777" w:rsidTr="00BD1E5F">
        <w:tc>
          <w:tcPr>
            <w:tcW w:w="2670" w:type="dxa"/>
            <w:tcBorders>
              <w:top w:val="single" w:sz="4"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17C534D" w14:textId="77777777" w:rsidR="00B85EA4" w:rsidRDefault="00B85EA4" w:rsidP="00BD1E5F">
            <w:pPr>
              <w:widowControl w:val="0"/>
              <w:spacing w:after="0" w:line="240" w:lineRule="auto"/>
              <w:ind w:firstLine="90"/>
              <w:rPr>
                <w:rFonts w:ascii="Arial" w:eastAsia="Arial" w:hAnsi="Arial" w:cs="Arial"/>
                <w:sz w:val="20"/>
                <w:szCs w:val="20"/>
              </w:rPr>
            </w:pPr>
            <w:r>
              <w:rPr>
                <w:rFonts w:ascii="Arial" w:eastAsia="Arial" w:hAnsi="Arial" w:cs="Arial"/>
                <w:sz w:val="20"/>
                <w:szCs w:val="20"/>
              </w:rPr>
              <w:t xml:space="preserve">Call to action </w:t>
            </w:r>
          </w:p>
        </w:tc>
        <w:tc>
          <w:tcPr>
            <w:tcW w:w="6690" w:type="dxa"/>
            <w:tcBorders>
              <w:top w:val="single" w:sz="4"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99492E8" w14:textId="77777777" w:rsidR="00B85EA4" w:rsidRDefault="00B85EA4" w:rsidP="00BD1E5F">
            <w:pPr>
              <w:widowControl w:val="0"/>
              <w:spacing w:after="0" w:line="240" w:lineRule="auto"/>
              <w:ind w:left="90"/>
              <w:rPr>
                <w:rFonts w:ascii="Arial" w:eastAsia="Arial" w:hAnsi="Arial" w:cs="Arial"/>
                <w:sz w:val="20"/>
                <w:szCs w:val="20"/>
              </w:rPr>
            </w:pPr>
            <w:r>
              <w:rPr>
                <w:rFonts w:ascii="Arial" w:eastAsia="Arial" w:hAnsi="Arial" w:cs="Arial"/>
                <w:sz w:val="20"/>
                <w:szCs w:val="20"/>
              </w:rPr>
              <w:t xml:space="preserve">Directs the audience to complete a task based on the shared information; Provides links to more information; Provides prompts to interact with the content (like, share, comment) </w:t>
            </w:r>
          </w:p>
        </w:tc>
      </w:tr>
      <w:tr w:rsidR="00B85EA4" w14:paraId="644E2E5C" w14:textId="77777777" w:rsidTr="00BD1E5F">
        <w:tc>
          <w:tcPr>
            <w:tcW w:w="267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4CD5C661" w14:textId="77777777" w:rsidR="00B85EA4" w:rsidRDefault="00B85EA4" w:rsidP="00BD1E5F">
            <w:pPr>
              <w:widowControl w:val="0"/>
              <w:spacing w:after="0" w:line="240" w:lineRule="auto"/>
              <w:ind w:firstLine="90"/>
              <w:rPr>
                <w:rFonts w:ascii="Arial" w:eastAsia="Arial" w:hAnsi="Arial" w:cs="Arial"/>
                <w:sz w:val="20"/>
                <w:szCs w:val="20"/>
              </w:rPr>
            </w:pPr>
            <w:r>
              <w:rPr>
                <w:rFonts w:ascii="Arial" w:eastAsia="Arial" w:hAnsi="Arial" w:cs="Arial"/>
                <w:sz w:val="20"/>
                <w:szCs w:val="20"/>
              </w:rPr>
              <w:t xml:space="preserve">Clarity </w:t>
            </w:r>
          </w:p>
        </w:tc>
        <w:tc>
          <w:tcPr>
            <w:tcW w:w="669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40284790" w14:textId="77777777" w:rsidR="00B85EA4" w:rsidRDefault="00B85EA4" w:rsidP="00BD1E5F">
            <w:pPr>
              <w:widowControl w:val="0"/>
              <w:spacing w:after="0" w:line="240" w:lineRule="auto"/>
              <w:ind w:left="90"/>
              <w:rPr>
                <w:rFonts w:ascii="Arial" w:eastAsia="Arial" w:hAnsi="Arial" w:cs="Arial"/>
                <w:sz w:val="20"/>
                <w:szCs w:val="20"/>
              </w:rPr>
            </w:pPr>
            <w:r>
              <w:rPr>
                <w:rFonts w:ascii="Arial" w:eastAsia="Arial" w:hAnsi="Arial" w:cs="Arial"/>
                <w:sz w:val="20"/>
                <w:szCs w:val="20"/>
              </w:rPr>
              <w:t xml:space="preserve">Clear and simple messaging; Written in plain language; Uses visuals to explain complex information  </w:t>
            </w:r>
          </w:p>
        </w:tc>
      </w:tr>
      <w:tr w:rsidR="00B85EA4" w14:paraId="7C92B429" w14:textId="77777777" w:rsidTr="00BD1E5F">
        <w:tc>
          <w:tcPr>
            <w:tcW w:w="267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26557177" w14:textId="77777777" w:rsidR="00B85EA4" w:rsidRDefault="00B85EA4" w:rsidP="00BD1E5F">
            <w:pPr>
              <w:widowControl w:val="0"/>
              <w:spacing w:after="0" w:line="240" w:lineRule="auto"/>
              <w:ind w:firstLine="90"/>
              <w:rPr>
                <w:rFonts w:ascii="Arial" w:eastAsia="Arial" w:hAnsi="Arial" w:cs="Arial"/>
                <w:sz w:val="20"/>
                <w:szCs w:val="20"/>
              </w:rPr>
            </w:pPr>
            <w:r>
              <w:rPr>
                <w:rFonts w:ascii="Arial" w:eastAsia="Arial" w:hAnsi="Arial" w:cs="Arial"/>
                <w:sz w:val="20"/>
                <w:szCs w:val="20"/>
              </w:rPr>
              <w:t xml:space="preserve">Compassion and empathy </w:t>
            </w:r>
          </w:p>
        </w:tc>
        <w:tc>
          <w:tcPr>
            <w:tcW w:w="669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36EEA73E" w14:textId="77777777" w:rsidR="00B85EA4" w:rsidRDefault="00B85EA4" w:rsidP="00BD1E5F">
            <w:pPr>
              <w:widowControl w:val="0"/>
              <w:spacing w:after="0" w:line="240" w:lineRule="auto"/>
              <w:ind w:left="90"/>
              <w:rPr>
                <w:rFonts w:ascii="Arial" w:eastAsia="Arial" w:hAnsi="Arial" w:cs="Arial"/>
                <w:sz w:val="20"/>
                <w:szCs w:val="20"/>
              </w:rPr>
            </w:pPr>
            <w:r>
              <w:rPr>
                <w:rFonts w:ascii="Arial" w:eastAsia="Arial" w:hAnsi="Arial" w:cs="Arial"/>
                <w:sz w:val="20"/>
                <w:szCs w:val="20"/>
              </w:rPr>
              <w:t xml:space="preserve">Contains expressions of kindness, gratitude, concern, and humanity </w:t>
            </w:r>
          </w:p>
        </w:tc>
      </w:tr>
      <w:tr w:rsidR="00B85EA4" w14:paraId="0F8016B0" w14:textId="77777777" w:rsidTr="00BD1E5F">
        <w:tc>
          <w:tcPr>
            <w:tcW w:w="267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23168368" w14:textId="77777777" w:rsidR="00B85EA4" w:rsidRDefault="00B85EA4" w:rsidP="00BD1E5F">
            <w:pPr>
              <w:widowControl w:val="0"/>
              <w:spacing w:after="0" w:line="240" w:lineRule="auto"/>
              <w:ind w:firstLine="90"/>
              <w:rPr>
                <w:rFonts w:ascii="Arial" w:eastAsia="Arial" w:hAnsi="Arial" w:cs="Arial"/>
                <w:sz w:val="20"/>
                <w:szCs w:val="20"/>
              </w:rPr>
            </w:pPr>
            <w:r>
              <w:rPr>
                <w:rFonts w:ascii="Arial" w:eastAsia="Arial" w:hAnsi="Arial" w:cs="Arial"/>
                <w:sz w:val="20"/>
                <w:szCs w:val="20"/>
              </w:rPr>
              <w:t>Conversational Tone</w:t>
            </w:r>
          </w:p>
        </w:tc>
        <w:tc>
          <w:tcPr>
            <w:tcW w:w="669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31BBDFA9" w14:textId="77777777" w:rsidR="00B85EA4" w:rsidRDefault="00B85EA4" w:rsidP="00BD1E5F">
            <w:pPr>
              <w:widowControl w:val="0"/>
              <w:spacing w:after="0" w:line="240" w:lineRule="auto"/>
              <w:ind w:left="90"/>
              <w:rPr>
                <w:rFonts w:ascii="Arial" w:eastAsia="Arial" w:hAnsi="Arial" w:cs="Arial"/>
                <w:sz w:val="20"/>
                <w:szCs w:val="20"/>
              </w:rPr>
            </w:pPr>
            <w:r>
              <w:rPr>
                <w:rFonts w:ascii="Arial" w:eastAsia="Arial" w:hAnsi="Arial" w:cs="Arial"/>
                <w:sz w:val="20"/>
                <w:szCs w:val="20"/>
              </w:rPr>
              <w:t xml:space="preserve">Balances a friendly and professional tone; Written in the first or second person; Includes colloquial language and good grammar </w:t>
            </w:r>
          </w:p>
        </w:tc>
      </w:tr>
      <w:tr w:rsidR="00B85EA4" w14:paraId="762A37A0" w14:textId="77777777" w:rsidTr="00BD1E5F">
        <w:tc>
          <w:tcPr>
            <w:tcW w:w="267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3FF30B92" w14:textId="77777777" w:rsidR="00B85EA4" w:rsidRDefault="00B85EA4" w:rsidP="00BD1E5F">
            <w:pPr>
              <w:widowControl w:val="0"/>
              <w:spacing w:after="0" w:line="240" w:lineRule="auto"/>
              <w:ind w:firstLine="90"/>
              <w:rPr>
                <w:rFonts w:ascii="Arial" w:eastAsia="Arial" w:hAnsi="Arial" w:cs="Arial"/>
                <w:sz w:val="20"/>
                <w:szCs w:val="20"/>
              </w:rPr>
            </w:pPr>
            <w:r>
              <w:rPr>
                <w:rFonts w:ascii="Arial" w:eastAsia="Arial" w:hAnsi="Arial" w:cs="Arial"/>
                <w:sz w:val="20"/>
                <w:szCs w:val="20"/>
              </w:rPr>
              <w:t xml:space="preserve">Correcting misinformation </w:t>
            </w:r>
          </w:p>
        </w:tc>
        <w:tc>
          <w:tcPr>
            <w:tcW w:w="6690" w:type="dxa"/>
            <w:tcBorders>
              <w:top w:val="nil"/>
              <w:left w:val="single" w:sz="3" w:space="0" w:color="000000"/>
              <w:bottom w:val="single" w:sz="3" w:space="0" w:color="000000"/>
              <w:right w:val="single" w:sz="3" w:space="0" w:color="000000"/>
            </w:tcBorders>
            <w:tcMar>
              <w:top w:w="20" w:type="dxa"/>
              <w:left w:w="20" w:type="dxa"/>
              <w:bottom w:w="100" w:type="dxa"/>
              <w:right w:w="20" w:type="dxa"/>
            </w:tcMar>
          </w:tcPr>
          <w:p w14:paraId="6A0FAB44" w14:textId="77777777" w:rsidR="00B85EA4" w:rsidRDefault="00B85EA4" w:rsidP="00BD1E5F">
            <w:pPr>
              <w:widowControl w:val="0"/>
              <w:spacing w:after="0" w:line="240" w:lineRule="auto"/>
              <w:ind w:left="90"/>
              <w:rPr>
                <w:rFonts w:ascii="Arial" w:eastAsia="Arial" w:hAnsi="Arial" w:cs="Arial"/>
                <w:sz w:val="20"/>
                <w:szCs w:val="20"/>
              </w:rPr>
            </w:pPr>
            <w:r>
              <w:rPr>
                <w:rFonts w:ascii="Arial" w:eastAsia="Arial" w:hAnsi="Arial" w:cs="Arial"/>
                <w:sz w:val="20"/>
                <w:szCs w:val="20"/>
              </w:rPr>
              <w:t xml:space="preserve">Addresses and corrects myths, rumors, and misinformation about the crisis </w:t>
            </w:r>
          </w:p>
        </w:tc>
      </w:tr>
      <w:tr w:rsidR="00B85EA4" w14:paraId="4316492D" w14:textId="77777777" w:rsidTr="00BD1E5F">
        <w:tc>
          <w:tcPr>
            <w:tcW w:w="2670" w:type="dxa"/>
            <w:tcBorders>
              <w:top w:val="nil"/>
              <w:left w:val="single" w:sz="3" w:space="0" w:color="000000"/>
              <w:bottom w:val="single" w:sz="4" w:space="0" w:color="000000"/>
              <w:right w:val="single" w:sz="3" w:space="0" w:color="000000"/>
            </w:tcBorders>
            <w:tcMar>
              <w:top w:w="20" w:type="dxa"/>
              <w:left w:w="20" w:type="dxa"/>
              <w:bottom w:w="100" w:type="dxa"/>
              <w:right w:w="20" w:type="dxa"/>
            </w:tcMar>
          </w:tcPr>
          <w:p w14:paraId="4CA4F2DB" w14:textId="77777777" w:rsidR="00B85EA4" w:rsidRDefault="00B85EA4" w:rsidP="00BD1E5F">
            <w:pPr>
              <w:widowControl w:val="0"/>
              <w:spacing w:after="0" w:line="240" w:lineRule="auto"/>
              <w:ind w:firstLine="90"/>
              <w:rPr>
                <w:rFonts w:ascii="Arial" w:eastAsia="Arial" w:hAnsi="Arial" w:cs="Arial"/>
                <w:sz w:val="20"/>
                <w:szCs w:val="20"/>
              </w:rPr>
            </w:pPr>
            <w:r>
              <w:rPr>
                <w:rFonts w:ascii="Arial" w:eastAsia="Arial" w:hAnsi="Arial" w:cs="Arial"/>
                <w:sz w:val="20"/>
                <w:szCs w:val="20"/>
              </w:rPr>
              <w:t xml:space="preserve">Transparency </w:t>
            </w:r>
          </w:p>
        </w:tc>
        <w:tc>
          <w:tcPr>
            <w:tcW w:w="6690" w:type="dxa"/>
            <w:tcBorders>
              <w:top w:val="nil"/>
              <w:left w:val="single" w:sz="3" w:space="0" w:color="000000"/>
              <w:bottom w:val="single" w:sz="4" w:space="0" w:color="000000"/>
              <w:right w:val="single" w:sz="3" w:space="0" w:color="000000"/>
            </w:tcBorders>
            <w:tcMar>
              <w:top w:w="20" w:type="dxa"/>
              <w:left w:w="20" w:type="dxa"/>
              <w:bottom w:w="100" w:type="dxa"/>
              <w:right w:w="20" w:type="dxa"/>
            </w:tcMar>
          </w:tcPr>
          <w:p w14:paraId="6F058D9A" w14:textId="77777777" w:rsidR="00B85EA4" w:rsidRDefault="00B85EA4" w:rsidP="00BD1E5F">
            <w:pPr>
              <w:widowControl w:val="0"/>
              <w:spacing w:after="0" w:line="240" w:lineRule="auto"/>
              <w:ind w:left="90"/>
              <w:rPr>
                <w:rFonts w:ascii="Arial" w:eastAsia="Arial" w:hAnsi="Arial" w:cs="Arial"/>
                <w:sz w:val="20"/>
                <w:szCs w:val="20"/>
              </w:rPr>
            </w:pPr>
            <w:r>
              <w:rPr>
                <w:rFonts w:ascii="Arial" w:eastAsia="Arial" w:hAnsi="Arial" w:cs="Arial"/>
                <w:sz w:val="20"/>
                <w:szCs w:val="20"/>
              </w:rPr>
              <w:t xml:space="preserve">Communicates what is known and unknown about the current situation; Shares general public attitudes, participation, responses, and uptake; Is honest about what is known and the uncertainties surrounding the crisis; Discloses information about research, development, approval, procurement, and funding sources </w:t>
            </w:r>
          </w:p>
        </w:tc>
      </w:tr>
    </w:tbl>
    <w:p w14:paraId="4902237B" w14:textId="77777777" w:rsidR="00B85EA4" w:rsidRPr="003F09AE" w:rsidRDefault="00B85EA4" w:rsidP="00B85EA4">
      <w:pPr>
        <w:spacing w:after="0" w:line="360" w:lineRule="auto"/>
        <w:ind w:firstLine="720"/>
        <w:jc w:val="both"/>
        <w:rPr>
          <w:rFonts w:ascii="Arial" w:eastAsia="Arial" w:hAnsi="Arial" w:cs="Arial"/>
          <w:sz w:val="22"/>
          <w:szCs w:val="22"/>
        </w:rPr>
      </w:pPr>
    </w:p>
    <w:p w14:paraId="7218013E" w14:textId="77777777" w:rsidR="00B85EA4" w:rsidRPr="003F09AE" w:rsidRDefault="00B85EA4" w:rsidP="00B85EA4">
      <w:pPr>
        <w:spacing w:after="0" w:line="240" w:lineRule="auto"/>
        <w:jc w:val="both"/>
        <w:rPr>
          <w:rFonts w:ascii="Arial" w:eastAsia="Arial" w:hAnsi="Arial" w:cs="Arial"/>
          <w:b/>
          <w:sz w:val="22"/>
          <w:szCs w:val="22"/>
        </w:rPr>
      </w:pPr>
    </w:p>
    <w:p w14:paraId="1DF4A661" w14:textId="77777777" w:rsidR="00B85EA4" w:rsidRDefault="00B85EA4" w:rsidP="00B85EA4">
      <w:pPr>
        <w:rPr>
          <w:rFonts w:ascii="Arial" w:eastAsia="Arial" w:hAnsi="Arial" w:cs="Arial"/>
          <w:b/>
          <w:sz w:val="22"/>
          <w:szCs w:val="22"/>
          <w:lang w:val="es-ES"/>
        </w:rPr>
      </w:pPr>
      <w:r>
        <w:rPr>
          <w:rFonts w:ascii="Arial" w:eastAsia="Arial" w:hAnsi="Arial" w:cs="Arial"/>
          <w:b/>
          <w:sz w:val="22"/>
          <w:szCs w:val="22"/>
          <w:lang w:val="es-ES"/>
        </w:rPr>
        <w:br w:type="page"/>
      </w:r>
    </w:p>
    <w:p w14:paraId="585EDF01" w14:textId="77777777" w:rsidR="00DE6AE2" w:rsidRPr="00B85EA4" w:rsidRDefault="00DE6AE2">
      <w:pPr>
        <w:rPr>
          <w:lang w:val="es-ES"/>
        </w:rPr>
      </w:pPr>
    </w:p>
    <w:sectPr w:rsidR="00DE6AE2" w:rsidRPr="00B85E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EA4"/>
    <w:rsid w:val="00195413"/>
    <w:rsid w:val="003D0186"/>
    <w:rsid w:val="007278E4"/>
    <w:rsid w:val="00A3738C"/>
    <w:rsid w:val="00B85EA4"/>
    <w:rsid w:val="00BC6C35"/>
    <w:rsid w:val="00CB270D"/>
    <w:rsid w:val="00CF7583"/>
    <w:rsid w:val="00D4233B"/>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8397A"/>
  <w15:chartTrackingRefBased/>
  <w15:docId w15:val="{99A070E5-6FE3-47C7-9474-3FA08D25D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EA4"/>
    <w:pPr>
      <w:spacing w:line="279" w:lineRule="auto"/>
    </w:pPr>
    <w:rPr>
      <w:rFonts w:ascii="Aptos" w:eastAsia="Aptos" w:hAnsi="Aptos" w:cs="Aptos"/>
      <w:kern w:val="0"/>
      <w14:ligatures w14:val="none"/>
    </w:rPr>
  </w:style>
  <w:style w:type="paragraph" w:styleId="Heading1">
    <w:name w:val="heading 1"/>
    <w:basedOn w:val="Normal"/>
    <w:next w:val="Normal"/>
    <w:link w:val="Heading1Char"/>
    <w:uiPriority w:val="9"/>
    <w:qFormat/>
    <w:rsid w:val="00B85EA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85EA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85EA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85EA4"/>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85EA4"/>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85EA4"/>
    <w:pPr>
      <w:keepNext/>
      <w:keepLines/>
      <w:spacing w:before="40" w:after="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85EA4"/>
    <w:pPr>
      <w:keepNext/>
      <w:keepLines/>
      <w:spacing w:before="40" w:after="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85EA4"/>
    <w:pPr>
      <w:keepNext/>
      <w:keepLines/>
      <w:spacing w:after="0"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85EA4"/>
    <w:pPr>
      <w:keepNext/>
      <w:keepLines/>
      <w:spacing w:after="0"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5E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5E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5E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5E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5E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5E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5E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5E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5EA4"/>
    <w:rPr>
      <w:rFonts w:eastAsiaTheme="majorEastAsia" w:cstheme="majorBidi"/>
      <w:color w:val="272727" w:themeColor="text1" w:themeTint="D8"/>
    </w:rPr>
  </w:style>
  <w:style w:type="paragraph" w:styleId="Title">
    <w:name w:val="Title"/>
    <w:basedOn w:val="Normal"/>
    <w:next w:val="Normal"/>
    <w:link w:val="TitleChar"/>
    <w:uiPriority w:val="10"/>
    <w:qFormat/>
    <w:rsid w:val="00B85EA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85E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5EA4"/>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85E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5EA4"/>
    <w:pPr>
      <w:spacing w:before="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85EA4"/>
    <w:rPr>
      <w:i/>
      <w:iCs/>
      <w:color w:val="404040" w:themeColor="text1" w:themeTint="BF"/>
    </w:rPr>
  </w:style>
  <w:style w:type="paragraph" w:styleId="ListParagraph">
    <w:name w:val="List Paragraph"/>
    <w:basedOn w:val="Normal"/>
    <w:uiPriority w:val="34"/>
    <w:qFormat/>
    <w:rsid w:val="00B85EA4"/>
    <w:pPr>
      <w:spacing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85EA4"/>
    <w:rPr>
      <w:i/>
      <w:iCs/>
      <w:color w:val="0F4761" w:themeColor="accent1" w:themeShade="BF"/>
    </w:rPr>
  </w:style>
  <w:style w:type="paragraph" w:styleId="IntenseQuote">
    <w:name w:val="Intense Quote"/>
    <w:basedOn w:val="Normal"/>
    <w:next w:val="Normal"/>
    <w:link w:val="IntenseQuoteChar"/>
    <w:uiPriority w:val="30"/>
    <w:qFormat/>
    <w:rsid w:val="00B85EA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85EA4"/>
    <w:rPr>
      <w:i/>
      <w:iCs/>
      <w:color w:val="0F4761" w:themeColor="accent1" w:themeShade="BF"/>
    </w:rPr>
  </w:style>
  <w:style w:type="character" w:styleId="IntenseReference">
    <w:name w:val="Intense Reference"/>
    <w:basedOn w:val="DefaultParagraphFont"/>
    <w:uiPriority w:val="32"/>
    <w:qFormat/>
    <w:rsid w:val="00B85E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2477</Words>
  <Characters>14120</Characters>
  <Application>Microsoft Office Word</Application>
  <DocSecurity>0</DocSecurity>
  <Lines>117</Lines>
  <Paragraphs>33</Paragraphs>
  <ScaleCrop>false</ScaleCrop>
  <Company>Springer Nature</Company>
  <LinksUpToDate>false</LinksUpToDate>
  <CharactersWithSpaces>16564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2025-07-23T07:11:00Z</dcterms:created>
  <dcterms:modified xsi:type="dcterms:W3CDTF">2025-07-23T07:11:00Z</dcterms:modified>
</cp:coreProperties>
</file>