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7651"/>
      </w:tblGrid>
      <w:tr w:rsidR="005C2B02" w:rsidRPr="004E7B5A" w14:paraId="3642C5A4" w14:textId="77777777" w:rsidTr="00F5149C">
        <w:trPr>
          <w:trHeight w:val="445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14:paraId="26340F7C" w14:textId="0CFAF718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Table 1. Combinations of Indicators in </w:t>
            </w:r>
            <w:r w:rsidR="00412B34">
              <w:rPr>
                <w:rFonts w:ascii="Calibri" w:hAnsi="Calibri" w:cs="Calibri"/>
                <w:lang w:bidi="ar-LB"/>
              </w:rPr>
              <w:t>E</w:t>
            </w:r>
            <w:r w:rsidRPr="004E7B5A">
              <w:rPr>
                <w:rFonts w:ascii="Calibri" w:hAnsi="Calibri" w:cs="Calibri"/>
                <w:lang w:bidi="ar-LB"/>
              </w:rPr>
              <w:t xml:space="preserve">ach of the Criteria of </w:t>
            </w:r>
            <w:r w:rsidRPr="004E7B5A">
              <w:rPr>
                <w:rFonts w:ascii="Calibri" w:hAnsi="Calibri" w:cs="Calibri"/>
              </w:rPr>
              <w:t xml:space="preserve">AND/ASPEN, ESPEN, and </w:t>
            </w:r>
            <w:r w:rsidRPr="004E7B5A">
              <w:rPr>
                <w:rFonts w:ascii="Calibri" w:hAnsi="Calibri" w:cs="Calibri"/>
                <w:color w:val="000000"/>
              </w:rPr>
              <w:t>GLIM</w:t>
            </w:r>
            <w:r w:rsidRPr="004E7B5A">
              <w:rPr>
                <w:rFonts w:ascii="Calibri" w:hAnsi="Calibri" w:cs="Calibri"/>
                <w:lang w:bidi="ar-LB"/>
              </w:rPr>
              <w:t xml:space="preserve"> </w:t>
            </w:r>
          </w:p>
        </w:tc>
      </w:tr>
      <w:tr w:rsidR="005C2B02" w:rsidRPr="004E7B5A" w14:paraId="1CABE098" w14:textId="77777777" w:rsidTr="00F5149C">
        <w:tc>
          <w:tcPr>
            <w:tcW w:w="1563" w:type="dxa"/>
          </w:tcPr>
          <w:p w14:paraId="3AA4E3E5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ESPEN</w:t>
            </w:r>
          </w:p>
        </w:tc>
        <w:tc>
          <w:tcPr>
            <w:tcW w:w="7651" w:type="dxa"/>
          </w:tcPr>
          <w:p w14:paraId="62C78E53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ESPEN: the satisfaction of either ESPEN-1 or ESPEN-2 criteria</w:t>
            </w:r>
          </w:p>
        </w:tc>
      </w:tr>
      <w:tr w:rsidR="005C2B02" w:rsidRPr="004E7B5A" w14:paraId="4D438D2F" w14:textId="77777777" w:rsidTr="00F5149C">
        <w:tc>
          <w:tcPr>
            <w:tcW w:w="1563" w:type="dxa"/>
          </w:tcPr>
          <w:p w14:paraId="08D3E3EA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ESPEN-1</w:t>
            </w:r>
          </w:p>
        </w:tc>
        <w:tc>
          <w:tcPr>
            <w:tcW w:w="7651" w:type="dxa"/>
          </w:tcPr>
          <w:p w14:paraId="43DB406E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ESPEN-1: Body Mass Index (BMI) </w:t>
            </w:r>
            <w:r w:rsidRPr="004E7B5A">
              <w:rPr>
                <w:rFonts w:ascii="Calibri" w:hAnsi="Calibri" w:cs="Calibri"/>
              </w:rPr>
              <w:t>&lt;18.5 kg/m</w:t>
            </w:r>
            <w:r w:rsidRPr="004E7B5A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5C2B02" w:rsidRPr="004E7B5A" w14:paraId="3E364949" w14:textId="77777777" w:rsidTr="00F5149C">
        <w:tc>
          <w:tcPr>
            <w:tcW w:w="1563" w:type="dxa"/>
          </w:tcPr>
          <w:p w14:paraId="338C1A05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ESPEN-2</w:t>
            </w:r>
          </w:p>
        </w:tc>
        <w:tc>
          <w:tcPr>
            <w:tcW w:w="7651" w:type="dxa"/>
          </w:tcPr>
          <w:p w14:paraId="20CEF268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ESPEN-2: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unintentional weight loss</w:t>
            </w:r>
            <w:r w:rsidRPr="004E7B5A">
              <w:rPr>
                <w:rFonts w:ascii="Calibri" w:hAnsi="Calibri" w:cs="Calibri"/>
                <w:lang w:bidi="ar-LB"/>
              </w:rPr>
              <w:t xml:space="preserve"> (defined as unintentional weight loss &gt;5% over 3 months or &gt;10% in a period indefinite time) combined with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low BMI-for-age</w:t>
            </w:r>
            <w:r w:rsidRPr="004E7B5A">
              <w:rPr>
                <w:rFonts w:ascii="Calibri" w:hAnsi="Calibri" w:cs="Calibri"/>
                <w:lang w:bidi="ar-LB"/>
              </w:rPr>
              <w:t xml:space="preserve"> (if age of patient &lt;70 years and BMI&lt;20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 xml:space="preserve">, or if age of patient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>70 years and BMI&lt;22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>)</w:t>
            </w:r>
          </w:p>
        </w:tc>
      </w:tr>
      <w:tr w:rsidR="005C2B02" w:rsidRPr="004E7B5A" w14:paraId="0651E782" w14:textId="77777777" w:rsidTr="00F5149C">
        <w:tc>
          <w:tcPr>
            <w:tcW w:w="1563" w:type="dxa"/>
          </w:tcPr>
          <w:p w14:paraId="43A656A0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AND/ASPEN</w:t>
            </w:r>
          </w:p>
        </w:tc>
        <w:tc>
          <w:tcPr>
            <w:tcW w:w="7651" w:type="dxa"/>
          </w:tcPr>
          <w:p w14:paraId="5F56218C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AND/ASPEN: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unintentional weight loss</w:t>
            </w:r>
            <w:r w:rsidRPr="004E7B5A">
              <w:rPr>
                <w:rFonts w:ascii="Calibri" w:hAnsi="Calibri" w:cs="Calibri"/>
                <w:lang w:bidi="ar-LB"/>
              </w:rPr>
              <w:t xml:space="preserve"> (1-2 kg, &gt;2 kg in 1 week;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5 kg in 1 month,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7.5 kg in 3 months;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10 kg in 6 months;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20 kg in 1 year) combined with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decreased food intake</w:t>
            </w:r>
            <w:r w:rsidRPr="004E7B5A">
              <w:rPr>
                <w:rFonts w:ascii="Calibri" w:hAnsi="Calibri" w:cs="Calibri"/>
                <w:lang w:bidi="ar-LB"/>
              </w:rPr>
              <w:t xml:space="preserve"> (&lt;75% of energy needs in a period &gt;7 days,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1 month, or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 3 months; </w:t>
            </w:r>
            <w:r w:rsidRPr="004E7B5A">
              <w:rPr>
                <w:rFonts w:ascii="Calibri" w:hAnsi="Calibri" w:cs="Calibri"/>
                <w:lang w:bidi="ar-LB"/>
              </w:rPr>
              <w:sym w:font="Symbol" w:char="F0A3"/>
            </w:r>
            <w:r w:rsidRPr="004E7B5A">
              <w:rPr>
                <w:rFonts w:ascii="Calibri" w:hAnsi="Calibri" w:cs="Calibri"/>
                <w:lang w:bidi="ar-LB"/>
              </w:rPr>
              <w:t xml:space="preserve">50% of energy needs in a period of time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5 days or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 xml:space="preserve">1 month; </w:t>
            </w:r>
            <w:r w:rsidRPr="004E7B5A">
              <w:rPr>
                <w:rFonts w:ascii="Calibri" w:hAnsi="Calibri" w:cs="Calibri"/>
                <w:lang w:bidi="ar-LB"/>
              </w:rPr>
              <w:sym w:font="Symbol" w:char="F0A3"/>
            </w:r>
            <w:r w:rsidRPr="004E7B5A">
              <w:rPr>
                <w:rFonts w:ascii="Calibri" w:hAnsi="Calibri" w:cs="Calibri"/>
                <w:lang w:bidi="ar-LB"/>
              </w:rPr>
              <w:t xml:space="preserve">75% of energy needs in a period of time </w:t>
            </w:r>
            <w:r w:rsidRPr="004E7B5A">
              <w:rPr>
                <w:rFonts w:ascii="Calibri" w:hAnsi="Calibri" w:cs="Calibri"/>
                <w:lang w:bidi="ar-LB"/>
              </w:rPr>
              <w:sym w:font="Symbol" w:char="F0B3"/>
            </w:r>
            <w:r w:rsidRPr="004E7B5A">
              <w:rPr>
                <w:rFonts w:ascii="Calibri" w:hAnsi="Calibri" w:cs="Calibri"/>
                <w:lang w:bidi="ar-LB"/>
              </w:rPr>
              <w:t>1 month)</w:t>
            </w:r>
          </w:p>
        </w:tc>
      </w:tr>
      <w:tr w:rsidR="005C2B02" w:rsidRPr="004E7B5A" w14:paraId="5BE2571A" w14:textId="77777777" w:rsidTr="00F5149C">
        <w:tc>
          <w:tcPr>
            <w:tcW w:w="1563" w:type="dxa"/>
          </w:tcPr>
          <w:p w14:paraId="0F2B0C12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GLIM</w:t>
            </w:r>
          </w:p>
        </w:tc>
        <w:tc>
          <w:tcPr>
            <w:tcW w:w="7651" w:type="dxa"/>
          </w:tcPr>
          <w:p w14:paraId="017AB79B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GLIM: the satisfaction of either GLIM-1 or GLIM-2 criteria</w:t>
            </w:r>
          </w:p>
        </w:tc>
      </w:tr>
      <w:tr w:rsidR="005C2B02" w:rsidRPr="004E7B5A" w14:paraId="447F2BE3" w14:textId="77777777" w:rsidTr="00F5149C">
        <w:tc>
          <w:tcPr>
            <w:tcW w:w="1563" w:type="dxa"/>
          </w:tcPr>
          <w:p w14:paraId="15345737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>GLIM-1</w:t>
            </w:r>
          </w:p>
        </w:tc>
        <w:tc>
          <w:tcPr>
            <w:tcW w:w="7651" w:type="dxa"/>
          </w:tcPr>
          <w:p w14:paraId="1402A4F6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GLIM-1: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unintentional weight loss</w:t>
            </w:r>
            <w:r w:rsidRPr="004E7B5A">
              <w:rPr>
                <w:rFonts w:ascii="Calibri" w:hAnsi="Calibri" w:cs="Calibri"/>
                <w:lang w:bidi="ar-LB"/>
              </w:rPr>
              <w:t xml:space="preserve"> (&gt; 5% in the past 6 months or &gt;10% for a period &gt;6 months) combined with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reduced food assimilation or absorption</w:t>
            </w:r>
            <w:r w:rsidRPr="004E7B5A">
              <w:rPr>
                <w:rFonts w:ascii="Calibri" w:hAnsi="Calibri" w:cs="Calibri"/>
                <w:lang w:bidi="ar-LB"/>
              </w:rPr>
              <w:t xml:space="preserve"> (</w:t>
            </w:r>
            <w:r w:rsidRPr="004E7B5A">
              <w:rPr>
                <w:rFonts w:ascii="Calibri" w:hAnsi="Calibri" w:cs="Calibri"/>
                <w:lang w:bidi="ar-LB"/>
              </w:rPr>
              <w:sym w:font="Symbol" w:char="F0A3"/>
            </w:r>
            <w:r w:rsidRPr="004E7B5A">
              <w:rPr>
                <w:rFonts w:ascii="Calibri" w:hAnsi="Calibri" w:cs="Calibri"/>
                <w:lang w:bidi="ar-LB"/>
              </w:rPr>
              <w:t>50% of energy needs in a period &gt; 1 week; any reduction in food intake for &gt;2 weeks; or presence of a chronic gastrointestinal condition that impacts food assimilation and/or absorption)</w:t>
            </w:r>
          </w:p>
        </w:tc>
      </w:tr>
      <w:tr w:rsidR="005C2B02" w:rsidRPr="004E7B5A" w14:paraId="357F26E1" w14:textId="77777777" w:rsidTr="00F5149C">
        <w:tc>
          <w:tcPr>
            <w:tcW w:w="1563" w:type="dxa"/>
            <w:tcBorders>
              <w:bottom w:val="single" w:sz="4" w:space="0" w:color="auto"/>
            </w:tcBorders>
          </w:tcPr>
          <w:p w14:paraId="5DC377FC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lastRenderedPageBreak/>
              <w:t>GLIM-2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14:paraId="2EDED431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lang w:bidi="ar-LB"/>
              </w:rPr>
              <w:t xml:space="preserve">GLIM-2: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low BMI-for age</w:t>
            </w:r>
            <w:r w:rsidRPr="004E7B5A">
              <w:rPr>
                <w:rFonts w:ascii="Calibri" w:hAnsi="Calibri" w:cs="Calibri"/>
                <w:lang w:bidi="ar-LB"/>
              </w:rPr>
              <w:t xml:space="preserve"> (if age of patient &lt;70 years and BMI&lt;20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>; if age of patient &gt;70 years and BMI&lt;22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 xml:space="preserve">; </w:t>
            </w:r>
            <w:r w:rsidRPr="004E7B5A">
              <w:rPr>
                <w:rFonts w:ascii="Calibri" w:hAnsi="Calibri" w:cs="Calibri"/>
                <w:i/>
                <w:iCs/>
                <w:lang w:bidi="ar-LB"/>
              </w:rPr>
              <w:t>Asia</w:t>
            </w:r>
            <w:r w:rsidRPr="004E7B5A">
              <w:rPr>
                <w:rFonts w:ascii="Calibri" w:hAnsi="Calibri" w:cs="Calibri"/>
                <w:lang w:bidi="ar-LB"/>
              </w:rPr>
              <w:t>: if age of patient &lt;70 years and BMI&lt;18.5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>; or if age of patient &gt;70 years and BMI&lt;20 kg/m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>2</w:t>
            </w:r>
            <w:r w:rsidRPr="004E7B5A">
              <w:rPr>
                <w:rFonts w:ascii="Calibri" w:hAnsi="Calibri" w:cs="Calibri"/>
                <w:lang w:bidi="ar-LB"/>
              </w:rPr>
              <w:t>)</w:t>
            </w:r>
            <w:r w:rsidRPr="004E7B5A">
              <w:rPr>
                <w:rFonts w:ascii="Calibri" w:hAnsi="Calibri" w:cs="Calibri"/>
                <w:vertAlign w:val="superscript"/>
                <w:lang w:bidi="ar-LB"/>
              </w:rPr>
              <w:t xml:space="preserve"> </w:t>
            </w:r>
            <w:r w:rsidRPr="004E7B5A">
              <w:rPr>
                <w:rFonts w:ascii="Calibri" w:hAnsi="Calibri" w:cs="Calibri"/>
                <w:lang w:bidi="ar-LB"/>
              </w:rPr>
              <w:t xml:space="preserve">combined with </w:t>
            </w:r>
            <w:r w:rsidRPr="004E7B5A">
              <w:rPr>
                <w:rFonts w:ascii="Calibri" w:hAnsi="Calibri" w:cs="Calibri"/>
                <w:b/>
                <w:bCs/>
                <w:lang w:bidi="ar-LB"/>
              </w:rPr>
              <w:t>reduced food assimilation or absorption</w:t>
            </w:r>
            <w:r w:rsidRPr="004E7B5A">
              <w:rPr>
                <w:rFonts w:ascii="Calibri" w:hAnsi="Calibri" w:cs="Calibri"/>
                <w:lang w:bidi="ar-LB"/>
              </w:rPr>
              <w:t xml:space="preserve"> (</w:t>
            </w:r>
            <w:r w:rsidRPr="004E7B5A">
              <w:rPr>
                <w:rFonts w:ascii="Calibri" w:hAnsi="Calibri" w:cs="Calibri"/>
                <w:lang w:bidi="ar-LB"/>
              </w:rPr>
              <w:sym w:font="Symbol" w:char="F0A3"/>
            </w:r>
            <w:r w:rsidRPr="004E7B5A">
              <w:rPr>
                <w:rFonts w:ascii="Calibri" w:hAnsi="Calibri" w:cs="Calibri"/>
                <w:lang w:bidi="ar-LB"/>
              </w:rPr>
              <w:t>50% of energy needs in a period &gt; 1 week; any reduction in food intake for &gt;2 weeks; or presence of a chronic gastrointestinal condition that impacts food assimilation and/or absorption)</w:t>
            </w:r>
          </w:p>
        </w:tc>
      </w:tr>
      <w:tr w:rsidR="005C2B02" w:rsidRPr="004E7B5A" w14:paraId="1E7C422E" w14:textId="77777777" w:rsidTr="00F5149C"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14:paraId="6A035FBA" w14:textId="77777777" w:rsidR="005C2B02" w:rsidRPr="004E7B5A" w:rsidRDefault="005C2B02" w:rsidP="00F5149C">
            <w:pPr>
              <w:spacing w:after="160" w:line="480" w:lineRule="auto"/>
              <w:rPr>
                <w:rFonts w:ascii="Calibri" w:hAnsi="Calibri" w:cs="Calibri"/>
                <w:lang w:bidi="ar-LB"/>
              </w:rPr>
            </w:pPr>
            <w:r w:rsidRPr="004E7B5A">
              <w:rPr>
                <w:rFonts w:ascii="Calibri" w:hAnsi="Calibri" w:cs="Calibri"/>
                <w:sz w:val="20"/>
                <w:szCs w:val="20"/>
              </w:rPr>
              <w:t>AND/ASPEN: Academy of Nutrition and Dietetics/American Society of Parenteral and Enteral Nutrition</w: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ADDIN EN.CITE &lt;EndNote&gt;&lt;Cite&gt;&lt;Author&gt;White&lt;/Author&gt;&lt;Year&gt;2012&lt;/Year&gt;&lt;RecNum&gt;7&lt;/RecNum&gt;&lt;DisplayText&gt;&lt;style face="superscript"&gt;9&lt;/style&gt;&lt;/DisplayText&gt;&lt;record&gt;&lt;rec-number&gt;7&lt;/rec-number&gt;&lt;foreign-keys&gt;&lt;key app="EN" db-id="99z55dxr8v9esoedrpt5ztwat5s5aa2z2xep" timestamp="1695471217"&gt;7&lt;/key&gt;&lt;/foreign-keys&gt;&lt;ref-type name="Journal Article"&gt;17&lt;/ref-type&gt;&lt;contributors&gt;&lt;authors&gt;&lt;author&gt;White, Jane V&lt;/author&gt;&lt;author&gt;Guenter, Peggi&lt;/author&gt;&lt;author&gt;Jensen, Gordon&lt;/author&gt;&lt;author&gt;Malone, Ainsley&lt;/author&gt;&lt;author&gt;Schofield, Marsha&lt;/author&gt;&lt;author&gt;Force, ASPEN Malnutrition Task&lt;/author&gt;&lt;author&gt;Academy Malnutrition Work Group&lt;/author&gt;&lt;/authors&gt;&lt;/contributors&gt;&lt;titles&gt;&lt;title&gt;Consensus statement of the Academy of Nutrition and Dietetics/American Society for Parenteral and Enteral Nutrition: characteristics recommended for the identification and documentation of adult malnutrition (undernutrition)&lt;/title&gt;&lt;secondary-title&gt;Journal of the Academy of Nutrition and Dietetics&lt;/secondary-title&gt;&lt;/titles&gt;&lt;periodical&gt;&lt;full-title&gt;Journal of the Academy of Nutrition and Dietetics&lt;/full-title&gt;&lt;/periodical&gt;&lt;pages&gt;730-738&lt;/pages&gt;&lt;volume&gt;112&lt;/volume&gt;&lt;number&gt;5&lt;/number&gt;&lt;dates&gt;&lt;year&gt;2012&lt;/year&gt;&lt;/dates&gt;&lt;isbn&gt;2212-2672&lt;/isbn&gt;&lt;urls&gt;&lt;/urls&gt;&lt;/record&gt;&lt;/Cite&gt;&lt;/EndNote&gt;</w:instrTex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D49C3">
              <w:rPr>
                <w:rFonts w:ascii="Calibri" w:hAnsi="Calibri" w:cs="Calibri"/>
                <w:noProof/>
                <w:sz w:val="20"/>
                <w:szCs w:val="20"/>
                <w:vertAlign w:val="superscript"/>
              </w:rPr>
              <w:t>9</w: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4E7B5A">
              <w:rPr>
                <w:rFonts w:ascii="Calibri" w:hAnsi="Calibri" w:cs="Calibri"/>
                <w:sz w:val="20"/>
                <w:szCs w:val="20"/>
              </w:rPr>
              <w:t>ESPEN: European Society of Clinical Nutrition and Metabolism</w: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ADDIN EN.CITE &lt;EndNote&gt;&lt;Cite&gt;&lt;Author&gt;Cederholm&lt;/Author&gt;&lt;Year&gt;2015&lt;/Year&gt;&lt;RecNum&gt;8&lt;/RecNum&gt;&lt;DisplayText&gt;&lt;style face="superscript"&gt;10&lt;/style&gt;&lt;/DisplayText&gt;&lt;record&gt;&lt;rec-number&gt;8&lt;/rec-number&gt;&lt;foreign-keys&gt;&lt;key app="EN" db-id="99z55dxr8v9esoedrpt5ztwat5s5aa2z2xep" timestamp="1695471419"&gt;8&lt;/key&gt;&lt;/foreign-keys&gt;&lt;ref-type name="Journal Article"&gt;17&lt;/ref-type&gt;&lt;contributors&gt;&lt;authors&gt;&lt;author&gt;Cederholm, Tommy&lt;/author&gt;&lt;author&gt;Bosaeus, Ingvar&lt;/author&gt;&lt;author&gt;Barazzoni, Rocco&lt;/author&gt;&lt;author&gt;Bauer, J&lt;/author&gt;&lt;author&gt;Van Gossum, Andre&lt;/author&gt;&lt;author&gt;Klek, S&lt;/author&gt;&lt;author&gt;Muscaritoli, Maurizio&lt;/author&gt;&lt;author&gt;Nyulasi, I&lt;/author&gt;&lt;author&gt;Ockenga, Johann&lt;/author&gt;&lt;author&gt;Schneider, SM&lt;/author&gt;&lt;/authors&gt;&lt;/contributors&gt;&lt;titles&gt;&lt;title&gt;Diagnostic criteria for malnutrition–an ESPEN consensus statement&lt;/title&gt;&lt;secondary-title&gt;Clinical nutrition&lt;/secondary-title&gt;&lt;/titles&gt;&lt;periodical&gt;&lt;full-title&gt;Clinical nutrition&lt;/full-title&gt;&lt;/periodical&gt;&lt;pages&gt;335-340&lt;/pages&gt;&lt;volume&gt;34&lt;/volume&gt;&lt;number&gt;3&lt;/number&gt;&lt;dates&gt;&lt;year&gt;2015&lt;/year&gt;&lt;/dates&gt;&lt;isbn&gt;0261-5614&lt;/isbn&gt;&lt;urls&gt;&lt;/urls&gt;&lt;/record&gt;&lt;/Cite&gt;&lt;/EndNote&gt;</w:instrTex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D49C3">
              <w:rPr>
                <w:rFonts w:ascii="Calibri" w:hAnsi="Calibri" w:cs="Calibri"/>
                <w:noProof/>
                <w:sz w:val="20"/>
                <w:szCs w:val="20"/>
                <w:vertAlign w:val="superscript"/>
              </w:rPr>
              <w:t>10</w:t>
            </w:r>
            <w:r w:rsidRPr="004E7B5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</w:t>
            </w:r>
            <w:r w:rsidRPr="004E7B5A">
              <w:rPr>
                <w:rFonts w:ascii="Calibri" w:hAnsi="Calibri" w:cs="Calibri"/>
                <w:color w:val="000000"/>
                <w:sz w:val="20"/>
                <w:szCs w:val="20"/>
              </w:rPr>
              <w:t>GLIM Global Leadership Initiative on Malnutrition</w:t>
            </w:r>
            <w:r w:rsidRPr="004E7B5A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instrText xml:space="preserve"> ADDIN EN.CITE &lt;EndNote&gt;&lt;Cite&gt;&lt;Author&gt;Cederholm&lt;/Author&gt;&lt;Year&gt;2019&lt;/Year&gt;&lt;RecNum&gt;9&lt;/RecNum&gt;&lt;DisplayText&gt;&lt;style face="superscript"&gt;8&lt;/style&gt;&lt;/DisplayText&gt;&lt;record&gt;&lt;rec-number&gt;9&lt;/rec-number&gt;&lt;foreign-keys&gt;&lt;key app="EN" db-id="99z55dxr8v9esoedrpt5ztwat5s5aa2z2xep" timestamp="1695471461"&gt;9&lt;/key&gt;&lt;/foreign-keys&gt;&lt;ref-type name="Journal Article"&gt;17&lt;/ref-type&gt;&lt;contributors&gt;&lt;authors&gt;&lt;author&gt;Cederholm, Tommy&lt;/author&gt;&lt;author&gt;Jensen, GL&lt;/author&gt;&lt;author&gt;Correia, MITD&lt;/author&gt;&lt;author&gt;Gonzalez, Maria Cristina&lt;/author&gt;&lt;author&gt;Fukushima, Ryoji&lt;/author&gt;&lt;author&gt;Higashiguchi, Takashi&lt;/author&gt;&lt;author&gt;Baptista, Gertrudis&lt;/author&gt;&lt;author&gt;Barazzoni, Rocco&lt;/author&gt;&lt;author&gt;Blaauw, Renée&lt;/author&gt;&lt;author&gt;Coats, AJS&lt;/author&gt;&lt;/authors&gt;&lt;/contributors&gt;&lt;titles&gt;&lt;title&gt;GLIM criteria for the diagnosis of malnutrition–a consensus report from the global clinical nutrition community&lt;/title&gt;&lt;secondary-title&gt;Journal of cachexia, sarcopenia and muscle&lt;/secondary-title&gt;&lt;/titles&gt;&lt;periodical&gt;&lt;full-title&gt;Journal of cachexia, sarcopenia and muscle&lt;/full-title&gt;&lt;/periodical&gt;&lt;pages&gt;207-217&lt;/pages&gt;&lt;volume&gt;10&lt;/volume&gt;&lt;number&gt;1&lt;/number&gt;&lt;dates&gt;&lt;year&gt;2019&lt;/year&gt;&lt;/dates&gt;&lt;isbn&gt;2190-5991&lt;/isbn&gt;&lt;urls&gt;&lt;/urls&gt;&lt;/record&gt;&lt;/Cite&gt;&lt;/EndNote&gt;</w:instrText>
            </w:r>
            <w:r w:rsidRPr="004E7B5A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separate"/>
            </w:r>
            <w:r w:rsidRPr="002D49C3">
              <w:rPr>
                <w:rFonts w:ascii="Calibri" w:hAnsi="Calibri" w:cs="Calibri"/>
                <w:noProof/>
                <w:color w:val="000000"/>
                <w:sz w:val="20"/>
                <w:szCs w:val="20"/>
                <w:vertAlign w:val="superscript"/>
              </w:rPr>
              <w:t>8</w:t>
            </w:r>
            <w:r w:rsidRPr="004E7B5A">
              <w:rPr>
                <w:rFonts w:ascii="Calibri" w:hAnsi="Calibri"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003AFDC" w14:textId="77777777" w:rsidR="00A22143" w:rsidRDefault="00A22143"/>
    <w:sectPr w:rsidR="00A221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02"/>
    <w:rsid w:val="00012B29"/>
    <w:rsid w:val="0007364E"/>
    <w:rsid w:val="0008129E"/>
    <w:rsid w:val="00081548"/>
    <w:rsid w:val="000A1CD2"/>
    <w:rsid w:val="000B3FA4"/>
    <w:rsid w:val="000C21F8"/>
    <w:rsid w:val="0011660D"/>
    <w:rsid w:val="00133436"/>
    <w:rsid w:val="001373F8"/>
    <w:rsid w:val="00153716"/>
    <w:rsid w:val="001A61EB"/>
    <w:rsid w:val="001D77AE"/>
    <w:rsid w:val="001E3C23"/>
    <w:rsid w:val="0020701C"/>
    <w:rsid w:val="002111F0"/>
    <w:rsid w:val="00221554"/>
    <w:rsid w:val="002453D8"/>
    <w:rsid w:val="00261589"/>
    <w:rsid w:val="002620CC"/>
    <w:rsid w:val="00267FD6"/>
    <w:rsid w:val="0028210B"/>
    <w:rsid w:val="00325656"/>
    <w:rsid w:val="003705D9"/>
    <w:rsid w:val="003C6DB5"/>
    <w:rsid w:val="003F287C"/>
    <w:rsid w:val="003F5BF7"/>
    <w:rsid w:val="00412B34"/>
    <w:rsid w:val="00432032"/>
    <w:rsid w:val="004845E2"/>
    <w:rsid w:val="004E1333"/>
    <w:rsid w:val="004E17E1"/>
    <w:rsid w:val="00583B95"/>
    <w:rsid w:val="0059724A"/>
    <w:rsid w:val="005A6924"/>
    <w:rsid w:val="005B671C"/>
    <w:rsid w:val="005C2B02"/>
    <w:rsid w:val="005D77EE"/>
    <w:rsid w:val="006010E0"/>
    <w:rsid w:val="006050DC"/>
    <w:rsid w:val="00630E2A"/>
    <w:rsid w:val="00636B2B"/>
    <w:rsid w:val="006677BB"/>
    <w:rsid w:val="0067616B"/>
    <w:rsid w:val="0068592A"/>
    <w:rsid w:val="006D1021"/>
    <w:rsid w:val="006F5B1D"/>
    <w:rsid w:val="007332FC"/>
    <w:rsid w:val="00736112"/>
    <w:rsid w:val="007422BC"/>
    <w:rsid w:val="007A0F55"/>
    <w:rsid w:val="007B6FEC"/>
    <w:rsid w:val="00806BCE"/>
    <w:rsid w:val="00814494"/>
    <w:rsid w:val="00855BFE"/>
    <w:rsid w:val="00874ED7"/>
    <w:rsid w:val="00896A28"/>
    <w:rsid w:val="008F7985"/>
    <w:rsid w:val="0095422E"/>
    <w:rsid w:val="009A1B31"/>
    <w:rsid w:val="009B08F8"/>
    <w:rsid w:val="009D79C2"/>
    <w:rsid w:val="009E7CD9"/>
    <w:rsid w:val="00A220DE"/>
    <w:rsid w:val="00A22143"/>
    <w:rsid w:val="00A27EBC"/>
    <w:rsid w:val="00A47141"/>
    <w:rsid w:val="00A922DC"/>
    <w:rsid w:val="00AC6B20"/>
    <w:rsid w:val="00AF0292"/>
    <w:rsid w:val="00AF1BA8"/>
    <w:rsid w:val="00B02F8E"/>
    <w:rsid w:val="00B709C1"/>
    <w:rsid w:val="00B871D4"/>
    <w:rsid w:val="00B97E4C"/>
    <w:rsid w:val="00BB2727"/>
    <w:rsid w:val="00BE36DA"/>
    <w:rsid w:val="00C01F5F"/>
    <w:rsid w:val="00C11543"/>
    <w:rsid w:val="00C21030"/>
    <w:rsid w:val="00C358CF"/>
    <w:rsid w:val="00C4591F"/>
    <w:rsid w:val="00C65A9D"/>
    <w:rsid w:val="00C82448"/>
    <w:rsid w:val="00C9455F"/>
    <w:rsid w:val="00CA517C"/>
    <w:rsid w:val="00CA6AEC"/>
    <w:rsid w:val="00D11D4B"/>
    <w:rsid w:val="00D266CB"/>
    <w:rsid w:val="00D4410C"/>
    <w:rsid w:val="00D56F4D"/>
    <w:rsid w:val="00DB5B79"/>
    <w:rsid w:val="00DF6AE7"/>
    <w:rsid w:val="00EF7C09"/>
    <w:rsid w:val="00F212EB"/>
    <w:rsid w:val="00F97D71"/>
    <w:rsid w:val="00FA4FE4"/>
    <w:rsid w:val="00FB0DBC"/>
    <w:rsid w:val="00FE226F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6FB7F"/>
  <w15:chartTrackingRefBased/>
  <w15:docId w15:val="{1F2F9F62-EA91-2441-B499-B4EEEB7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L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L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L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L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L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L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L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L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B02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B"/>
    </w:rPr>
  </w:style>
  <w:style w:type="character" w:customStyle="1" w:styleId="TitleChar">
    <w:name w:val="Title Char"/>
    <w:basedOn w:val="DefaultParagraphFont"/>
    <w:link w:val="Title"/>
    <w:uiPriority w:val="10"/>
    <w:rsid w:val="005C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LB"/>
    </w:rPr>
  </w:style>
  <w:style w:type="character" w:customStyle="1" w:styleId="SubtitleChar">
    <w:name w:val="Subtitle Char"/>
    <w:basedOn w:val="DefaultParagraphFont"/>
    <w:link w:val="Subtitle"/>
    <w:uiPriority w:val="11"/>
    <w:rsid w:val="005C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B02"/>
    <w:pPr>
      <w:spacing w:before="160" w:after="160"/>
      <w:jc w:val="center"/>
    </w:pPr>
    <w:rPr>
      <w:i/>
      <w:iCs/>
      <w:color w:val="404040" w:themeColor="text1" w:themeTint="BF"/>
      <w:lang w:val="en-LB"/>
    </w:rPr>
  </w:style>
  <w:style w:type="character" w:customStyle="1" w:styleId="QuoteChar">
    <w:name w:val="Quote Char"/>
    <w:basedOn w:val="DefaultParagraphFont"/>
    <w:link w:val="Quote"/>
    <w:uiPriority w:val="29"/>
    <w:rsid w:val="005C2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B02"/>
    <w:pPr>
      <w:ind w:left="720"/>
      <w:contextualSpacing/>
    </w:pPr>
    <w:rPr>
      <w:lang w:val="en-LB"/>
    </w:rPr>
  </w:style>
  <w:style w:type="character" w:styleId="IntenseEmphasis">
    <w:name w:val="Intense Emphasis"/>
    <w:basedOn w:val="DefaultParagraphFont"/>
    <w:uiPriority w:val="21"/>
    <w:qFormat/>
    <w:rsid w:val="005C2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L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B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B02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El Chaar</dc:creator>
  <cp:keywords/>
  <dc:description/>
  <cp:lastModifiedBy>Dayana El Chaar</cp:lastModifiedBy>
  <cp:revision>2</cp:revision>
  <dcterms:created xsi:type="dcterms:W3CDTF">2025-01-16T03:53:00Z</dcterms:created>
  <dcterms:modified xsi:type="dcterms:W3CDTF">2025-02-08T20:12:00Z</dcterms:modified>
</cp:coreProperties>
</file>