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4A431" w14:textId="215C0402" w:rsidR="00F84ADE" w:rsidRDefault="00EA6B21" w:rsidP="00EA6B21">
      <w:pPr>
        <w:jc w:val="center"/>
      </w:pPr>
      <w:r>
        <w:rPr>
          <w:noProof/>
        </w:rPr>
        <w:drawing>
          <wp:inline distT="0" distB="0" distL="0" distR="0" wp14:anchorId="1E9C6584" wp14:editId="155824A1">
            <wp:extent cx="5449401" cy="5337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1781" r="1854" b="26242"/>
                    <a:stretch/>
                  </pic:blipFill>
                  <pic:spPr bwMode="auto">
                    <a:xfrm>
                      <a:off x="0" y="0"/>
                      <a:ext cx="5450812" cy="533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28CC7" w14:textId="256DFE0E" w:rsidR="00EA6B21" w:rsidRPr="003603EA" w:rsidRDefault="00EA6B21" w:rsidP="003603EA">
      <w:pPr>
        <w:spacing w:line="276" w:lineRule="auto"/>
        <w:jc w:val="both"/>
        <w:rPr>
          <w:rFonts w:ascii="Arial" w:hAnsi="Arial" w:cs="Arial"/>
        </w:rPr>
      </w:pPr>
      <w:r w:rsidRPr="003603EA">
        <w:rPr>
          <w:rFonts w:ascii="Arial" w:hAnsi="Arial" w:cs="Arial"/>
          <w:b/>
          <w:bCs/>
        </w:rPr>
        <w:t>Extended Data Figure 1: Design and engineering of the VISIBLE platform.</w:t>
      </w:r>
      <w:r w:rsidRPr="003603EA">
        <w:rPr>
          <w:rFonts w:ascii="Arial" w:hAnsi="Arial" w:cs="Arial"/>
        </w:rPr>
        <w:t xml:space="preserve"> (</w:t>
      </w:r>
      <w:r w:rsidRPr="003603EA">
        <w:rPr>
          <w:rFonts w:ascii="Arial" w:hAnsi="Arial" w:cs="Arial"/>
          <w:b/>
          <w:bCs/>
        </w:rPr>
        <w:t>a</w:t>
      </w:r>
      <w:r w:rsidRPr="003603EA">
        <w:rPr>
          <w:rFonts w:ascii="Arial" w:hAnsi="Arial" w:cs="Arial"/>
        </w:rPr>
        <w:t xml:space="preserve">) Photograph of the VISIBLE </w:t>
      </w:r>
      <w:r w:rsidR="007F4465">
        <w:rPr>
          <w:rFonts w:ascii="Arial" w:hAnsi="Arial" w:cs="Arial"/>
        </w:rPr>
        <w:t>platform</w:t>
      </w:r>
      <w:r w:rsidRPr="003603EA">
        <w:rPr>
          <w:rFonts w:ascii="Arial" w:hAnsi="Arial" w:cs="Arial"/>
        </w:rPr>
        <w:t>, highlighting its different components and their respective functions. (</w:t>
      </w:r>
      <w:r w:rsidRPr="003603EA">
        <w:rPr>
          <w:rFonts w:ascii="Arial" w:hAnsi="Arial" w:cs="Arial"/>
          <w:b/>
          <w:bCs/>
        </w:rPr>
        <w:t>b</w:t>
      </w:r>
      <w:r w:rsidRPr="003603EA">
        <w:rPr>
          <w:rFonts w:ascii="Arial" w:hAnsi="Arial" w:cs="Arial"/>
        </w:rPr>
        <w:t>)  Detailed dimensions of VISIBLE’s integrated incubation chamber. (</w:t>
      </w:r>
      <w:r w:rsidRPr="003603EA">
        <w:rPr>
          <w:rFonts w:ascii="Arial" w:hAnsi="Arial" w:cs="Arial"/>
          <w:b/>
          <w:bCs/>
        </w:rPr>
        <w:t>c</w:t>
      </w:r>
      <w:r w:rsidRPr="003603EA">
        <w:rPr>
          <w:rFonts w:ascii="Arial" w:hAnsi="Arial" w:cs="Arial"/>
        </w:rPr>
        <w:t>) Digital temperature sensor readout (mini temperature LCD monitor) demonstrating the consistent temperature-retaining capability over 48 hours, confirming suitability for long-term live experiments. (</w:t>
      </w:r>
      <w:r w:rsidRPr="003603EA">
        <w:rPr>
          <w:rFonts w:ascii="Arial" w:hAnsi="Arial" w:cs="Arial"/>
          <w:b/>
          <w:bCs/>
        </w:rPr>
        <w:t>d</w:t>
      </w:r>
      <w:r w:rsidRPr="003603EA">
        <w:rPr>
          <w:rFonts w:ascii="Arial" w:hAnsi="Arial" w:cs="Arial"/>
        </w:rPr>
        <w:t>) Photograph of the drop station, where Eppendorf tubes are precisely positioned on the stage for automated sample collection, facilitating subsequent downstream analysis. (</w:t>
      </w:r>
      <w:r w:rsidRPr="003603EA">
        <w:rPr>
          <w:rFonts w:ascii="Arial" w:hAnsi="Arial" w:cs="Arial"/>
          <w:b/>
          <w:bCs/>
        </w:rPr>
        <w:t>e-g</w:t>
      </w:r>
      <w:r w:rsidRPr="003603EA">
        <w:rPr>
          <w:rFonts w:ascii="Arial" w:hAnsi="Arial" w:cs="Arial"/>
        </w:rPr>
        <w:t>) Custom 3D-printed holders for the manipulation tool-head (</w:t>
      </w:r>
      <w:r w:rsidRPr="003603EA">
        <w:rPr>
          <w:rFonts w:ascii="Arial" w:hAnsi="Arial" w:cs="Arial"/>
          <w:b/>
          <w:bCs/>
        </w:rPr>
        <w:t>e</w:t>
      </w:r>
      <w:r w:rsidRPr="003603EA">
        <w:rPr>
          <w:rFonts w:ascii="Arial" w:hAnsi="Arial" w:cs="Arial"/>
        </w:rPr>
        <w:t>), with top camera holding slot (</w:t>
      </w:r>
      <w:r w:rsidRPr="003603EA">
        <w:rPr>
          <w:rFonts w:ascii="Arial" w:hAnsi="Arial" w:cs="Arial"/>
          <w:b/>
          <w:bCs/>
        </w:rPr>
        <w:t>f</w:t>
      </w:r>
      <w:r w:rsidRPr="003603EA">
        <w:rPr>
          <w:rFonts w:ascii="Arial" w:hAnsi="Arial" w:cs="Arial"/>
        </w:rPr>
        <w:t>), and a mount for attaching these components to the XY gantry (</w:t>
      </w:r>
      <w:r w:rsidRPr="003603EA">
        <w:rPr>
          <w:rFonts w:ascii="Arial" w:hAnsi="Arial" w:cs="Arial"/>
          <w:b/>
          <w:bCs/>
        </w:rPr>
        <w:t>g</w:t>
      </w:r>
      <w:r w:rsidRPr="003603EA">
        <w:rPr>
          <w:rFonts w:ascii="Arial" w:hAnsi="Arial" w:cs="Arial"/>
        </w:rPr>
        <w:t>), illustrating the platform's modular and adaptable design. (</w:t>
      </w:r>
      <w:r w:rsidRPr="003603EA">
        <w:rPr>
          <w:rFonts w:ascii="Arial" w:hAnsi="Arial" w:cs="Arial"/>
          <w:b/>
          <w:bCs/>
        </w:rPr>
        <w:t>h</w:t>
      </w:r>
      <w:r w:rsidRPr="003603EA">
        <w:rPr>
          <w:rFonts w:ascii="Arial" w:hAnsi="Arial" w:cs="Arial"/>
        </w:rPr>
        <w:t>) Temperature characteristics measured over time using two independent sensors (Pt-100 Resistance Temperature Detector and Forward Looking Infrared (FLIR) gun), confirming stable 37°</w:t>
      </w:r>
      <w:r w:rsidR="007F4465">
        <w:rPr>
          <w:rFonts w:ascii="Arial" w:hAnsi="Arial" w:cs="Arial"/>
        </w:rPr>
        <w:t xml:space="preserve"> </w:t>
      </w:r>
      <w:r w:rsidRPr="003603EA">
        <w:rPr>
          <w:rFonts w:ascii="Arial" w:hAnsi="Arial" w:cs="Arial"/>
        </w:rPr>
        <w:t>C conditions suitable for in vitro cell culture experiments. (</w:t>
      </w:r>
      <w:proofErr w:type="spellStart"/>
      <w:r w:rsidRPr="003603EA">
        <w:rPr>
          <w:rFonts w:ascii="Arial" w:hAnsi="Arial" w:cs="Arial"/>
          <w:b/>
          <w:bCs/>
        </w:rPr>
        <w:t>i</w:t>
      </w:r>
      <w:proofErr w:type="spellEnd"/>
      <w:r w:rsidRPr="003603EA">
        <w:rPr>
          <w:rFonts w:ascii="Arial" w:hAnsi="Arial" w:cs="Arial"/>
        </w:rPr>
        <w:t xml:space="preserve">) Microscopic images of a calibration scale with the nozzle precisely </w:t>
      </w:r>
      <w:r w:rsidR="007F4465" w:rsidRPr="003603EA">
        <w:rPr>
          <w:rFonts w:ascii="Arial" w:hAnsi="Arial" w:cs="Arial"/>
        </w:rPr>
        <w:t>centred</w:t>
      </w:r>
      <w:r w:rsidRPr="003603EA">
        <w:rPr>
          <w:rFonts w:ascii="Arial" w:hAnsi="Arial" w:cs="Arial"/>
        </w:rPr>
        <w:t xml:space="preserve">, used to assess the </w:t>
      </w:r>
      <w:proofErr w:type="spellStart"/>
      <w:r w:rsidRPr="003603EA">
        <w:rPr>
          <w:rFonts w:ascii="Arial" w:hAnsi="Arial" w:cs="Arial"/>
        </w:rPr>
        <w:t>micrometer</w:t>
      </w:r>
      <w:proofErr w:type="spellEnd"/>
      <w:r w:rsidRPr="003603EA">
        <w:rPr>
          <w:rFonts w:ascii="Arial" w:hAnsi="Arial" w:cs="Arial"/>
        </w:rPr>
        <w:t>-level repeatability of manipulation tool-heads. Scale bar: 1 mm.</w:t>
      </w:r>
    </w:p>
    <w:p w14:paraId="532C6540" w14:textId="69351D97" w:rsidR="00620EB2" w:rsidRDefault="00620EB2" w:rsidP="00EA6B21">
      <w:pPr>
        <w:jc w:val="both"/>
        <w:rPr>
          <w:rFonts w:ascii="Arial" w:hAnsi="Arial" w:cs="Arial"/>
          <w:sz w:val="20"/>
          <w:szCs w:val="20"/>
        </w:rPr>
      </w:pPr>
    </w:p>
    <w:p w14:paraId="35BD25CA" w14:textId="07AE4852" w:rsidR="00620EB2" w:rsidRDefault="00620EB2" w:rsidP="00620EB2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4E19EA56" wp14:editId="5F6F280D">
            <wp:extent cx="5057038" cy="616552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" t="1853" r="3889" b="10210"/>
                    <a:stretch/>
                  </pic:blipFill>
                  <pic:spPr bwMode="auto">
                    <a:xfrm>
                      <a:off x="0" y="0"/>
                      <a:ext cx="5060067" cy="616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938D2" w14:textId="268B5329" w:rsidR="00D37F7A" w:rsidRPr="003603EA" w:rsidRDefault="00D37F7A" w:rsidP="003603EA">
      <w:pPr>
        <w:spacing w:line="276" w:lineRule="auto"/>
        <w:jc w:val="both"/>
        <w:rPr>
          <w:rFonts w:ascii="Arial" w:hAnsi="Arial" w:cs="Arial"/>
        </w:rPr>
      </w:pPr>
      <w:r w:rsidRPr="003603EA">
        <w:rPr>
          <w:rFonts w:ascii="Arial" w:hAnsi="Arial" w:cs="Arial"/>
          <w:b/>
          <w:bCs/>
        </w:rPr>
        <w:t xml:space="preserve">Extended Data Figure 2: Image-guided precision sampling mitigates organoid heterogeneity. </w:t>
      </w:r>
      <w:r w:rsidRPr="003603EA">
        <w:rPr>
          <w:rFonts w:ascii="Arial" w:hAnsi="Arial" w:cs="Arial"/>
        </w:rPr>
        <w:t>(</w:t>
      </w:r>
      <w:r w:rsidRPr="003603EA">
        <w:rPr>
          <w:rFonts w:ascii="Arial" w:hAnsi="Arial" w:cs="Arial"/>
          <w:b/>
          <w:bCs/>
        </w:rPr>
        <w:t>a</w:t>
      </w:r>
      <w:r w:rsidRPr="003603EA">
        <w:rPr>
          <w:rFonts w:ascii="Arial" w:hAnsi="Arial" w:cs="Arial"/>
        </w:rPr>
        <w:t xml:space="preserve">) A 3D-printed cast used for generating PDMS </w:t>
      </w:r>
      <w:proofErr w:type="spellStart"/>
      <w:r w:rsidRPr="003603EA">
        <w:rPr>
          <w:rFonts w:ascii="Arial" w:hAnsi="Arial" w:cs="Arial"/>
        </w:rPr>
        <w:t>macrowells</w:t>
      </w:r>
      <w:proofErr w:type="spellEnd"/>
      <w:r w:rsidR="009B5220">
        <w:rPr>
          <w:rFonts w:ascii="Arial" w:hAnsi="Arial" w:cs="Arial"/>
        </w:rPr>
        <w:t xml:space="preserve"> and casted PDMS macrowell in a well of a 24-well plate</w:t>
      </w:r>
      <w:r w:rsidRPr="003603EA">
        <w:rPr>
          <w:rFonts w:ascii="Arial" w:hAnsi="Arial" w:cs="Arial"/>
        </w:rPr>
        <w:t>, facilitating the creation of complex heterogeneous organoid cultures in suspension. (</w:t>
      </w:r>
      <w:r w:rsidRPr="003603EA">
        <w:rPr>
          <w:rFonts w:ascii="Arial" w:hAnsi="Arial" w:cs="Arial"/>
          <w:b/>
          <w:bCs/>
        </w:rPr>
        <w:t>b</w:t>
      </w:r>
      <w:r w:rsidRPr="003603EA">
        <w:rPr>
          <w:rFonts w:ascii="Arial" w:hAnsi="Arial" w:cs="Arial"/>
        </w:rPr>
        <w:t xml:space="preserve">) A stitched microscopic image of PDMS </w:t>
      </w:r>
      <w:proofErr w:type="spellStart"/>
      <w:r w:rsidRPr="003603EA">
        <w:rPr>
          <w:rFonts w:ascii="Arial" w:hAnsi="Arial" w:cs="Arial"/>
        </w:rPr>
        <w:t>macrowells</w:t>
      </w:r>
      <w:proofErr w:type="spellEnd"/>
      <w:r w:rsidRPr="003603EA">
        <w:rPr>
          <w:rFonts w:ascii="Arial" w:hAnsi="Arial" w:cs="Arial"/>
        </w:rPr>
        <w:t xml:space="preserve"> displaying diverse heterogeneous organoid populations, serving as a representative example of a complex in vitro culture</w:t>
      </w:r>
      <w:r w:rsidR="009B5220">
        <w:rPr>
          <w:rFonts w:ascii="Arial" w:hAnsi="Arial" w:cs="Arial"/>
        </w:rPr>
        <w:t>s</w:t>
      </w:r>
      <w:r w:rsidRPr="003603EA">
        <w:rPr>
          <w:rFonts w:ascii="Arial" w:hAnsi="Arial" w:cs="Arial"/>
        </w:rPr>
        <w:t xml:space="preserve"> (CIVM</w:t>
      </w:r>
      <w:r w:rsidR="009B5220">
        <w:rPr>
          <w:rFonts w:ascii="Arial" w:hAnsi="Arial" w:cs="Arial"/>
        </w:rPr>
        <w:t>s</w:t>
      </w:r>
      <w:r w:rsidRPr="003603EA">
        <w:rPr>
          <w:rFonts w:ascii="Arial" w:hAnsi="Arial" w:cs="Arial"/>
        </w:rPr>
        <w:t>). Scale bar: 1 mm. (</w:t>
      </w:r>
      <w:r w:rsidRPr="003603EA">
        <w:rPr>
          <w:rFonts w:ascii="Arial" w:hAnsi="Arial" w:cs="Arial"/>
          <w:b/>
          <w:bCs/>
        </w:rPr>
        <w:t>c</w:t>
      </w:r>
      <w:r w:rsidRPr="003603EA">
        <w:rPr>
          <w:rFonts w:ascii="Arial" w:hAnsi="Arial" w:cs="Arial"/>
        </w:rPr>
        <w:t>) Sequential images illustrating the iterative sampling process of multiple organoids exhibiting broken symmetry (population 2) precisely collected by the VISIBLE platform.</w:t>
      </w:r>
      <w:r w:rsidR="003603EA">
        <w:rPr>
          <w:rFonts w:ascii="Arial" w:hAnsi="Arial" w:cs="Arial"/>
        </w:rPr>
        <w:t xml:space="preserve"> </w:t>
      </w:r>
      <w:r w:rsidR="003603EA" w:rsidRPr="003603EA">
        <w:rPr>
          <w:rFonts w:ascii="Arial" w:hAnsi="Arial" w:cs="Arial"/>
        </w:rPr>
        <w:t>Scale bar: 1 mm</w:t>
      </w:r>
      <w:r w:rsidR="003603EA">
        <w:rPr>
          <w:rFonts w:ascii="Arial" w:hAnsi="Arial" w:cs="Arial"/>
        </w:rPr>
        <w:t>.</w:t>
      </w:r>
      <w:r w:rsidRPr="003603EA">
        <w:rPr>
          <w:rFonts w:ascii="Arial" w:hAnsi="Arial" w:cs="Arial"/>
        </w:rPr>
        <w:t xml:space="preserve"> (</w:t>
      </w:r>
      <w:r w:rsidRPr="003603EA">
        <w:rPr>
          <w:rFonts w:ascii="Arial" w:hAnsi="Arial" w:cs="Arial"/>
          <w:b/>
          <w:bCs/>
        </w:rPr>
        <w:t>d</w:t>
      </w:r>
      <w:r w:rsidRPr="003603EA">
        <w:rPr>
          <w:rFonts w:ascii="Arial" w:hAnsi="Arial" w:cs="Arial"/>
        </w:rPr>
        <w:t>) Schematic outlining the procedural steps involved in locating, moving, and collecting an individual organoid, detailing the controlled forces applied during aspiration. (</w:t>
      </w:r>
      <w:r w:rsidRPr="003603EA">
        <w:rPr>
          <w:rFonts w:ascii="Arial" w:hAnsi="Arial" w:cs="Arial"/>
          <w:b/>
          <w:bCs/>
        </w:rPr>
        <w:t>e</w:t>
      </w:r>
      <w:r w:rsidRPr="003603EA">
        <w:rPr>
          <w:rFonts w:ascii="Arial" w:hAnsi="Arial" w:cs="Arial"/>
        </w:rPr>
        <w:t>) Immunocytochemistry (ICC) studies performed on collected organoid populations further confirm their preserved structural integrity, underscoring the VISIBLE's suitability for non-destructive sampling of complex in vitro cultures. Scale bar: 150 µm.</w:t>
      </w:r>
    </w:p>
    <w:p w14:paraId="629E28C8" w14:textId="0E72C829" w:rsidR="00273425" w:rsidRDefault="001F72C6" w:rsidP="003603EA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4758CE2" wp14:editId="3C79C34F">
            <wp:extent cx="5241908" cy="57986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2572" r="5197" b="19212"/>
                    <a:stretch/>
                  </pic:blipFill>
                  <pic:spPr bwMode="auto">
                    <a:xfrm>
                      <a:off x="0" y="0"/>
                      <a:ext cx="5242889" cy="5799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52E20" w14:textId="2DDADDB2" w:rsidR="00273425" w:rsidRPr="003603EA" w:rsidRDefault="0095140F" w:rsidP="003603EA">
      <w:pPr>
        <w:spacing w:line="276" w:lineRule="auto"/>
        <w:jc w:val="both"/>
        <w:rPr>
          <w:rFonts w:ascii="Arial" w:hAnsi="Arial" w:cs="Arial"/>
        </w:rPr>
      </w:pPr>
      <w:r w:rsidRPr="003603EA">
        <w:rPr>
          <w:rFonts w:ascii="Arial" w:hAnsi="Arial" w:cs="Arial"/>
          <w:b/>
          <w:bCs/>
        </w:rPr>
        <w:t>Extended Data Figure 3: Function-based sampling of adherent neurospheres in complex culture.</w:t>
      </w:r>
      <w:r w:rsidRPr="003603EA">
        <w:rPr>
          <w:rFonts w:ascii="Arial" w:hAnsi="Arial" w:cs="Arial"/>
        </w:rPr>
        <w:t xml:space="preserve"> (</w:t>
      </w:r>
      <w:r w:rsidRPr="003603EA">
        <w:rPr>
          <w:rFonts w:ascii="Arial" w:hAnsi="Arial" w:cs="Arial"/>
          <w:b/>
          <w:bCs/>
        </w:rPr>
        <w:t>a</w:t>
      </w:r>
      <w:r w:rsidRPr="003603EA">
        <w:rPr>
          <w:rFonts w:ascii="Arial" w:hAnsi="Arial" w:cs="Arial"/>
        </w:rPr>
        <w:t>)</w:t>
      </w:r>
      <w:r w:rsidRPr="003603EA">
        <w:rPr>
          <w:sz w:val="24"/>
          <w:szCs w:val="24"/>
        </w:rPr>
        <w:t xml:space="preserve"> </w:t>
      </w:r>
      <w:r w:rsidRPr="003603EA">
        <w:rPr>
          <w:rFonts w:ascii="Arial" w:hAnsi="Arial" w:cs="Arial"/>
        </w:rPr>
        <w:t>Scans of a well before and after the interactive calcium signalling experiment with the VISIBLE platform, visually demonstrating the selective removal of targeted neurospheres</w:t>
      </w:r>
      <w:r w:rsidR="003603EA">
        <w:rPr>
          <w:rFonts w:ascii="Arial" w:hAnsi="Arial" w:cs="Arial"/>
        </w:rPr>
        <w:t>.</w:t>
      </w:r>
      <w:r w:rsidRPr="003603EA">
        <w:rPr>
          <w:rFonts w:ascii="Arial" w:hAnsi="Arial" w:cs="Arial"/>
        </w:rPr>
        <w:t xml:space="preserve"> Scale bar: 1mm. (</w:t>
      </w:r>
      <w:r w:rsidRPr="003603EA">
        <w:rPr>
          <w:rFonts w:ascii="Arial" w:hAnsi="Arial" w:cs="Arial"/>
          <w:b/>
          <w:bCs/>
        </w:rPr>
        <w:t>b</w:t>
      </w:r>
      <w:r w:rsidRPr="003603EA">
        <w:rPr>
          <w:rFonts w:ascii="Arial" w:hAnsi="Arial" w:cs="Arial"/>
        </w:rPr>
        <w:t>) Representative calcium traces (ΔF/F) from neurospheres identified as active, showing frequent transients and selected for collection. (</w:t>
      </w:r>
      <w:r w:rsidRPr="003603EA">
        <w:rPr>
          <w:rFonts w:ascii="Arial" w:hAnsi="Arial" w:cs="Arial"/>
          <w:b/>
          <w:bCs/>
        </w:rPr>
        <w:t>c</w:t>
      </w:r>
      <w:r w:rsidRPr="003603EA">
        <w:rPr>
          <w:rFonts w:ascii="Arial" w:hAnsi="Arial" w:cs="Arial"/>
        </w:rPr>
        <w:t xml:space="preserve">) Calcium traces from inactive neurospheres that were excluded from sampling due to reduced activity. These data confirm VISIBLE’s functional specificity in non-destructive selection of targeted structures. </w:t>
      </w:r>
    </w:p>
    <w:p w14:paraId="5A60472F" w14:textId="518BDC9D" w:rsidR="00494B7E" w:rsidRDefault="003603EA" w:rsidP="00494B7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D9B629A" wp14:editId="00E6B20A">
            <wp:extent cx="5214395" cy="375536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0" t="2653" r="5976" b="46709"/>
                    <a:stretch/>
                  </pic:blipFill>
                  <pic:spPr bwMode="auto">
                    <a:xfrm>
                      <a:off x="0" y="0"/>
                      <a:ext cx="5215311" cy="375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00F39" w14:textId="65FF7AD0" w:rsidR="00494B7E" w:rsidRPr="003603EA" w:rsidRDefault="00494B7E" w:rsidP="003603EA">
      <w:pPr>
        <w:spacing w:line="276" w:lineRule="auto"/>
        <w:jc w:val="both"/>
        <w:rPr>
          <w:rFonts w:ascii="Arial" w:hAnsi="Arial" w:cs="Arial"/>
        </w:rPr>
      </w:pPr>
      <w:r w:rsidRPr="003603EA">
        <w:rPr>
          <w:rFonts w:ascii="Arial" w:hAnsi="Arial" w:cs="Arial"/>
          <w:b/>
          <w:bCs/>
        </w:rPr>
        <w:t>Extended Data Figure 4</w:t>
      </w:r>
      <w:r w:rsidR="00D60637" w:rsidRPr="003603EA">
        <w:rPr>
          <w:rFonts w:ascii="Arial" w:hAnsi="Arial" w:cs="Arial"/>
          <w:b/>
          <w:bCs/>
        </w:rPr>
        <w:t xml:space="preserve">: </w:t>
      </w:r>
      <w:r w:rsidRPr="003603EA">
        <w:rPr>
          <w:rFonts w:ascii="Arial" w:hAnsi="Arial" w:cs="Arial"/>
          <w:b/>
          <w:bCs/>
        </w:rPr>
        <w:t xml:space="preserve">Interactive 3D bioprinting and serial intervention for spatiotemporal experiments. </w:t>
      </w:r>
      <w:r w:rsidRPr="003603EA">
        <w:rPr>
          <w:rFonts w:ascii="Arial" w:hAnsi="Arial" w:cs="Arial"/>
        </w:rPr>
        <w:t>(</w:t>
      </w:r>
      <w:r w:rsidRPr="003603EA">
        <w:rPr>
          <w:rFonts w:ascii="Arial" w:hAnsi="Arial" w:cs="Arial"/>
          <w:b/>
          <w:bCs/>
        </w:rPr>
        <w:t>a</w:t>
      </w:r>
      <w:r w:rsidRPr="003603EA">
        <w:rPr>
          <w:rFonts w:ascii="Arial" w:hAnsi="Arial" w:cs="Arial"/>
        </w:rPr>
        <w:t>) Pipeline for the analysis of skeletal muscle cell coverage area, used to identify regions of low and high density, informing the optimal location for targeted neurosphere deposition in spatiotemporal experiments. (</w:t>
      </w:r>
      <w:r w:rsidRPr="003603EA">
        <w:rPr>
          <w:rFonts w:ascii="Arial" w:hAnsi="Arial" w:cs="Arial"/>
          <w:b/>
          <w:bCs/>
        </w:rPr>
        <w:t>b</w:t>
      </w:r>
      <w:r w:rsidRPr="003603EA">
        <w:rPr>
          <w:rFonts w:ascii="Arial" w:hAnsi="Arial" w:cs="Arial"/>
        </w:rPr>
        <w:t>) Analysis of the coverage area by neurosphere and its processes over skeletal muscle cells after Day 4 in co-culture, providing quantitative insight into interaction dynamics. (</w:t>
      </w:r>
      <w:r w:rsidRPr="003603EA">
        <w:rPr>
          <w:rFonts w:ascii="Arial" w:hAnsi="Arial" w:cs="Arial"/>
          <w:b/>
          <w:bCs/>
        </w:rPr>
        <w:t>c</w:t>
      </w:r>
      <w:r w:rsidRPr="003603EA">
        <w:rPr>
          <w:rFonts w:ascii="Arial" w:hAnsi="Arial" w:cs="Arial"/>
        </w:rPr>
        <w:t>) A higher magnification image of the co-culture after 7 days, demonstrating effective and direct interaction between the deposited neurosphere and the underlying skeletal muscle cells. Scale bar: 200 µm.</w:t>
      </w:r>
    </w:p>
    <w:p w14:paraId="672C8014" w14:textId="313A7E32" w:rsidR="00C83FAE" w:rsidRDefault="00C83FAE" w:rsidP="00494B7E">
      <w:pPr>
        <w:jc w:val="both"/>
        <w:rPr>
          <w:rFonts w:ascii="Arial" w:hAnsi="Arial" w:cs="Arial"/>
          <w:sz w:val="20"/>
          <w:szCs w:val="20"/>
        </w:rPr>
      </w:pPr>
    </w:p>
    <w:p w14:paraId="2C081277" w14:textId="4CB931F3" w:rsidR="00C83FAE" w:rsidRDefault="00C83FAE" w:rsidP="00494B7E">
      <w:pPr>
        <w:jc w:val="both"/>
        <w:rPr>
          <w:rFonts w:ascii="Arial" w:hAnsi="Arial" w:cs="Arial"/>
          <w:sz w:val="20"/>
          <w:szCs w:val="20"/>
        </w:rPr>
      </w:pPr>
    </w:p>
    <w:p w14:paraId="77BE257E" w14:textId="54B15A65" w:rsidR="00C83FAE" w:rsidRDefault="00C83FAE" w:rsidP="00494B7E">
      <w:pPr>
        <w:jc w:val="both"/>
        <w:rPr>
          <w:rFonts w:ascii="Arial" w:hAnsi="Arial" w:cs="Arial"/>
          <w:sz w:val="20"/>
          <w:szCs w:val="20"/>
        </w:rPr>
      </w:pPr>
    </w:p>
    <w:p w14:paraId="32E5A5D7" w14:textId="77777777" w:rsidR="00C83FAE" w:rsidRPr="00494B7E" w:rsidRDefault="00C83FAE" w:rsidP="00494B7E">
      <w:pPr>
        <w:jc w:val="both"/>
        <w:rPr>
          <w:rFonts w:ascii="Arial" w:hAnsi="Arial" w:cs="Arial"/>
          <w:sz w:val="20"/>
          <w:szCs w:val="20"/>
        </w:rPr>
      </w:pPr>
    </w:p>
    <w:p w14:paraId="3B919783" w14:textId="7AD9DB4D" w:rsidR="00494B7E" w:rsidRDefault="00C83FAE" w:rsidP="00494B7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A7B9A4C" wp14:editId="05496C13">
            <wp:extent cx="5730875" cy="3229471"/>
            <wp:effectExtent l="0" t="0" r="317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" b="55514"/>
                    <a:stretch/>
                  </pic:blipFill>
                  <pic:spPr bwMode="auto">
                    <a:xfrm>
                      <a:off x="0" y="0"/>
                      <a:ext cx="5731510" cy="322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F14E8" w14:textId="0BC81DE0" w:rsidR="00C83FAE" w:rsidRPr="007F11CA" w:rsidRDefault="00C83FAE" w:rsidP="007F11CA">
      <w:pPr>
        <w:spacing w:line="276" w:lineRule="auto"/>
        <w:jc w:val="both"/>
        <w:rPr>
          <w:rFonts w:ascii="Arial" w:hAnsi="Arial" w:cs="Arial"/>
        </w:rPr>
      </w:pPr>
      <w:r w:rsidRPr="007F11CA">
        <w:rPr>
          <w:rFonts w:ascii="Arial" w:hAnsi="Arial" w:cs="Arial"/>
          <w:b/>
          <w:bCs/>
        </w:rPr>
        <w:t>Extended Data</w:t>
      </w:r>
      <w:r w:rsidR="00D60637" w:rsidRPr="007F11CA">
        <w:rPr>
          <w:rFonts w:ascii="Arial" w:hAnsi="Arial" w:cs="Arial"/>
          <w:b/>
          <w:bCs/>
        </w:rPr>
        <w:t xml:space="preserve"> Figure 5:</w:t>
      </w:r>
      <w:r w:rsidRPr="007F11CA">
        <w:rPr>
          <w:rFonts w:ascii="Arial" w:hAnsi="Arial" w:cs="Arial"/>
          <w:b/>
          <w:bCs/>
        </w:rPr>
        <w:t xml:space="preserve"> </w:t>
      </w:r>
      <w:r w:rsidR="00D60637" w:rsidRPr="007F11CA">
        <w:rPr>
          <w:rFonts w:ascii="Arial" w:hAnsi="Arial" w:cs="Arial"/>
          <w:b/>
          <w:bCs/>
        </w:rPr>
        <w:t xml:space="preserve">Autonomous serial intervention for reproducible longitudinal studies. </w:t>
      </w:r>
      <w:r w:rsidR="00D60637" w:rsidRPr="007F11CA">
        <w:rPr>
          <w:rFonts w:ascii="Arial" w:hAnsi="Arial" w:cs="Arial"/>
        </w:rPr>
        <w:t>(</w:t>
      </w:r>
      <w:r w:rsidR="00D60637" w:rsidRPr="007F11CA">
        <w:rPr>
          <w:rFonts w:ascii="Arial" w:hAnsi="Arial" w:cs="Arial"/>
          <w:b/>
          <w:bCs/>
        </w:rPr>
        <w:t>a</w:t>
      </w:r>
      <w:r w:rsidR="00D60637" w:rsidRPr="007F11CA">
        <w:rPr>
          <w:rFonts w:ascii="Arial" w:hAnsi="Arial" w:cs="Arial"/>
        </w:rPr>
        <w:t>)</w:t>
      </w:r>
      <w:r w:rsidR="00D60637" w:rsidRPr="007F11CA">
        <w:t xml:space="preserve"> </w:t>
      </w:r>
      <w:r w:rsidR="00411CE6" w:rsidRPr="007F11CA">
        <w:rPr>
          <w:rFonts w:ascii="Arial" w:hAnsi="Arial" w:cs="Arial"/>
        </w:rPr>
        <w:t xml:space="preserve">To demonstrate the feasibility of multiplexed experiments within the VISIBLE </w:t>
      </w:r>
      <w:r w:rsidR="00C071D6">
        <w:rPr>
          <w:rFonts w:ascii="Arial" w:hAnsi="Arial" w:cs="Arial"/>
        </w:rPr>
        <w:t>platform</w:t>
      </w:r>
      <w:r w:rsidR="00411CE6" w:rsidRPr="007F11CA">
        <w:rPr>
          <w:rFonts w:ascii="Arial" w:hAnsi="Arial" w:cs="Arial"/>
        </w:rPr>
        <w:t xml:space="preserve">, scratches were introduced autonomously into confluent muscle cell monolayers in two </w:t>
      </w:r>
      <w:r w:rsidR="00D60637" w:rsidRPr="007F11CA">
        <w:rPr>
          <w:rFonts w:ascii="Arial" w:hAnsi="Arial" w:cs="Arial"/>
        </w:rPr>
        <w:t>neighbouring</w:t>
      </w:r>
      <w:r w:rsidR="00411CE6" w:rsidRPr="007F11CA">
        <w:rPr>
          <w:rFonts w:ascii="Arial" w:hAnsi="Arial" w:cs="Arial"/>
        </w:rPr>
        <w:t xml:space="preserve"> wells within the same multi-well plate. A series of time-lapse images captured by VISIBLE show concurrent scratch recovery in both wells, highlighting the platform's capacity for parallel, high-throughput longitudinal studies. Scale bar: 1 mm.</w:t>
      </w:r>
    </w:p>
    <w:p w14:paraId="33B978BC" w14:textId="77777777" w:rsidR="00273425" w:rsidRDefault="00273425" w:rsidP="00D37F7A">
      <w:pPr>
        <w:jc w:val="both"/>
        <w:rPr>
          <w:rFonts w:ascii="Arial" w:hAnsi="Arial" w:cs="Arial"/>
          <w:sz w:val="20"/>
          <w:szCs w:val="20"/>
        </w:rPr>
      </w:pPr>
    </w:p>
    <w:p w14:paraId="77E02B1F" w14:textId="77777777" w:rsidR="00556C58" w:rsidRPr="00556C58" w:rsidRDefault="00556C58" w:rsidP="00D37F7A">
      <w:pPr>
        <w:jc w:val="both"/>
        <w:rPr>
          <w:rFonts w:ascii="Arial" w:hAnsi="Arial" w:cs="Arial"/>
          <w:sz w:val="24"/>
          <w:szCs w:val="24"/>
        </w:rPr>
      </w:pPr>
    </w:p>
    <w:p w14:paraId="14022341" w14:textId="77777777" w:rsidR="00556C58" w:rsidRDefault="00556C58" w:rsidP="00556C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556C58">
        <w:rPr>
          <w:rFonts w:ascii="Arial" w:hAnsi="Arial" w:cs="Arial"/>
          <w:b/>
          <w:bCs/>
          <w:sz w:val="24"/>
          <w:szCs w:val="24"/>
        </w:rPr>
        <w:t xml:space="preserve">Supplementary Videos 1 to 3 are provided in </w:t>
      </w:r>
      <w:proofErr w:type="spellStart"/>
      <w:r w:rsidRPr="00556C58">
        <w:rPr>
          <w:rFonts w:ascii="Arial" w:hAnsi="Arial" w:cs="Arial"/>
          <w:b/>
          <w:bCs/>
          <w:sz w:val="24"/>
          <w:szCs w:val="24"/>
        </w:rPr>
        <w:t>FigShare</w:t>
      </w:r>
      <w:proofErr w:type="spellEnd"/>
      <w:r w:rsidRPr="00556C58">
        <w:rPr>
          <w:rFonts w:ascii="Arial" w:hAnsi="Arial" w:cs="Arial"/>
          <w:b/>
          <w:bCs/>
          <w:sz w:val="24"/>
          <w:szCs w:val="24"/>
        </w:rPr>
        <w:t>:</w:t>
      </w:r>
    </w:p>
    <w:p w14:paraId="5FDB3612" w14:textId="77777777" w:rsidR="00556C58" w:rsidRPr="00556C58" w:rsidRDefault="00556C58" w:rsidP="00556C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FC11DB1" w14:textId="310F307B" w:rsidR="00556C58" w:rsidRPr="00556C58" w:rsidRDefault="00556C58" w:rsidP="00556C58">
      <w:pPr>
        <w:jc w:val="both"/>
        <w:rPr>
          <w:rFonts w:ascii="Arial" w:hAnsi="Arial" w:cs="Arial"/>
          <w:sz w:val="24"/>
          <w:szCs w:val="24"/>
        </w:rPr>
      </w:pPr>
      <w:r w:rsidRPr="00556C58">
        <w:rPr>
          <w:rFonts w:ascii="Arial" w:hAnsi="Arial" w:cs="Arial"/>
          <w:i/>
          <w:iCs/>
          <w:sz w:val="24"/>
          <w:szCs w:val="24"/>
        </w:rPr>
        <w:t>https://doi.org/10.6084/m9.figshare.29310578.v1</w:t>
      </w:r>
    </w:p>
    <w:sectPr w:rsidR="00556C58" w:rsidRPr="00556C58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A0F7A" w14:textId="77777777" w:rsidR="00C74A18" w:rsidRDefault="00C74A18" w:rsidP="00212EDF">
      <w:pPr>
        <w:spacing w:after="0" w:line="240" w:lineRule="auto"/>
      </w:pPr>
      <w:r>
        <w:separator/>
      </w:r>
    </w:p>
  </w:endnote>
  <w:endnote w:type="continuationSeparator" w:id="0">
    <w:p w14:paraId="47B68C89" w14:textId="77777777" w:rsidR="00C74A18" w:rsidRDefault="00C74A18" w:rsidP="00212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05285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B2BFFD" w14:textId="05DC6879" w:rsidR="00212EDF" w:rsidRDefault="00212E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D078A1" w14:textId="77777777" w:rsidR="00212EDF" w:rsidRDefault="00212E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D1FE5" w14:textId="77777777" w:rsidR="00C74A18" w:rsidRDefault="00C74A18" w:rsidP="00212EDF">
      <w:pPr>
        <w:spacing w:after="0" w:line="240" w:lineRule="auto"/>
      </w:pPr>
      <w:r>
        <w:separator/>
      </w:r>
    </w:p>
  </w:footnote>
  <w:footnote w:type="continuationSeparator" w:id="0">
    <w:p w14:paraId="70A35BFF" w14:textId="77777777" w:rsidR="00C74A18" w:rsidRDefault="00C74A18" w:rsidP="00212E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014E32"/>
    <w:multiLevelType w:val="hybridMultilevel"/>
    <w:tmpl w:val="89B677C8"/>
    <w:lvl w:ilvl="0" w:tplc="5F4C3C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6074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1E"/>
    <w:rsid w:val="00024E03"/>
    <w:rsid w:val="00120FC1"/>
    <w:rsid w:val="0016161D"/>
    <w:rsid w:val="001F72C6"/>
    <w:rsid w:val="00212EDF"/>
    <w:rsid w:val="00224C04"/>
    <w:rsid w:val="00273425"/>
    <w:rsid w:val="002A701E"/>
    <w:rsid w:val="003603EA"/>
    <w:rsid w:val="00377E9B"/>
    <w:rsid w:val="00411CE6"/>
    <w:rsid w:val="00494B7E"/>
    <w:rsid w:val="00556C58"/>
    <w:rsid w:val="005D5481"/>
    <w:rsid w:val="00620EB2"/>
    <w:rsid w:val="006223EC"/>
    <w:rsid w:val="007F11CA"/>
    <w:rsid w:val="007F4465"/>
    <w:rsid w:val="0095140F"/>
    <w:rsid w:val="009B5220"/>
    <w:rsid w:val="00B85E8E"/>
    <w:rsid w:val="00B92F82"/>
    <w:rsid w:val="00C071D6"/>
    <w:rsid w:val="00C74A18"/>
    <w:rsid w:val="00C83FAE"/>
    <w:rsid w:val="00D37F7A"/>
    <w:rsid w:val="00D60637"/>
    <w:rsid w:val="00E874A8"/>
    <w:rsid w:val="00EA6B21"/>
    <w:rsid w:val="00ED43B5"/>
    <w:rsid w:val="00F81BED"/>
    <w:rsid w:val="00F8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1F334"/>
  <w15:chartTrackingRefBased/>
  <w15:docId w15:val="{F78FFD60-9666-4800-8B29-A838873D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2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EDF"/>
  </w:style>
  <w:style w:type="paragraph" w:styleId="Footer">
    <w:name w:val="footer"/>
    <w:basedOn w:val="Normal"/>
    <w:link w:val="FooterChar"/>
    <w:uiPriority w:val="99"/>
    <w:unhideWhenUsed/>
    <w:rsid w:val="00212E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EDF"/>
  </w:style>
  <w:style w:type="paragraph" w:styleId="ListParagraph">
    <w:name w:val="List Paragraph"/>
    <w:basedOn w:val="Normal"/>
    <w:uiPriority w:val="34"/>
    <w:qFormat/>
    <w:rsid w:val="009514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Francis Crick Institute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Sudeep Joshi</dc:creator>
  <cp:keywords/>
  <dc:description/>
  <cp:lastModifiedBy>Andrea Serio</cp:lastModifiedBy>
  <cp:revision>39</cp:revision>
  <dcterms:created xsi:type="dcterms:W3CDTF">2025-07-12T10:07:00Z</dcterms:created>
  <dcterms:modified xsi:type="dcterms:W3CDTF">2025-07-21T11:33:00Z</dcterms:modified>
</cp:coreProperties>
</file>