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320" w:rsidRDefault="0082414E">
      <w:pPr>
        <w:pStyle w:val="2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SUPPLEMENTARY MATERIAL </w:t>
      </w:r>
    </w:p>
    <w:p w:rsidR="006E4320" w:rsidRDefault="0082414E">
      <w:pPr>
        <w:pStyle w:val="2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Additional files</w:t>
      </w:r>
    </w:p>
    <w:p w:rsidR="006E4320" w:rsidRDefault="0082414E">
      <w:pPr>
        <w:widowControl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S1</w:t>
      </w:r>
      <w:r>
        <w:rPr>
          <w:rFonts w:ascii="Arial" w:hAnsi="Arial" w:cs="Arial"/>
          <w:b/>
          <w:bCs/>
          <w:sz w:val="20"/>
          <w:szCs w:val="20"/>
        </w:rPr>
        <w:t xml:space="preserve">: The correlation between the clinical or distribution characteristics and the different pathologic stages of TCGA HCC cases. </w:t>
      </w:r>
      <w:r>
        <w:rPr>
          <w:rFonts w:ascii="Arial" w:eastAsia="宋体" w:hAnsi="Arial" w:cs="Arial"/>
          <w:sz w:val="20"/>
          <w:szCs w:val="20"/>
        </w:rPr>
        <w:t>(</w:t>
      </w:r>
      <w:r>
        <w:rPr>
          <w:rFonts w:ascii="Arial" w:eastAsia="宋体" w:hAnsi="Arial" w:cs="Arial"/>
          <w:b/>
          <w:bCs/>
          <w:sz w:val="20"/>
          <w:szCs w:val="20"/>
        </w:rPr>
        <w:t>A-V</w:t>
      </w:r>
      <w:r>
        <w:rPr>
          <w:rFonts w:ascii="Arial" w:eastAsia="宋体" w:hAnsi="Arial" w:cs="Arial"/>
          <w:sz w:val="20"/>
          <w:szCs w:val="20"/>
        </w:rPr>
        <w:t>) We performed the Kruskal-Wallis test to analyze the relationship between pathological stage I, II, III-IV and total bilirubin (</w:t>
      </w:r>
      <w:r>
        <w:rPr>
          <w:rFonts w:ascii="Arial" w:eastAsia="宋体" w:hAnsi="Arial" w:cs="Arial"/>
          <w:b/>
          <w:bCs/>
          <w:sz w:val="20"/>
          <w:szCs w:val="20"/>
        </w:rPr>
        <w:t>A</w:t>
      </w:r>
      <w:r>
        <w:rPr>
          <w:rFonts w:ascii="Arial" w:eastAsia="宋体" w:hAnsi="Arial" w:cs="Arial"/>
          <w:sz w:val="20"/>
          <w:szCs w:val="20"/>
        </w:rPr>
        <w:t>), albumin (</w:t>
      </w:r>
      <w:r>
        <w:rPr>
          <w:rFonts w:ascii="Arial" w:eastAsia="宋体" w:hAnsi="Arial" w:cs="Arial"/>
          <w:b/>
          <w:bCs/>
          <w:sz w:val="20"/>
          <w:szCs w:val="20"/>
        </w:rPr>
        <w:t>B</w:t>
      </w:r>
      <w:r>
        <w:rPr>
          <w:rFonts w:ascii="Arial" w:eastAsia="宋体" w:hAnsi="Arial" w:cs="Arial"/>
          <w:sz w:val="20"/>
          <w:szCs w:val="20"/>
        </w:rPr>
        <w:t>), fetoprotein (</w:t>
      </w:r>
      <w:r>
        <w:rPr>
          <w:rFonts w:ascii="Arial" w:eastAsia="宋体" w:hAnsi="Arial" w:cs="Arial"/>
          <w:b/>
          <w:bCs/>
          <w:sz w:val="20"/>
          <w:szCs w:val="20"/>
        </w:rPr>
        <w:t>C</w:t>
      </w:r>
      <w:r>
        <w:rPr>
          <w:rFonts w:ascii="Arial" w:eastAsia="宋体" w:hAnsi="Arial" w:cs="Arial"/>
          <w:sz w:val="20"/>
          <w:szCs w:val="20"/>
        </w:rPr>
        <w:t>), creatine (</w:t>
      </w:r>
      <w:r>
        <w:rPr>
          <w:rFonts w:ascii="Arial" w:eastAsia="宋体" w:hAnsi="Arial" w:cs="Arial"/>
          <w:b/>
          <w:bCs/>
          <w:sz w:val="20"/>
          <w:szCs w:val="20"/>
        </w:rPr>
        <w:t>D</w:t>
      </w:r>
      <w:r>
        <w:rPr>
          <w:rFonts w:ascii="Arial" w:eastAsia="宋体" w:hAnsi="Arial" w:cs="Arial"/>
          <w:sz w:val="20"/>
          <w:szCs w:val="20"/>
        </w:rPr>
        <w:t>), protherombin time (</w:t>
      </w:r>
      <w:r>
        <w:rPr>
          <w:rFonts w:ascii="Arial" w:eastAsia="宋体" w:hAnsi="Arial" w:cs="Arial"/>
          <w:b/>
          <w:bCs/>
          <w:sz w:val="20"/>
          <w:szCs w:val="20"/>
        </w:rPr>
        <w:t>E</w:t>
      </w:r>
      <w:r>
        <w:rPr>
          <w:rFonts w:ascii="Arial" w:eastAsia="宋体" w:hAnsi="Arial" w:cs="Arial"/>
          <w:sz w:val="20"/>
          <w:szCs w:val="20"/>
        </w:rPr>
        <w:t>), platelet count (</w:t>
      </w:r>
      <w:r>
        <w:rPr>
          <w:rFonts w:ascii="Arial" w:eastAsia="宋体" w:hAnsi="Arial" w:cs="Arial"/>
          <w:b/>
          <w:bCs/>
          <w:sz w:val="20"/>
          <w:szCs w:val="20"/>
        </w:rPr>
        <w:t>F</w:t>
      </w:r>
      <w:r>
        <w:rPr>
          <w:rFonts w:ascii="Arial" w:eastAsia="宋体" w:hAnsi="Arial" w:cs="Arial"/>
          <w:sz w:val="20"/>
          <w:szCs w:val="20"/>
        </w:rPr>
        <w:t>), age (</w:t>
      </w:r>
      <w:r>
        <w:rPr>
          <w:rFonts w:ascii="Arial" w:eastAsia="宋体" w:hAnsi="Arial" w:cs="Arial"/>
          <w:b/>
          <w:bCs/>
          <w:sz w:val="20"/>
          <w:szCs w:val="20"/>
        </w:rPr>
        <w:t>G</w:t>
      </w:r>
      <w:r>
        <w:rPr>
          <w:rFonts w:ascii="Arial" w:eastAsia="宋体" w:hAnsi="Arial" w:cs="Arial"/>
          <w:sz w:val="20"/>
          <w:szCs w:val="20"/>
        </w:rPr>
        <w:t>), height (</w:t>
      </w:r>
      <w:r>
        <w:rPr>
          <w:rFonts w:ascii="Arial" w:eastAsia="宋体" w:hAnsi="Arial" w:cs="Arial"/>
          <w:b/>
          <w:bCs/>
          <w:sz w:val="20"/>
          <w:szCs w:val="20"/>
        </w:rPr>
        <w:t>H</w:t>
      </w:r>
      <w:r>
        <w:rPr>
          <w:rFonts w:ascii="Arial" w:eastAsia="宋体" w:hAnsi="Arial" w:cs="Arial"/>
          <w:sz w:val="20"/>
          <w:szCs w:val="20"/>
        </w:rPr>
        <w:t>) and w</w:t>
      </w:r>
      <w:r>
        <w:rPr>
          <w:rFonts w:ascii="Arial" w:eastAsia="宋体" w:hAnsi="Arial" w:cs="Arial" w:hint="eastAsia"/>
          <w:sz w:val="20"/>
          <w:szCs w:val="20"/>
        </w:rPr>
        <w:t>e</w:t>
      </w:r>
      <w:r>
        <w:rPr>
          <w:rFonts w:ascii="Arial" w:eastAsia="宋体" w:hAnsi="Arial" w:cs="Arial"/>
          <w:sz w:val="20"/>
          <w:szCs w:val="20"/>
        </w:rPr>
        <w:t>ight (</w:t>
      </w:r>
      <w:r>
        <w:rPr>
          <w:rFonts w:ascii="Arial" w:eastAsia="宋体" w:hAnsi="Arial" w:cs="Arial"/>
          <w:b/>
          <w:bCs/>
          <w:sz w:val="20"/>
          <w:szCs w:val="20"/>
        </w:rPr>
        <w:t>I</w:t>
      </w:r>
      <w:r>
        <w:rPr>
          <w:rFonts w:ascii="Arial" w:eastAsia="宋体" w:hAnsi="Arial" w:cs="Arial"/>
          <w:sz w:val="20"/>
          <w:szCs w:val="20"/>
        </w:rPr>
        <w:t>), respectively</w:t>
      </w:r>
      <w:r>
        <w:rPr>
          <w:rFonts w:ascii="Arial" w:eastAsia="宋体" w:hAnsi="Arial" w:cs="Arial" w:hint="eastAsia"/>
          <w:sz w:val="20"/>
          <w:szCs w:val="20"/>
        </w:rPr>
        <w:t>.</w:t>
      </w:r>
      <w:r>
        <w:rPr>
          <w:rFonts w:ascii="Arial" w:eastAsia="宋体" w:hAnsi="Arial" w:cs="Arial"/>
          <w:sz w:val="20"/>
          <w:szCs w:val="20"/>
        </w:rPr>
        <w:t xml:space="preserve"> W</w:t>
      </w:r>
      <w:r>
        <w:rPr>
          <w:rFonts w:ascii="Arial" w:eastAsia="宋体" w:hAnsi="Arial" w:cs="Arial" w:hint="eastAsia"/>
          <w:sz w:val="20"/>
          <w:szCs w:val="20"/>
        </w:rPr>
        <w:t>e</w:t>
      </w:r>
      <w:r>
        <w:rPr>
          <w:rFonts w:ascii="Arial" w:eastAsia="宋体" w:hAnsi="Arial" w:cs="Arial"/>
          <w:sz w:val="20"/>
          <w:szCs w:val="20"/>
        </w:rPr>
        <w:t xml:space="preserve"> also performed the chi-square test to analyze the association between the factors of the race (</w:t>
      </w:r>
      <w:r>
        <w:rPr>
          <w:rFonts w:ascii="Arial" w:eastAsia="宋体" w:hAnsi="Arial" w:cs="Arial"/>
          <w:b/>
          <w:bCs/>
          <w:sz w:val="20"/>
          <w:szCs w:val="20"/>
        </w:rPr>
        <w:t>J</w:t>
      </w:r>
      <w:r>
        <w:rPr>
          <w:rFonts w:ascii="Arial" w:eastAsia="宋体" w:hAnsi="Arial" w:cs="Arial"/>
          <w:sz w:val="20"/>
          <w:szCs w:val="20"/>
        </w:rPr>
        <w:t>), ethnicity (</w:t>
      </w:r>
      <w:r>
        <w:rPr>
          <w:rFonts w:ascii="Arial" w:eastAsia="宋体" w:hAnsi="Arial" w:cs="Arial"/>
          <w:b/>
          <w:bCs/>
          <w:sz w:val="20"/>
          <w:szCs w:val="20"/>
        </w:rPr>
        <w:t>K</w:t>
      </w:r>
      <w:r>
        <w:rPr>
          <w:rFonts w:ascii="Arial" w:eastAsia="宋体" w:hAnsi="Arial" w:cs="Arial"/>
          <w:sz w:val="20"/>
          <w:szCs w:val="20"/>
        </w:rPr>
        <w:t>), gender (</w:t>
      </w:r>
      <w:r>
        <w:rPr>
          <w:rFonts w:ascii="Arial" w:eastAsia="宋体" w:hAnsi="Arial" w:cs="Arial"/>
          <w:b/>
          <w:bCs/>
          <w:sz w:val="20"/>
          <w:szCs w:val="20"/>
        </w:rPr>
        <w:t>L</w:t>
      </w:r>
      <w:r>
        <w:rPr>
          <w:rFonts w:ascii="Arial" w:eastAsia="宋体" w:hAnsi="Arial" w:cs="Arial"/>
          <w:sz w:val="20"/>
          <w:szCs w:val="20"/>
        </w:rPr>
        <w:t>) and pathological stage I, II, III-IV.</w:t>
      </w:r>
    </w:p>
    <w:p w:rsidR="006E4320" w:rsidRDefault="0082414E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2:Genetic difference analysis for the different pathologic stages of HCC patients in the TCGA database. </w:t>
      </w:r>
      <w:r>
        <w:rPr>
          <w:rFonts w:ascii="Arial" w:hAnsi="Arial" w:cs="Arial" w:hint="eastAsia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) The </w:t>
      </w:r>
      <w:r>
        <w:rPr>
          <w:rFonts w:ascii="Arial" w:eastAsia="宋体" w:hAnsi="Arial" w:cs="Arial"/>
          <w:sz w:val="20"/>
          <w:szCs w:val="20"/>
        </w:rPr>
        <w:t xml:space="preserve">volcano plots of Tumor vs. Normal, stage II vs. stage III, stage III+IV vs. stage II. </w:t>
      </w:r>
      <w:r>
        <w:rPr>
          <w:rFonts w:ascii="Arial" w:hAnsi="Arial" w:cs="Arial" w:hint="eastAsia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>The venn tool</w:t>
      </w:r>
      <w:r>
        <w:rPr>
          <w:rFonts w:ascii="Arial" w:hAnsi="Arial" w:cs="Arial"/>
          <w:sz w:val="20"/>
          <w:szCs w:val="20"/>
        </w:rPr>
        <w:t xml:space="preserve"> was utilized for the intersection analysis of the above</w:t>
      </w:r>
      <w:r>
        <w:rPr>
          <w:rFonts w:ascii="Arial" w:eastAsia="宋体" w:hAnsi="Arial" w:cs="Arial"/>
          <w:sz w:val="20"/>
          <w:szCs w:val="20"/>
        </w:rPr>
        <w:t xml:space="preserve"> comparisons. </w:t>
      </w:r>
      <w:r>
        <w:rPr>
          <w:rFonts w:ascii="Arial" w:hAnsi="Arial" w:cs="Arial" w:hint="eastAsia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) The STRING tool was used for the </w:t>
      </w:r>
      <w:r>
        <w:rPr>
          <w:rFonts w:ascii="Arial" w:hAnsi="Arial" w:cs="Arial" w:hint="eastAsia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rotein-protein interaction network analysis of intersected genes.</w:t>
      </w:r>
      <w:r>
        <w:rPr>
          <w:rFonts w:ascii="Arial" w:hAnsi="Arial" w:cs="Arial" w:hint="eastAsia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heat map of cluster analysis was performed by the Morpheus. </w:t>
      </w:r>
      <w:r>
        <w:rPr>
          <w:rFonts w:ascii="Arial" w:hAnsi="Arial" w:cs="Arial" w:hint="eastAsia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he full name information of the intersected genes.</w:t>
      </w:r>
    </w:p>
    <w:p w:rsidR="006E4320" w:rsidRDefault="0082414E">
      <w:pPr>
        <w:widowControl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S3</w:t>
      </w:r>
      <w:r>
        <w:rPr>
          <w:rFonts w:ascii="Arial" w:hAnsi="Arial" w:cs="Arial"/>
          <w:b/>
          <w:bCs/>
          <w:sz w:val="20"/>
          <w:szCs w:val="20"/>
        </w:rPr>
        <w:t xml:space="preserve">: The expression and relative survival curve analysis for some targeting genes. </w:t>
      </w:r>
      <w:r>
        <w:rPr>
          <w:rFonts w:ascii="Arial" w:eastAsia="宋体" w:hAnsi="Arial" w:cs="Arial"/>
          <w:sz w:val="20"/>
          <w:szCs w:val="20"/>
        </w:rPr>
        <w:t xml:space="preserve">We analyzed the expression levels of </w:t>
      </w:r>
      <w:r>
        <w:rPr>
          <w:rFonts w:ascii="Arial" w:eastAsia="宋体" w:hAnsi="Arial" w:cs="Arial"/>
          <w:i/>
          <w:iCs/>
          <w:sz w:val="20"/>
          <w:szCs w:val="20"/>
        </w:rPr>
        <w:t xml:space="preserve">PIANP, DUOX2, CUZD1, CRTAC1, IQCA1, IL11, NPHS1, PCSK1, CPA1, HOXB9, KCNH2 </w:t>
      </w:r>
      <w:r>
        <w:rPr>
          <w:rFonts w:ascii="Arial" w:eastAsia="宋体" w:hAnsi="Arial" w:cs="Arial"/>
          <w:sz w:val="20"/>
          <w:szCs w:val="20"/>
        </w:rPr>
        <w:t>and</w:t>
      </w:r>
      <w:r>
        <w:rPr>
          <w:rFonts w:ascii="Arial" w:eastAsia="宋体" w:hAnsi="Arial" w:cs="Arial"/>
          <w:i/>
          <w:iCs/>
          <w:sz w:val="20"/>
          <w:szCs w:val="20"/>
        </w:rPr>
        <w:t xml:space="preserve"> NPTX1</w:t>
      </w:r>
      <w:r>
        <w:rPr>
          <w:rFonts w:ascii="Arial" w:eastAsia="宋体" w:hAnsi="Arial" w:cs="Arial"/>
          <w:sz w:val="20"/>
          <w:szCs w:val="20"/>
        </w:rPr>
        <w:t xml:space="preserve"> genes in normal and overall HCC (</w:t>
      </w:r>
      <w:r>
        <w:rPr>
          <w:rFonts w:ascii="Arial" w:eastAsia="宋体" w:hAnsi="Arial" w:cs="Arial"/>
          <w:b/>
          <w:bCs/>
          <w:sz w:val="20"/>
          <w:szCs w:val="20"/>
        </w:rPr>
        <w:t>A</w:t>
      </w:r>
      <w:r>
        <w:rPr>
          <w:rFonts w:ascii="Arial" w:eastAsia="宋体" w:hAnsi="Arial" w:cs="Arial"/>
          <w:sz w:val="20"/>
          <w:szCs w:val="20"/>
        </w:rPr>
        <w:t>), and different pathological stages (</w:t>
      </w:r>
      <w:r>
        <w:rPr>
          <w:rFonts w:ascii="Arial" w:eastAsia="宋体" w:hAnsi="Arial" w:cs="Arial"/>
          <w:b/>
          <w:bCs/>
          <w:sz w:val="20"/>
          <w:szCs w:val="20"/>
        </w:rPr>
        <w:t>B</w:t>
      </w:r>
      <w:r>
        <w:rPr>
          <w:rFonts w:ascii="Arial" w:eastAsia="宋体" w:hAnsi="Arial" w:cs="Arial"/>
          <w:sz w:val="20"/>
          <w:szCs w:val="20"/>
        </w:rPr>
        <w:t>) by GEPIA. We also performed the Kaplan-Meier estimates of the overall survival (OS) or disease-free survival (DFS) according to the expression level (</w:t>
      </w:r>
      <w:r>
        <w:rPr>
          <w:rFonts w:ascii="Arial" w:eastAsia="宋体" w:hAnsi="Arial" w:cs="Arial"/>
          <w:b/>
          <w:bCs/>
          <w:sz w:val="20"/>
          <w:szCs w:val="20"/>
        </w:rPr>
        <w:t>C</w:t>
      </w:r>
      <w:r>
        <w:rPr>
          <w:rFonts w:ascii="Arial" w:eastAsia="宋体" w:hAnsi="Arial" w:cs="Arial"/>
          <w:sz w:val="20"/>
          <w:szCs w:val="20"/>
        </w:rPr>
        <w:t xml:space="preserve">). </w:t>
      </w:r>
    </w:p>
    <w:p w:rsidR="006E4320" w:rsidRDefault="0082414E">
      <w:pPr>
        <w:widowControl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S4</w:t>
      </w:r>
      <w:r>
        <w:rPr>
          <w:rFonts w:ascii="Arial" w:hAnsi="Arial" w:cs="Arial"/>
          <w:b/>
          <w:bCs/>
          <w:sz w:val="20"/>
          <w:szCs w:val="20"/>
        </w:rPr>
        <w:t xml:space="preserve">: The comparison between the copy number variant and expression level of the genes within the cell cycle pathway. </w:t>
      </w:r>
      <w:r>
        <w:rPr>
          <w:rFonts w:ascii="Arial" w:eastAsia="宋体" w:hAnsi="Arial" w:cs="Arial"/>
          <w:sz w:val="20"/>
          <w:szCs w:val="20"/>
        </w:rPr>
        <w:t xml:space="preserve">We performed Kolmogorov-Smirnov test for correlation analysis to identify the expression-correlated targeting genes with CNV, </w:t>
      </w:r>
      <w:r>
        <w:rPr>
          <w:rFonts w:ascii="Arial" w:eastAsia="宋体" w:hAnsi="Arial" w:cs="Arial" w:hint="eastAsia"/>
          <w:sz w:val="20"/>
          <w:szCs w:val="20"/>
        </w:rPr>
        <w:t>and</w:t>
      </w:r>
      <w:r>
        <w:rPr>
          <w:rFonts w:ascii="Arial" w:eastAsia="宋体" w:hAnsi="Arial" w:cs="Arial"/>
          <w:sz w:val="20"/>
          <w:szCs w:val="20"/>
        </w:rPr>
        <w:t xml:space="preserve"> then utilized the enrichKEGG function for the KEGG pathway enrichment analysis. The cell cycle pathway data was provided.</w:t>
      </w:r>
    </w:p>
    <w:p w:rsidR="006E4320" w:rsidRDefault="0082414E">
      <w:pPr>
        <w:widowControl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S5</w:t>
      </w:r>
      <w:r>
        <w:rPr>
          <w:rFonts w:ascii="Arial" w:hAnsi="Arial" w:cs="Arial"/>
          <w:b/>
          <w:bCs/>
          <w:sz w:val="20"/>
          <w:szCs w:val="20"/>
        </w:rPr>
        <w:t xml:space="preserve">: </w:t>
      </w:r>
      <w:r>
        <w:rPr>
          <w:rFonts w:ascii="Arial" w:eastAsia="宋体" w:hAnsi="Arial" w:cs="Arial"/>
          <w:b/>
          <w:bCs/>
          <w:sz w:val="20"/>
          <w:szCs w:val="20"/>
        </w:rPr>
        <w:t>Waterfall plot</w:t>
      </w:r>
      <w:r>
        <w:rPr>
          <w:rFonts w:ascii="Arial" w:hAnsi="Arial" w:cs="Arial"/>
          <w:b/>
          <w:bCs/>
          <w:sz w:val="20"/>
          <w:szCs w:val="20"/>
        </w:rPr>
        <w:t xml:space="preserve"> and the analysis regarding the relationship between the gene expression and mutation status of top 15 mutated genes.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bCs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 xml:space="preserve">The top 15 genes of mutation frequency, such as </w:t>
      </w:r>
      <w:r>
        <w:rPr>
          <w:rFonts w:ascii="Arial" w:eastAsia="宋体" w:hAnsi="Arial" w:cs="Arial"/>
          <w:i/>
          <w:iCs/>
          <w:sz w:val="20"/>
          <w:szCs w:val="20"/>
        </w:rPr>
        <w:t>TTN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TP53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CTNNB1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MUC16</w:t>
      </w:r>
      <w:r>
        <w:rPr>
          <w:rFonts w:ascii="Arial" w:eastAsia="宋体" w:hAnsi="Arial" w:cs="Arial"/>
          <w:sz w:val="20"/>
          <w:szCs w:val="20"/>
        </w:rPr>
        <w:t>, and</w:t>
      </w:r>
      <w:r>
        <w:rPr>
          <w:rFonts w:ascii="Arial" w:eastAsia="宋体" w:hAnsi="Arial" w:cs="Arial"/>
          <w:i/>
          <w:iCs/>
          <w:sz w:val="20"/>
          <w:szCs w:val="20"/>
        </w:rPr>
        <w:t xml:space="preserve"> ALB</w:t>
      </w:r>
      <w:r>
        <w:rPr>
          <w:rFonts w:ascii="Arial" w:eastAsia="宋体" w:hAnsi="Arial" w:cs="Arial"/>
          <w:sz w:val="20"/>
          <w:szCs w:val="20"/>
        </w:rPr>
        <w:t>, were selected for the waterfall plot with clinical grading information. (</w:t>
      </w:r>
      <w:r>
        <w:rPr>
          <w:rFonts w:ascii="Arial" w:eastAsia="宋体" w:hAnsi="Arial" w:cs="Arial"/>
          <w:b/>
          <w:bCs/>
          <w:sz w:val="20"/>
          <w:szCs w:val="20"/>
        </w:rPr>
        <w:t>B</w:t>
      </w:r>
      <w:r>
        <w:rPr>
          <w:rFonts w:ascii="Arial" w:eastAsia="宋体" w:hAnsi="Arial" w:cs="Arial"/>
          <w:sz w:val="20"/>
          <w:szCs w:val="20"/>
        </w:rPr>
        <w:t>) The correlation between gene expression and mutation in normal and different pathological grades of HCC was analyzed.</w:t>
      </w:r>
    </w:p>
    <w:p w:rsidR="006E4320" w:rsidRDefault="0082414E">
      <w:pPr>
        <w:widowControl/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S6</w:t>
      </w:r>
      <w:r>
        <w:rPr>
          <w:rFonts w:ascii="Arial" w:hAnsi="Arial" w:cs="Arial"/>
          <w:b/>
          <w:bCs/>
          <w:sz w:val="20"/>
          <w:szCs w:val="20"/>
        </w:rPr>
        <w:t xml:space="preserve">: </w:t>
      </w:r>
      <w:r>
        <w:rPr>
          <w:rFonts w:ascii="Arial" w:eastAsia="宋体" w:hAnsi="Arial" w:cs="Arial"/>
          <w:b/>
          <w:bCs/>
          <w:sz w:val="20"/>
          <w:szCs w:val="20"/>
        </w:rPr>
        <w:t>Waterfall plot</w:t>
      </w:r>
      <w:r>
        <w:rPr>
          <w:rFonts w:ascii="Arial" w:hAnsi="Arial" w:cs="Arial"/>
          <w:b/>
          <w:bCs/>
          <w:sz w:val="20"/>
          <w:szCs w:val="20"/>
        </w:rPr>
        <w:t xml:space="preserve"> and the analysis regarding the relationship between the gene expression and mutation status of 18 target genes.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 xml:space="preserve">The 15 target genes, including </w:t>
      </w:r>
      <w:r>
        <w:rPr>
          <w:rFonts w:ascii="Arial" w:eastAsia="宋体" w:hAnsi="Arial" w:cs="Arial"/>
          <w:i/>
          <w:iCs/>
          <w:sz w:val="20"/>
          <w:szCs w:val="20"/>
        </w:rPr>
        <w:t>CENPF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ASPM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SND1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MELK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TOP2A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IQCA1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CUZD1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TTK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NCAPQ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FPR2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GADD45G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CDC20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PPBP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PC5K1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IL11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GNGT1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CCNE2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BDKRB1</w:t>
      </w:r>
      <w:r>
        <w:rPr>
          <w:rFonts w:ascii="Arial" w:eastAsia="宋体" w:hAnsi="Arial" w:cs="Arial"/>
          <w:sz w:val="20"/>
          <w:szCs w:val="20"/>
        </w:rPr>
        <w:t>, were selected for the waterfall plot with clinical grading information. (</w:t>
      </w:r>
      <w:r>
        <w:rPr>
          <w:rFonts w:ascii="Arial" w:eastAsia="宋体" w:hAnsi="Arial" w:cs="Arial"/>
          <w:b/>
          <w:bCs/>
          <w:sz w:val="20"/>
          <w:szCs w:val="20"/>
        </w:rPr>
        <w:t>B</w:t>
      </w:r>
      <w:r>
        <w:rPr>
          <w:rFonts w:ascii="Arial" w:eastAsia="宋体" w:hAnsi="Arial" w:cs="Arial"/>
          <w:sz w:val="20"/>
          <w:szCs w:val="20"/>
        </w:rPr>
        <w:t>) The correlation between the mutation and expression level of the above genes was analyzed.</w:t>
      </w:r>
    </w:p>
    <w:p w:rsidR="006E4320" w:rsidRDefault="0082414E">
      <w:pPr>
        <w:widowControl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S7</w:t>
      </w:r>
      <w:r>
        <w:rPr>
          <w:rFonts w:ascii="Arial" w:hAnsi="Arial" w:cs="Arial"/>
          <w:b/>
          <w:bCs/>
          <w:sz w:val="20"/>
          <w:szCs w:val="20"/>
        </w:rPr>
        <w:t xml:space="preserve">: Survival curve analysis for the mutated </w:t>
      </w:r>
      <w:r>
        <w:rPr>
          <w:rFonts w:ascii="Arial" w:hAnsi="Arial" w:cs="Arial"/>
          <w:b/>
          <w:bCs/>
          <w:i/>
          <w:iCs/>
          <w:sz w:val="20"/>
          <w:szCs w:val="20"/>
        </w:rPr>
        <w:t>CTNNB1</w:t>
      </w:r>
      <w:r>
        <w:rPr>
          <w:rFonts w:ascii="Arial" w:hAnsi="Arial" w:cs="Arial"/>
          <w:b/>
          <w:bCs/>
          <w:sz w:val="20"/>
          <w:szCs w:val="20"/>
        </w:rPr>
        <w:t xml:space="preserve"> or </w:t>
      </w:r>
      <w:r>
        <w:rPr>
          <w:rFonts w:ascii="Arial" w:hAnsi="Arial" w:cs="Arial"/>
          <w:b/>
          <w:bCs/>
          <w:i/>
          <w:iCs/>
          <w:sz w:val="20"/>
          <w:szCs w:val="20"/>
        </w:rPr>
        <w:t>TP53</w:t>
      </w:r>
      <w:r>
        <w:rPr>
          <w:rFonts w:ascii="Arial" w:hAnsi="Arial" w:cs="Arial"/>
          <w:b/>
          <w:bCs/>
          <w:sz w:val="20"/>
          <w:szCs w:val="20"/>
        </w:rPr>
        <w:t xml:space="preserve"> genes in the different pathologic stages of TCGA HCC cohort. </w:t>
      </w:r>
      <w:r>
        <w:rPr>
          <w:rFonts w:ascii="Arial" w:eastAsia="宋体" w:hAnsi="Arial" w:cs="Arial"/>
          <w:sz w:val="20"/>
          <w:szCs w:val="20"/>
        </w:rPr>
        <w:t xml:space="preserve">The “survminer” package was used to perform the survival curve analysis for the mutation of </w:t>
      </w:r>
      <w:r>
        <w:rPr>
          <w:rFonts w:ascii="Arial" w:eastAsia="宋体" w:hAnsi="Arial" w:cs="Arial"/>
          <w:i/>
          <w:iCs/>
          <w:sz w:val="20"/>
          <w:szCs w:val="20"/>
        </w:rPr>
        <w:t>CTNNB1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A-D</w:t>
      </w:r>
      <w:r>
        <w:rPr>
          <w:rFonts w:ascii="Arial" w:hAnsi="Arial" w:cs="Arial"/>
          <w:sz w:val="20"/>
          <w:szCs w:val="20"/>
        </w:rPr>
        <w:t>)</w:t>
      </w:r>
      <w:r>
        <w:rPr>
          <w:rFonts w:ascii="Arial" w:eastAsia="宋体" w:hAnsi="Arial" w:cs="Arial"/>
          <w:sz w:val="20"/>
          <w:szCs w:val="20"/>
        </w:rPr>
        <w:t xml:space="preserve">, TP53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E-H</w:t>
      </w:r>
      <w:r>
        <w:rPr>
          <w:rFonts w:ascii="Arial" w:hAnsi="Arial" w:cs="Arial"/>
          <w:sz w:val="20"/>
          <w:szCs w:val="20"/>
        </w:rPr>
        <w:t>)</w:t>
      </w:r>
      <w:r>
        <w:rPr>
          <w:rFonts w:ascii="Arial" w:eastAsia="宋体" w:hAnsi="Arial" w:cs="Arial"/>
          <w:sz w:val="20"/>
          <w:szCs w:val="20"/>
        </w:rPr>
        <w:t xml:space="preserve"> in the overall HCC, stage I, II, III-IV of HCC, respectively.</w:t>
      </w:r>
    </w:p>
    <w:p w:rsidR="006E4320" w:rsidRDefault="0082414E">
      <w:pPr>
        <w:widowControl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Figure</w:t>
      </w:r>
      <w:r>
        <w:rPr>
          <w:rFonts w:ascii="Arial" w:hAnsi="Arial" w:cs="Arial" w:hint="eastAsia"/>
          <w:b/>
          <w:bCs/>
          <w:sz w:val="20"/>
          <w:szCs w:val="20"/>
        </w:rPr>
        <w:t xml:space="preserve"> S8</w:t>
      </w:r>
      <w:r>
        <w:rPr>
          <w:rFonts w:ascii="Arial" w:hAnsi="Arial" w:cs="Arial"/>
          <w:b/>
          <w:bCs/>
          <w:sz w:val="20"/>
          <w:szCs w:val="20"/>
        </w:rPr>
        <w:t xml:space="preserve">: Survival curve analysis for the mutated </w:t>
      </w:r>
      <w:r>
        <w:rPr>
          <w:rFonts w:ascii="Arial" w:hAnsi="Arial" w:cs="Arial"/>
          <w:b/>
          <w:bCs/>
          <w:i/>
          <w:iCs/>
          <w:sz w:val="20"/>
          <w:szCs w:val="20"/>
        </w:rPr>
        <w:t>TTN</w:t>
      </w:r>
      <w:r>
        <w:rPr>
          <w:rFonts w:ascii="Arial" w:hAnsi="Arial" w:cs="Arial"/>
          <w:b/>
          <w:bCs/>
          <w:sz w:val="20"/>
          <w:szCs w:val="20"/>
        </w:rPr>
        <w:t xml:space="preserve"> or </w:t>
      </w:r>
      <w:r>
        <w:rPr>
          <w:rFonts w:ascii="Arial" w:hAnsi="Arial" w:cs="Arial"/>
          <w:b/>
          <w:bCs/>
          <w:i/>
          <w:iCs/>
          <w:sz w:val="20"/>
          <w:szCs w:val="20"/>
        </w:rPr>
        <w:t>OBSCN</w:t>
      </w:r>
      <w:r>
        <w:rPr>
          <w:rFonts w:ascii="Arial" w:hAnsi="Arial" w:cs="Arial"/>
          <w:b/>
          <w:bCs/>
          <w:sz w:val="20"/>
          <w:szCs w:val="20"/>
        </w:rPr>
        <w:t xml:space="preserve"> genes in the different pathologic stages in TCGA HCC cohort.</w:t>
      </w:r>
      <w:r>
        <w:rPr>
          <w:rFonts w:ascii="Arial" w:eastAsia="宋体" w:hAnsi="Arial" w:cs="Arial"/>
          <w:sz w:val="20"/>
          <w:szCs w:val="20"/>
        </w:rPr>
        <w:t xml:space="preserve"> The “survminer” package was used to perform the </w:t>
      </w:r>
      <w:r>
        <w:rPr>
          <w:rFonts w:ascii="Arial" w:eastAsia="宋体" w:hAnsi="Arial" w:cs="Arial"/>
          <w:sz w:val="20"/>
          <w:szCs w:val="20"/>
        </w:rPr>
        <w:lastRenderedPageBreak/>
        <w:t xml:space="preserve">survival curve analysis for the mutation of </w:t>
      </w:r>
      <w:r>
        <w:rPr>
          <w:rFonts w:ascii="Arial" w:eastAsia="宋体" w:hAnsi="Arial" w:cs="Arial"/>
          <w:i/>
          <w:iCs/>
          <w:sz w:val="20"/>
          <w:szCs w:val="20"/>
        </w:rPr>
        <w:t>TTN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A-D</w:t>
      </w:r>
      <w:r>
        <w:rPr>
          <w:rFonts w:ascii="Arial" w:hAnsi="Arial" w:cs="Arial"/>
          <w:sz w:val="20"/>
          <w:szCs w:val="20"/>
        </w:rPr>
        <w:t>)</w:t>
      </w:r>
      <w:r>
        <w:rPr>
          <w:rFonts w:ascii="Arial" w:eastAsia="宋体" w:hAnsi="Arial" w:cs="Arial"/>
          <w:sz w:val="20"/>
          <w:szCs w:val="20"/>
        </w:rPr>
        <w:t>,</w:t>
      </w:r>
      <w:r>
        <w:rPr>
          <w:rFonts w:ascii="Arial" w:eastAsia="宋体" w:hAnsi="Arial" w:cs="Arial"/>
          <w:i/>
          <w:iCs/>
          <w:sz w:val="20"/>
          <w:szCs w:val="20"/>
        </w:rPr>
        <w:t xml:space="preserve"> OBSCN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E-H</w:t>
      </w:r>
      <w:r>
        <w:rPr>
          <w:rFonts w:ascii="Arial" w:hAnsi="Arial" w:cs="Arial"/>
          <w:sz w:val="20"/>
          <w:szCs w:val="20"/>
        </w:rPr>
        <w:t>)</w:t>
      </w:r>
      <w:r>
        <w:rPr>
          <w:rFonts w:ascii="Arial" w:eastAsia="宋体" w:hAnsi="Arial" w:cs="Arial"/>
          <w:sz w:val="20"/>
          <w:szCs w:val="20"/>
        </w:rPr>
        <w:t xml:space="preserve"> in the overall HCC, stage I, II, III-IV of HCC, respectively.</w:t>
      </w:r>
    </w:p>
    <w:p w:rsidR="006E4320" w:rsidRDefault="0082414E">
      <w:pPr>
        <w:widowControl/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S9</w:t>
      </w:r>
      <w:r>
        <w:rPr>
          <w:rFonts w:ascii="Arial" w:hAnsi="Arial" w:cs="Arial"/>
          <w:b/>
          <w:bCs/>
          <w:sz w:val="20"/>
          <w:szCs w:val="20"/>
        </w:rPr>
        <w:t xml:space="preserve">: The relationship between the gene expression and SNP status of </w:t>
      </w:r>
      <w:r>
        <w:rPr>
          <w:rFonts w:ascii="Arial" w:hAnsi="Arial" w:cs="Arial"/>
          <w:b/>
          <w:bCs/>
          <w:i/>
          <w:iCs/>
          <w:sz w:val="20"/>
          <w:szCs w:val="20"/>
        </w:rPr>
        <w:t>CTNNB1</w:t>
      </w:r>
      <w:r>
        <w:rPr>
          <w:rFonts w:ascii="Arial" w:hAnsi="Arial" w:cs="Arial"/>
          <w:b/>
          <w:bCs/>
          <w:sz w:val="20"/>
          <w:szCs w:val="20"/>
        </w:rPr>
        <w:t xml:space="preserve"> gene.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 xml:space="preserve">We extracted the SNP data of HCC from the TCGA cohort, and identified the SNPs with relatively high frequency.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 xml:space="preserve">) The SNP status of the </w:t>
      </w:r>
      <w:r>
        <w:rPr>
          <w:rFonts w:ascii="Arial" w:hAnsi="Arial" w:cs="Arial"/>
          <w:i/>
          <w:iCs/>
          <w:sz w:val="20"/>
          <w:szCs w:val="20"/>
        </w:rPr>
        <w:t xml:space="preserve">CTNNB1 </w:t>
      </w:r>
      <w:r>
        <w:rPr>
          <w:rFonts w:ascii="Arial" w:hAnsi="Arial" w:cs="Arial"/>
          <w:sz w:val="20"/>
          <w:szCs w:val="20"/>
        </w:rPr>
        <w:t>gene in the HCC cases of TCGA cohorts. (</w:t>
      </w:r>
      <w:r>
        <w:rPr>
          <w:rFonts w:ascii="Arial" w:hAnsi="Arial" w:cs="Arial"/>
          <w:b/>
          <w:bCs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 xml:space="preserve">The correlation between gene expression and </w:t>
      </w:r>
      <w:r>
        <w:rPr>
          <w:rFonts w:ascii="Arial" w:eastAsia="宋体" w:hAnsi="Arial" w:cs="Arial"/>
          <w:i/>
          <w:iCs/>
          <w:sz w:val="20"/>
          <w:szCs w:val="20"/>
        </w:rPr>
        <w:t>CTNNB1</w:t>
      </w:r>
      <w:r>
        <w:rPr>
          <w:rFonts w:ascii="Arial" w:eastAsia="宋体" w:hAnsi="Arial" w:cs="Arial"/>
          <w:sz w:val="20"/>
          <w:szCs w:val="20"/>
        </w:rPr>
        <w:t xml:space="preserve"> rs121913396, rs121913400, rs121913407, and</w:t>
      </w:r>
      <w:r>
        <w:rPr>
          <w:rFonts w:ascii="Arial" w:eastAsia="宋体" w:hAnsi="Arial" w:cs="Arial"/>
          <w:i/>
          <w:iCs/>
          <w:sz w:val="20"/>
          <w:szCs w:val="20"/>
        </w:rPr>
        <w:t xml:space="preserve"> TP53</w:t>
      </w:r>
      <w:r>
        <w:rPr>
          <w:rFonts w:ascii="Arial" w:eastAsia="宋体" w:hAnsi="Arial" w:cs="Arial"/>
          <w:sz w:val="20"/>
          <w:szCs w:val="20"/>
        </w:rPr>
        <w:t xml:space="preserve"> rs28934571 SNP in normal and different pathological grades of HCC was analyzed.</w:t>
      </w:r>
    </w:p>
    <w:p w:rsidR="006E4320" w:rsidRDefault="0082414E">
      <w:pPr>
        <w:widowControl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S10</w:t>
      </w:r>
      <w:r>
        <w:rPr>
          <w:rFonts w:ascii="Arial" w:hAnsi="Arial" w:cs="Arial"/>
          <w:b/>
          <w:bCs/>
          <w:sz w:val="20"/>
          <w:szCs w:val="20"/>
        </w:rPr>
        <w:t xml:space="preserve">: Survival curve analysis for the </w:t>
      </w:r>
      <w:r>
        <w:rPr>
          <w:rFonts w:ascii="Arial" w:hAnsi="Arial" w:cs="Arial"/>
          <w:b/>
          <w:bCs/>
          <w:i/>
          <w:iCs/>
          <w:sz w:val="20"/>
          <w:szCs w:val="20"/>
        </w:rPr>
        <w:t>CTNNB1</w:t>
      </w:r>
      <w:r>
        <w:rPr>
          <w:rFonts w:ascii="Arial" w:hAnsi="Arial" w:cs="Arial"/>
          <w:b/>
          <w:bCs/>
          <w:sz w:val="20"/>
          <w:szCs w:val="20"/>
        </w:rPr>
        <w:t xml:space="preserve"> and </w:t>
      </w:r>
      <w:r>
        <w:rPr>
          <w:rFonts w:ascii="Arial" w:hAnsi="Arial" w:cs="Arial"/>
          <w:b/>
          <w:bCs/>
          <w:i/>
          <w:iCs/>
          <w:sz w:val="20"/>
          <w:szCs w:val="20"/>
        </w:rPr>
        <w:t>TP53</w:t>
      </w:r>
      <w:r>
        <w:rPr>
          <w:rFonts w:ascii="Arial" w:hAnsi="Arial" w:cs="Arial"/>
          <w:b/>
          <w:bCs/>
          <w:sz w:val="20"/>
          <w:szCs w:val="20"/>
        </w:rPr>
        <w:t xml:space="preserve"> SNPs in the different pathologic stages of TCGA HCC patients</w:t>
      </w:r>
      <w:r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eastAsia="宋体" w:hAnsi="Arial" w:cs="Arial"/>
          <w:sz w:val="20"/>
          <w:szCs w:val="20"/>
        </w:rPr>
        <w:t xml:space="preserve">The “survminer” package was used to perform the survival curve analysis for the </w:t>
      </w:r>
      <w:r>
        <w:rPr>
          <w:rFonts w:ascii="Arial" w:eastAsia="宋体" w:hAnsi="Arial" w:cs="Arial"/>
          <w:i/>
          <w:iCs/>
          <w:sz w:val="20"/>
          <w:szCs w:val="20"/>
        </w:rPr>
        <w:t>CTNNB1</w:t>
      </w:r>
      <w:r>
        <w:rPr>
          <w:rFonts w:ascii="Arial" w:eastAsia="宋体" w:hAnsi="Arial" w:cs="Arial"/>
          <w:sz w:val="20"/>
          <w:szCs w:val="20"/>
        </w:rPr>
        <w:t xml:space="preserve"> rs121913396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)</w:t>
      </w:r>
      <w:r>
        <w:rPr>
          <w:rFonts w:ascii="Arial" w:eastAsia="宋体" w:hAnsi="Arial" w:cs="Arial"/>
          <w:sz w:val="20"/>
          <w:szCs w:val="20"/>
        </w:rPr>
        <w:t xml:space="preserve">, rs121913400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)</w:t>
      </w:r>
      <w:r>
        <w:rPr>
          <w:rFonts w:ascii="Arial" w:eastAsia="宋体" w:hAnsi="Arial" w:cs="Arial"/>
          <w:sz w:val="20"/>
          <w:szCs w:val="20"/>
        </w:rPr>
        <w:t xml:space="preserve">, rs121913407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>and</w:t>
      </w:r>
      <w:r>
        <w:rPr>
          <w:rFonts w:ascii="Arial" w:eastAsia="宋体" w:hAnsi="Arial" w:cs="Arial"/>
          <w:i/>
          <w:iCs/>
          <w:sz w:val="20"/>
          <w:szCs w:val="20"/>
        </w:rPr>
        <w:t xml:space="preserve"> TP53</w:t>
      </w:r>
      <w:r>
        <w:rPr>
          <w:rFonts w:ascii="Arial" w:eastAsia="宋体" w:hAnsi="Arial" w:cs="Arial"/>
          <w:sz w:val="20"/>
          <w:szCs w:val="20"/>
        </w:rPr>
        <w:t xml:space="preserve"> rs28934571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bCs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eastAsia="宋体" w:hAnsi="Arial" w:cs="Arial"/>
          <w:sz w:val="20"/>
          <w:szCs w:val="20"/>
        </w:rPr>
        <w:t>SNP in the different pathologic stages of TCGA HCC patients.</w:t>
      </w:r>
    </w:p>
    <w:p w:rsidR="006E4320" w:rsidRDefault="0082414E">
      <w:pPr>
        <w:widowControl/>
        <w:spacing w:line="480" w:lineRule="auto"/>
        <w:rPr>
          <w:rFonts w:ascii="Arial" w:eastAsia="宋体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 w:hint="eastAsia"/>
          <w:b/>
          <w:bCs/>
          <w:sz w:val="20"/>
          <w:szCs w:val="20"/>
        </w:rPr>
        <w:t>S11</w:t>
      </w:r>
      <w:r>
        <w:rPr>
          <w:rFonts w:ascii="Arial" w:hAnsi="Arial" w:cs="Arial"/>
          <w:b/>
          <w:bCs/>
          <w:sz w:val="20"/>
          <w:szCs w:val="20"/>
        </w:rPr>
        <w:t xml:space="preserve">: The decision tree and random forest analysis for the normal controls and HCC cases in the TCGA cohort. </w:t>
      </w:r>
      <w:r>
        <w:rPr>
          <w:rFonts w:ascii="Arial" w:eastAsia="宋体" w:hAnsi="Arial" w:cs="Arial"/>
          <w:sz w:val="20"/>
          <w:szCs w:val="20"/>
        </w:rPr>
        <w:t>We perform random forest modeling analysis to classificate the normal controls and HCC cases. Multiple dimension scale plot (</w:t>
      </w:r>
      <w:r>
        <w:rPr>
          <w:rFonts w:ascii="Arial" w:eastAsia="宋体" w:hAnsi="Arial" w:cs="Arial"/>
          <w:b/>
          <w:bCs/>
          <w:sz w:val="20"/>
          <w:szCs w:val="20"/>
        </w:rPr>
        <w:t>A</w:t>
      </w:r>
      <w:r>
        <w:rPr>
          <w:rFonts w:ascii="Arial" w:eastAsia="宋体" w:hAnsi="Arial" w:cs="Arial"/>
          <w:sz w:val="20"/>
          <w:szCs w:val="20"/>
        </w:rPr>
        <w:t>), ROC curve (</w:t>
      </w:r>
      <w:r>
        <w:rPr>
          <w:rFonts w:ascii="Arial" w:eastAsia="宋体" w:hAnsi="Arial" w:cs="Arial"/>
          <w:b/>
          <w:bCs/>
          <w:sz w:val="20"/>
          <w:szCs w:val="20"/>
        </w:rPr>
        <w:t>B</w:t>
      </w:r>
      <w:r>
        <w:rPr>
          <w:rFonts w:ascii="Arial" w:eastAsia="宋体" w:hAnsi="Arial" w:cs="Arial"/>
          <w:sz w:val="20"/>
          <w:szCs w:val="20"/>
        </w:rPr>
        <w:t>), and the largely contributed genes (</w:t>
      </w:r>
      <w:r>
        <w:rPr>
          <w:rFonts w:ascii="Arial" w:eastAsia="宋体" w:hAnsi="Arial" w:cs="Arial"/>
          <w:b/>
          <w:bCs/>
          <w:sz w:val="20"/>
          <w:szCs w:val="20"/>
        </w:rPr>
        <w:t>C-D</w:t>
      </w:r>
      <w:r>
        <w:rPr>
          <w:rFonts w:ascii="Arial" w:eastAsia="宋体" w:hAnsi="Arial" w:cs="Arial"/>
          <w:sz w:val="20"/>
          <w:szCs w:val="20"/>
        </w:rPr>
        <w:t>) were provided. Then, we performed the decision tree modeling analysis (</w:t>
      </w:r>
      <w:r>
        <w:rPr>
          <w:rFonts w:ascii="Arial" w:eastAsia="宋体" w:hAnsi="Arial" w:cs="Arial"/>
          <w:b/>
          <w:bCs/>
          <w:sz w:val="20"/>
          <w:szCs w:val="20"/>
        </w:rPr>
        <w:t>E</w:t>
      </w:r>
      <w:r>
        <w:rPr>
          <w:rFonts w:ascii="Arial" w:eastAsia="宋体" w:hAnsi="Arial" w:cs="Arial"/>
          <w:sz w:val="20"/>
          <w:szCs w:val="20"/>
        </w:rPr>
        <w:t>) and compared the expression of these genes in 50 HCC tissues with adjacent non-tumor tissues (</w:t>
      </w:r>
      <w:r>
        <w:rPr>
          <w:rFonts w:ascii="Arial" w:eastAsia="宋体" w:hAnsi="Arial" w:cs="Arial"/>
          <w:b/>
          <w:bCs/>
          <w:sz w:val="20"/>
          <w:szCs w:val="20"/>
        </w:rPr>
        <w:t>F</w:t>
      </w:r>
      <w:r>
        <w:rPr>
          <w:rFonts w:ascii="Arial" w:eastAsia="宋体" w:hAnsi="Arial" w:cs="Arial"/>
          <w:sz w:val="20"/>
          <w:szCs w:val="20"/>
        </w:rPr>
        <w:t xml:space="preserve">), targeting </w:t>
      </w:r>
      <w:r>
        <w:rPr>
          <w:rFonts w:ascii="Arial" w:eastAsia="宋体" w:hAnsi="Arial" w:cs="Arial"/>
          <w:i/>
          <w:iCs/>
          <w:sz w:val="20"/>
          <w:szCs w:val="20"/>
        </w:rPr>
        <w:t>ECM1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FCN2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ANGPTL6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OIT3</w:t>
      </w:r>
      <w:r>
        <w:rPr>
          <w:rFonts w:ascii="Arial" w:eastAsia="宋体" w:hAnsi="Arial" w:cs="Arial"/>
          <w:sz w:val="20"/>
          <w:szCs w:val="20"/>
        </w:rPr>
        <w:t xml:space="preserve">, </w:t>
      </w:r>
      <w:r>
        <w:rPr>
          <w:rFonts w:ascii="Arial" w:eastAsia="宋体" w:hAnsi="Arial" w:cs="Arial"/>
          <w:i/>
          <w:iCs/>
          <w:sz w:val="20"/>
          <w:szCs w:val="20"/>
        </w:rPr>
        <w:t>ADAMTS13,</w:t>
      </w:r>
      <w:r>
        <w:rPr>
          <w:rFonts w:ascii="Arial" w:eastAsia="宋体" w:hAnsi="Arial" w:cs="Arial" w:hint="eastAsia"/>
          <w:sz w:val="20"/>
          <w:szCs w:val="20"/>
        </w:rPr>
        <w:t>and</w:t>
      </w:r>
      <w:r>
        <w:rPr>
          <w:rFonts w:ascii="Arial" w:eastAsia="宋体" w:hAnsi="Arial" w:cs="Arial"/>
          <w:i/>
          <w:iCs/>
          <w:sz w:val="20"/>
          <w:szCs w:val="20"/>
        </w:rPr>
        <w:t>LRRC14</w:t>
      </w:r>
      <w:r>
        <w:rPr>
          <w:rFonts w:ascii="Arial" w:eastAsia="宋体" w:hAnsi="Arial" w:cs="Arial"/>
          <w:sz w:val="20"/>
          <w:szCs w:val="20"/>
        </w:rPr>
        <w:t xml:space="preserve"> genes.</w:t>
      </w:r>
    </w:p>
    <w:p w:rsidR="006E4320" w:rsidRDefault="0082414E">
      <w:pPr>
        <w:widowControl/>
        <w:spacing w:line="48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Table S1. </w:t>
      </w:r>
      <w:bookmarkStart w:id="0" w:name="_GoBack"/>
      <w:r>
        <w:rPr>
          <w:rFonts w:ascii="Arial" w:hAnsi="Arial" w:cs="Arial"/>
          <w:b/>
          <w:bCs/>
          <w:sz w:val="20"/>
          <w:szCs w:val="20"/>
        </w:rPr>
        <w:t>Clinical characteristics of HCC cases in HLivH060PG02 cohort</w:t>
      </w:r>
      <w:bookmarkEnd w:id="0"/>
    </w:p>
    <w:p w:rsidR="006E4320" w:rsidRDefault="006E4320"/>
    <w:p w:rsidR="006E4320" w:rsidRDefault="006E4320">
      <w:pPr>
        <w:widowControl/>
        <w:spacing w:line="360" w:lineRule="auto"/>
        <w:rPr>
          <w:rFonts w:ascii="Arial" w:hAnsi="Arial" w:cs="Arial"/>
          <w:b/>
          <w:bCs/>
          <w:sz w:val="20"/>
          <w:szCs w:val="20"/>
        </w:rPr>
      </w:pPr>
      <w:bookmarkStart w:id="1" w:name="_Hlk528061430"/>
      <w:bookmarkStart w:id="2" w:name="_Hlk15927417"/>
    </w:p>
    <w:p w:rsidR="006E4320" w:rsidRDefault="006E4320">
      <w:pPr>
        <w:widowControl/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:rsidR="006E4320" w:rsidRDefault="0082414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Table S1. Clinical characteristics of HCC cases in HLivH060PG02 cohort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52"/>
        <w:gridCol w:w="1701"/>
        <w:gridCol w:w="2977"/>
      </w:tblGrid>
      <w:tr w:rsidR="006E4320">
        <w:tc>
          <w:tcPr>
            <w:tcW w:w="4253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Characteristics</w:t>
            </w:r>
          </w:p>
        </w:tc>
        <w:tc>
          <w:tcPr>
            <w:tcW w:w="2977" w:type="dxa"/>
            <w:tcBorders>
              <w:top w:val="single" w:sz="18" w:space="0" w:color="auto"/>
              <w:bottom w:val="single" w:sz="4" w:space="0" w:color="auto"/>
            </w:tcBorders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</w:p>
        </w:tc>
      </w:tr>
      <w:tr w:rsidR="006E4320">
        <w:tc>
          <w:tcPr>
            <w:tcW w:w="4253" w:type="dxa"/>
            <w:gridSpan w:val="2"/>
            <w:tcBorders>
              <w:top w:val="single" w:sz="4" w:space="0" w:color="auto"/>
            </w:tcBorders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Total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Gender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Male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Female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Age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&lt;=50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&gt;50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Pathologic stage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Stage I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Stage II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Stage III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Stage IV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Pathological T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T2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T3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T4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Pathological M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M0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M1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Pathological N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N0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AJCC stage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Vascular invasion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absent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</w:tr>
      <w:tr w:rsidR="006E4320">
        <w:tc>
          <w:tcPr>
            <w:tcW w:w="7230" w:type="dxa"/>
            <w:gridSpan w:val="3"/>
          </w:tcPr>
          <w:p w:rsidR="006E4320" w:rsidRDefault="0082414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Disease history</w:t>
            </w:r>
          </w:p>
        </w:tc>
      </w:tr>
      <w:tr w:rsidR="006E4320">
        <w:tc>
          <w:tcPr>
            <w:tcW w:w="2552" w:type="dxa"/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Hepatitis B</w:t>
            </w:r>
          </w:p>
        </w:tc>
        <w:tc>
          <w:tcPr>
            <w:tcW w:w="2977" w:type="dxa"/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6E4320">
        <w:tc>
          <w:tcPr>
            <w:tcW w:w="2552" w:type="dxa"/>
            <w:tcBorders>
              <w:bottom w:val="single" w:sz="18" w:space="0" w:color="auto"/>
            </w:tcBorders>
          </w:tcPr>
          <w:p w:rsidR="006E4320" w:rsidRDefault="006E4320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6E4320" w:rsidRDefault="008241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Cirrhosis</w:t>
            </w:r>
          </w:p>
        </w:tc>
        <w:tc>
          <w:tcPr>
            <w:tcW w:w="2977" w:type="dxa"/>
            <w:tcBorders>
              <w:bottom w:val="single" w:sz="18" w:space="0" w:color="auto"/>
            </w:tcBorders>
          </w:tcPr>
          <w:p w:rsidR="006E4320" w:rsidRDefault="0082414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</w:tr>
    </w:tbl>
    <w:p w:rsidR="006E4320" w:rsidRDefault="0082414E">
      <w:pPr>
        <w:rPr>
          <w:rFonts w:ascii="Arial" w:hAnsi="Arial" w:cs="Arial"/>
        </w:rPr>
      </w:pPr>
      <w:r>
        <w:rPr>
          <w:rStyle w:val="fontstyle01"/>
          <w:rFonts w:ascii="Arial" w:hAnsi="Arial" w:cs="Arial" w:hint="default"/>
        </w:rPr>
        <w:t>N, number; AJCC, American Joint Committee on Cancer.</w:t>
      </w:r>
    </w:p>
    <w:p w:rsidR="006E4320" w:rsidRDefault="006E4320">
      <w:pPr>
        <w:widowControl/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bookmarkEnd w:id="1"/>
    <w:bookmarkEnd w:id="2"/>
    <w:p w:rsidR="006E4320" w:rsidRDefault="00C67905">
      <w:pPr>
        <w:spacing w:line="360" w:lineRule="auto"/>
        <w:rPr>
          <w:rFonts w:ascii="Arial" w:eastAsia="宋体" w:hAnsi="Arial" w:cs="Arial"/>
        </w:rPr>
      </w:pP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4320000" cy="3662966"/>
            <wp:effectExtent l="19050" t="0" r="4350" b="0"/>
            <wp:docPr id="1" name="图片 1" descr="D:\p100\文章\HCC\文章1-cancer投稿-2020-1-1\文章1-cancer投稿-2020-1-1\Figure - 6个\Figure S1-11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100\文章\HCC\文章1-cancer投稿-2020-1-1\文章1-cancer投稿-2020-1-1\Figure - 6个\Figure S1-11\Fig 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366" t="29603" r="26138" b="30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662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5274310" cy="5849609"/>
            <wp:effectExtent l="19050" t="0" r="2540" b="0"/>
            <wp:docPr id="2" name="图片 2" descr="D:\p100\文章\HCC\文章1-cancer投稿-2020-1-1\文章1-cancer投稿-2020-1-1\Figure - 6个\Figure S1-11\Fig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100\文章\HCC\文章1-cancer投稿-2020-1-1\文章1-cancer投稿-2020-1-1\Figure - 6个\Figure S1-11\Fig S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49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5274310" cy="5274310"/>
            <wp:effectExtent l="19050" t="0" r="2540" b="0"/>
            <wp:docPr id="3" name="图片 3" descr="D:\p100\文章\HCC\文章1-cancer投稿-2020-1-1\文章1-cancer投稿-2020-1-1\Figure - 6个\Figure S1-11\Fig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100\文章\HCC\文章1-cancer投稿-2020-1-1\文章1-cancer投稿-2020-1-1\Figure - 6个\Figure S1-11\Fig 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4320000" cy="6281227"/>
            <wp:effectExtent l="19050" t="0" r="4350" b="0"/>
            <wp:docPr id="4" name="图片 4" descr="D:\p100\文章\HCC\文章1-cancer投稿-2020-1-1\文章1-cancer投稿-2020-1-1\Figure - 6个\Figure S1-11\Fig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100\文章\HCC\文章1-cancer投稿-2020-1-1\文章1-cancer投稿-2020-1-1\Figure - 6个\Figure S1-11\Fig S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0768" t="7581" r="20359" b="6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281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4320000" cy="5205994"/>
            <wp:effectExtent l="19050" t="0" r="4350" b="0"/>
            <wp:docPr id="5" name="图片 5" descr="D:\p100\文章\HCC\文章1-cancer投稿-2020-1-1\文章1-cancer投稿-2020-1-1\Figure - 6个\Figure S1-11\Fig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100\文章\HCC\文章1-cancer投稿-2020-1-1\文章1-cancer投稿-2020-1-1\Figure - 6个\Figure S1-11\Fig S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6253" t="9211" r="17063" b="10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205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4320000" cy="4825404"/>
            <wp:effectExtent l="19050" t="0" r="4350" b="0"/>
            <wp:docPr id="6" name="图片 6" descr="D:\p100\文章\HCC\文章1-cancer投稿-2020-1-1\文章1-cancer投稿-2020-1-1\Figure - 6个\Figure S1-11\Fig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100\文章\HCC\文章1-cancer投稿-2020-1-1\文章1-cancer投稿-2020-1-1\Figure - 6个\Figure S1-11\Fig S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7156" t="12816" r="18083" b="14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825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drawing>
          <wp:inline distT="0" distB="0" distL="0" distR="0">
            <wp:extent cx="4320000" cy="3026193"/>
            <wp:effectExtent l="19050" t="0" r="4350" b="0"/>
            <wp:docPr id="7" name="图片 7" descr="D:\p100\文章\HCC\文章1-cancer投稿-2020-1-1\文章1-cancer投稿-2020-1-1\Figure - 6个\Figure S1-11\Fig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100\文章\HCC\文章1-cancer投稿-2020-1-1\文章1-cancer投稿-2020-1-1\Figure - 6个\Figure S1-11\Fig S7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4267" t="12467" r="14580" b="14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026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4320000" cy="2998091"/>
            <wp:effectExtent l="19050" t="0" r="4350" b="0"/>
            <wp:docPr id="8" name="图片 8" descr="D:\p100\文章\HCC\文章1-cancer投稿-2020-1-1\文章1-cancer投稿-2020-1-1\Figure - 6个\Figure S1-11\Fig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100\文章\HCC\文章1-cancer投稿-2020-1-1\文章1-cancer投稿-2020-1-1\Figure - 6个\Figure S1-11\Fig S8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4628" t="12997" r="13316" b="13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98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drawing>
          <wp:inline distT="0" distB="0" distL="0" distR="0">
            <wp:extent cx="3982873" cy="5400000"/>
            <wp:effectExtent l="19050" t="0" r="0" b="0"/>
            <wp:docPr id="9" name="图片 9" descr="D:\p100\文章\HCC\文章1-cancer投稿-2020-1-1\文章1-cancer投稿-2020-1-1\Figure - 6个\Figure S1-11\Fig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100\文章\HCC\文章1-cancer投稿-2020-1-1\文章1-cancer投稿-2020-1-1\Figure - 6个\Figure S1-11\Fig S9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5283" t="16065" r="26499" b="185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873" cy="54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4188293" cy="5400000"/>
            <wp:effectExtent l="19050" t="0" r="2707" b="0"/>
            <wp:docPr id="10" name="图片 10" descr="D:\p100\文章\HCC\文章1-cancer投稿-2020-1-1\文章1-cancer投稿-2020-1-1\Figure - 6个\Figure S1-11\Fig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100\文章\HCC\文章1-cancer投稿-2020-1-1\文章1-cancer投稿-2020-1-1\Figure - 6个\Figure S1-11\Fig S10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1491" t="12281" r="21081" b="13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293" cy="54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</w:rPr>
        <w:lastRenderedPageBreak/>
        <w:drawing>
          <wp:inline distT="0" distB="0" distL="0" distR="0">
            <wp:extent cx="5274310" cy="5274310"/>
            <wp:effectExtent l="19050" t="0" r="2540" b="0"/>
            <wp:docPr id="11" name="图片 11" descr="D:\p100\文章\HCC\文章1-cancer投稿-2020-1-1\文章1-cancer投稿-2020-1-1\Figure - 6个\Figure S1-11\Fig S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100\文章\HCC\文章1-cancer投稿-2020-1-1\文章1-cancer投稿-2020-1-1\Figure - 6个\Figure S1-11\Fig S11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4320" w:rsidRDefault="006E4320">
      <w:pPr>
        <w:spacing w:line="360" w:lineRule="auto"/>
        <w:rPr>
          <w:rFonts w:ascii="Arial" w:eastAsia="宋体" w:hAnsi="Arial" w:cs="Arial"/>
        </w:rPr>
      </w:pPr>
    </w:p>
    <w:sectPr w:rsidR="006E4320" w:rsidSect="006E4320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4920" w:rsidRDefault="00DA4920" w:rsidP="006E4320">
      <w:r>
        <w:separator/>
      </w:r>
    </w:p>
  </w:endnote>
  <w:endnote w:type="continuationSeparator" w:id="1">
    <w:p w:rsidR="00DA4920" w:rsidRDefault="00DA4920" w:rsidP="006E4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ArialMT">
    <w:altName w:val="Arial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Arial"/>
    <w:charset w:val="00"/>
    <w:family w:val="roman"/>
    <w:pitch w:val="default"/>
    <w:sig w:usb0="00000000" w:usb1="00000000" w:usb2="00000000" w:usb3="00000000" w:csb0="00000000" w:csb1="00000000"/>
  </w:font>
  <w:font w:name="Arial-ItalicMT">
    <w:altName w:val="Arial"/>
    <w:charset w:val="00"/>
    <w:family w:val="roman"/>
    <w:pitch w:val="default"/>
    <w:sig w:usb0="00000000" w:usb1="00000000" w:usb2="00000000" w:usb3="00000000" w:csb0="00000000" w:csb1="00000000"/>
  </w:font>
  <w:font w:name="AdvOT5fcf1b24+20">
    <w:altName w:val="Cambria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320" w:rsidRDefault="005C4B4F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208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sdt>
                <w:sdtPr>
                  <w:id w:val="331648774"/>
                </w:sdtPr>
                <w:sdtContent>
                  <w:p w:rsidR="006E4320" w:rsidRDefault="005C4B4F">
                    <w:pPr>
                      <w:pStyle w:val="a5"/>
                      <w:jc w:val="center"/>
                    </w:pPr>
                    <w:r>
                      <w:fldChar w:fldCharType="begin"/>
                    </w:r>
                    <w:r w:rsidR="0082414E">
                      <w:instrText>PAGE   \* MERGEFORMAT</w:instrText>
                    </w:r>
                    <w:r>
                      <w:fldChar w:fldCharType="separate"/>
                    </w:r>
                    <w:r w:rsidR="00480E73" w:rsidRPr="00480E73">
                      <w:rPr>
                        <w:noProof/>
                        <w:lang w:val="zh-CN"/>
                      </w:rPr>
                      <w:t>4</w:t>
                    </w:r>
                    <w:r>
                      <w:fldChar w:fldCharType="end"/>
                    </w:r>
                  </w:p>
                </w:sdtContent>
              </w:sdt>
              <w:p w:rsidR="006E4320" w:rsidRDefault="006E4320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4920" w:rsidRDefault="00DA4920" w:rsidP="006E4320">
      <w:r>
        <w:separator/>
      </w:r>
    </w:p>
  </w:footnote>
  <w:footnote w:type="continuationSeparator" w:id="1">
    <w:p w:rsidR="00DA4920" w:rsidRDefault="00DA4920" w:rsidP="006E43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__Grammarly_42____i" w:val="H4sIAAAAAAAEAKtWckksSQxILCpxzi/NK1GyMqwFAAEhoTITAAAA"/>
    <w:docVar w:name="__Grammarly_42___1" w:val="H4sIAAAAAAAEAKtWcslP9kxRslIyNDYysDS2BCITS0tzY1MDQyUdpeDU4uLM/DyQAmPzWgD4yopW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ncogene-gxj-2019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ae95a90drvs3exp0rptftlvd95xrrwe2sp&quot;&gt;a_Endnote-HCC-expression-mutaion-profile&lt;record-ids&gt;&lt;item&gt;3&lt;/item&gt;&lt;item&gt;4&lt;/item&gt;&lt;item&gt;30&lt;/item&gt;&lt;item&gt;57&lt;/item&gt;&lt;item&gt;58&lt;/item&gt;&lt;item&gt;59&lt;/item&gt;&lt;item&gt;60&lt;/item&gt;&lt;item&gt;61&lt;/item&gt;&lt;item&gt;62&lt;/item&gt;&lt;item&gt;63&lt;/item&gt;&lt;item&gt;64&lt;/item&gt;&lt;item&gt;65&lt;/item&gt;&lt;item&gt;67&lt;/item&gt;&lt;item&gt;68&lt;/item&gt;&lt;/record-ids&gt;&lt;/item&gt;&lt;/Libraries&gt;"/>
  </w:docVars>
  <w:rsids>
    <w:rsidRoot w:val="00782371"/>
    <w:rsid w:val="0000325D"/>
    <w:rsid w:val="00010482"/>
    <w:rsid w:val="000124D4"/>
    <w:rsid w:val="0001425E"/>
    <w:rsid w:val="00026BEC"/>
    <w:rsid w:val="00026E3F"/>
    <w:rsid w:val="00027F41"/>
    <w:rsid w:val="00036C77"/>
    <w:rsid w:val="00042875"/>
    <w:rsid w:val="00046B1D"/>
    <w:rsid w:val="00050976"/>
    <w:rsid w:val="000534A5"/>
    <w:rsid w:val="00055621"/>
    <w:rsid w:val="0007044B"/>
    <w:rsid w:val="000710ED"/>
    <w:rsid w:val="00072214"/>
    <w:rsid w:val="00074266"/>
    <w:rsid w:val="000911AD"/>
    <w:rsid w:val="000A48C6"/>
    <w:rsid w:val="000A7678"/>
    <w:rsid w:val="000B0298"/>
    <w:rsid w:val="000B1003"/>
    <w:rsid w:val="000B2395"/>
    <w:rsid w:val="000B2D10"/>
    <w:rsid w:val="000B63D2"/>
    <w:rsid w:val="000B78AC"/>
    <w:rsid w:val="000C4CB2"/>
    <w:rsid w:val="000C6E4D"/>
    <w:rsid w:val="000D2F0E"/>
    <w:rsid w:val="000D40F6"/>
    <w:rsid w:val="000E0DB2"/>
    <w:rsid w:val="000E1D38"/>
    <w:rsid w:val="000E2837"/>
    <w:rsid w:val="000E2C04"/>
    <w:rsid w:val="000E74D6"/>
    <w:rsid w:val="000F0F76"/>
    <w:rsid w:val="000F126B"/>
    <w:rsid w:val="000F220E"/>
    <w:rsid w:val="000F3096"/>
    <w:rsid w:val="000F55A4"/>
    <w:rsid w:val="000F5F02"/>
    <w:rsid w:val="000F7B7A"/>
    <w:rsid w:val="00100215"/>
    <w:rsid w:val="00103046"/>
    <w:rsid w:val="00103834"/>
    <w:rsid w:val="00106A69"/>
    <w:rsid w:val="00120F86"/>
    <w:rsid w:val="001248A3"/>
    <w:rsid w:val="00127688"/>
    <w:rsid w:val="0014481C"/>
    <w:rsid w:val="001477FB"/>
    <w:rsid w:val="00150BD7"/>
    <w:rsid w:val="00156FC0"/>
    <w:rsid w:val="001623F7"/>
    <w:rsid w:val="00164DC8"/>
    <w:rsid w:val="00164F6D"/>
    <w:rsid w:val="00166B60"/>
    <w:rsid w:val="00174051"/>
    <w:rsid w:val="00174B53"/>
    <w:rsid w:val="0018052C"/>
    <w:rsid w:val="00180B2B"/>
    <w:rsid w:val="001A3F0B"/>
    <w:rsid w:val="001A43B6"/>
    <w:rsid w:val="001A5700"/>
    <w:rsid w:val="001A59A5"/>
    <w:rsid w:val="001C2F04"/>
    <w:rsid w:val="001C4E28"/>
    <w:rsid w:val="001D23AB"/>
    <w:rsid w:val="001E6913"/>
    <w:rsid w:val="001F1685"/>
    <w:rsid w:val="001F46B6"/>
    <w:rsid w:val="00212964"/>
    <w:rsid w:val="002156AC"/>
    <w:rsid w:val="00215768"/>
    <w:rsid w:val="002259C2"/>
    <w:rsid w:val="00226327"/>
    <w:rsid w:val="0022770E"/>
    <w:rsid w:val="00246EBF"/>
    <w:rsid w:val="00246F43"/>
    <w:rsid w:val="002559C7"/>
    <w:rsid w:val="00264AAC"/>
    <w:rsid w:val="00270677"/>
    <w:rsid w:val="0027277D"/>
    <w:rsid w:val="002832B0"/>
    <w:rsid w:val="00290A0C"/>
    <w:rsid w:val="00291AE0"/>
    <w:rsid w:val="0029207D"/>
    <w:rsid w:val="002937F3"/>
    <w:rsid w:val="00296D52"/>
    <w:rsid w:val="002A3607"/>
    <w:rsid w:val="002B4C7D"/>
    <w:rsid w:val="002C1237"/>
    <w:rsid w:val="002C2CD3"/>
    <w:rsid w:val="002C325E"/>
    <w:rsid w:val="002C361D"/>
    <w:rsid w:val="002D51E1"/>
    <w:rsid w:val="002D64B0"/>
    <w:rsid w:val="002E57FA"/>
    <w:rsid w:val="002E5DDA"/>
    <w:rsid w:val="002E6699"/>
    <w:rsid w:val="002F0978"/>
    <w:rsid w:val="002F0C6D"/>
    <w:rsid w:val="002F3054"/>
    <w:rsid w:val="002F482A"/>
    <w:rsid w:val="002F6C4E"/>
    <w:rsid w:val="0030071A"/>
    <w:rsid w:val="00315269"/>
    <w:rsid w:val="0032035A"/>
    <w:rsid w:val="003259E7"/>
    <w:rsid w:val="003276D1"/>
    <w:rsid w:val="003330F0"/>
    <w:rsid w:val="003341C5"/>
    <w:rsid w:val="00336587"/>
    <w:rsid w:val="00346954"/>
    <w:rsid w:val="00346A29"/>
    <w:rsid w:val="00360EBF"/>
    <w:rsid w:val="00371FBA"/>
    <w:rsid w:val="003800F3"/>
    <w:rsid w:val="003845E2"/>
    <w:rsid w:val="00390D00"/>
    <w:rsid w:val="003929E7"/>
    <w:rsid w:val="003934CA"/>
    <w:rsid w:val="00394BE0"/>
    <w:rsid w:val="003B04E4"/>
    <w:rsid w:val="003B3FBE"/>
    <w:rsid w:val="003B5AEA"/>
    <w:rsid w:val="003D1ABF"/>
    <w:rsid w:val="003E34B0"/>
    <w:rsid w:val="003E72AD"/>
    <w:rsid w:val="00401A18"/>
    <w:rsid w:val="00403D4E"/>
    <w:rsid w:val="00404602"/>
    <w:rsid w:val="00407B43"/>
    <w:rsid w:val="00417CB1"/>
    <w:rsid w:val="00420815"/>
    <w:rsid w:val="00424041"/>
    <w:rsid w:val="004263F7"/>
    <w:rsid w:val="00430579"/>
    <w:rsid w:val="004312EA"/>
    <w:rsid w:val="00432417"/>
    <w:rsid w:val="00436D37"/>
    <w:rsid w:val="0044271C"/>
    <w:rsid w:val="00450815"/>
    <w:rsid w:val="0045396E"/>
    <w:rsid w:val="00453AFD"/>
    <w:rsid w:val="00456DA8"/>
    <w:rsid w:val="00456DA9"/>
    <w:rsid w:val="00456DB4"/>
    <w:rsid w:val="00467181"/>
    <w:rsid w:val="00471871"/>
    <w:rsid w:val="00471F1B"/>
    <w:rsid w:val="0047344D"/>
    <w:rsid w:val="004739FE"/>
    <w:rsid w:val="00480E73"/>
    <w:rsid w:val="004819CE"/>
    <w:rsid w:val="00484BD3"/>
    <w:rsid w:val="00495562"/>
    <w:rsid w:val="004A5918"/>
    <w:rsid w:val="004A5D6D"/>
    <w:rsid w:val="004A61A0"/>
    <w:rsid w:val="004A633D"/>
    <w:rsid w:val="004B7D6F"/>
    <w:rsid w:val="004B7E09"/>
    <w:rsid w:val="004C0628"/>
    <w:rsid w:val="004C13C9"/>
    <w:rsid w:val="004C2B31"/>
    <w:rsid w:val="004C6865"/>
    <w:rsid w:val="004D14C0"/>
    <w:rsid w:val="004D3083"/>
    <w:rsid w:val="004D348C"/>
    <w:rsid w:val="004E126F"/>
    <w:rsid w:val="004E1800"/>
    <w:rsid w:val="004E48D7"/>
    <w:rsid w:val="004F7138"/>
    <w:rsid w:val="005027F0"/>
    <w:rsid w:val="00507E6E"/>
    <w:rsid w:val="005161EC"/>
    <w:rsid w:val="00521118"/>
    <w:rsid w:val="00524AF4"/>
    <w:rsid w:val="0052597B"/>
    <w:rsid w:val="00527CFE"/>
    <w:rsid w:val="00533748"/>
    <w:rsid w:val="00541970"/>
    <w:rsid w:val="00555CDC"/>
    <w:rsid w:val="00563CEC"/>
    <w:rsid w:val="00564107"/>
    <w:rsid w:val="00566C8D"/>
    <w:rsid w:val="00570EDB"/>
    <w:rsid w:val="0057641B"/>
    <w:rsid w:val="00586971"/>
    <w:rsid w:val="0059222B"/>
    <w:rsid w:val="00592B50"/>
    <w:rsid w:val="00593EBB"/>
    <w:rsid w:val="005940C1"/>
    <w:rsid w:val="00594B04"/>
    <w:rsid w:val="005A3748"/>
    <w:rsid w:val="005A65EB"/>
    <w:rsid w:val="005B3F7E"/>
    <w:rsid w:val="005B74C9"/>
    <w:rsid w:val="005C4B4F"/>
    <w:rsid w:val="005C4BE6"/>
    <w:rsid w:val="005C5C8D"/>
    <w:rsid w:val="005C7E0D"/>
    <w:rsid w:val="005D093A"/>
    <w:rsid w:val="005D0EEF"/>
    <w:rsid w:val="005D20DC"/>
    <w:rsid w:val="005D4104"/>
    <w:rsid w:val="005D4F8D"/>
    <w:rsid w:val="005D77D9"/>
    <w:rsid w:val="005E0FB6"/>
    <w:rsid w:val="005E2D72"/>
    <w:rsid w:val="005E73CF"/>
    <w:rsid w:val="005F2112"/>
    <w:rsid w:val="005F2AA2"/>
    <w:rsid w:val="005F68A7"/>
    <w:rsid w:val="005F6C20"/>
    <w:rsid w:val="00600D94"/>
    <w:rsid w:val="00601BAA"/>
    <w:rsid w:val="00606AC4"/>
    <w:rsid w:val="0061238D"/>
    <w:rsid w:val="00612E4A"/>
    <w:rsid w:val="00612FF6"/>
    <w:rsid w:val="00625CB8"/>
    <w:rsid w:val="00626CCD"/>
    <w:rsid w:val="00627B01"/>
    <w:rsid w:val="00635FE4"/>
    <w:rsid w:val="00652475"/>
    <w:rsid w:val="0065297D"/>
    <w:rsid w:val="00655621"/>
    <w:rsid w:val="006574F2"/>
    <w:rsid w:val="006652CF"/>
    <w:rsid w:val="00666BFF"/>
    <w:rsid w:val="006721A4"/>
    <w:rsid w:val="00676421"/>
    <w:rsid w:val="00676BBC"/>
    <w:rsid w:val="00685105"/>
    <w:rsid w:val="00687B6E"/>
    <w:rsid w:val="0069553E"/>
    <w:rsid w:val="006964C9"/>
    <w:rsid w:val="00697D5D"/>
    <w:rsid w:val="006A40C9"/>
    <w:rsid w:val="006B2026"/>
    <w:rsid w:val="006B3564"/>
    <w:rsid w:val="006C01EA"/>
    <w:rsid w:val="006C2304"/>
    <w:rsid w:val="006C3E5C"/>
    <w:rsid w:val="006C54BF"/>
    <w:rsid w:val="006D5413"/>
    <w:rsid w:val="006D6070"/>
    <w:rsid w:val="006E2BAC"/>
    <w:rsid w:val="006E4320"/>
    <w:rsid w:val="006E499D"/>
    <w:rsid w:val="006E5F3C"/>
    <w:rsid w:val="006F09C9"/>
    <w:rsid w:val="006F1E83"/>
    <w:rsid w:val="006F4C6B"/>
    <w:rsid w:val="006F5DD5"/>
    <w:rsid w:val="00700626"/>
    <w:rsid w:val="00703DEC"/>
    <w:rsid w:val="00713FA9"/>
    <w:rsid w:val="007151F3"/>
    <w:rsid w:val="00721923"/>
    <w:rsid w:val="00731259"/>
    <w:rsid w:val="00734CCE"/>
    <w:rsid w:val="007370DD"/>
    <w:rsid w:val="0074156D"/>
    <w:rsid w:val="00742294"/>
    <w:rsid w:val="00755F95"/>
    <w:rsid w:val="00756293"/>
    <w:rsid w:val="0076091A"/>
    <w:rsid w:val="007639FC"/>
    <w:rsid w:val="007675A9"/>
    <w:rsid w:val="00777655"/>
    <w:rsid w:val="007778E3"/>
    <w:rsid w:val="00782371"/>
    <w:rsid w:val="0078401C"/>
    <w:rsid w:val="00787C96"/>
    <w:rsid w:val="007924D8"/>
    <w:rsid w:val="0079321F"/>
    <w:rsid w:val="00794F61"/>
    <w:rsid w:val="00797CDA"/>
    <w:rsid w:val="007A1382"/>
    <w:rsid w:val="007A31A2"/>
    <w:rsid w:val="007A4D48"/>
    <w:rsid w:val="007A7D8B"/>
    <w:rsid w:val="007B075F"/>
    <w:rsid w:val="007C2A5F"/>
    <w:rsid w:val="007C2D1A"/>
    <w:rsid w:val="007C3E1A"/>
    <w:rsid w:val="007C6CAA"/>
    <w:rsid w:val="007C7E1F"/>
    <w:rsid w:val="007D046D"/>
    <w:rsid w:val="007D0E3E"/>
    <w:rsid w:val="007D15CC"/>
    <w:rsid w:val="007D7870"/>
    <w:rsid w:val="007E0DD5"/>
    <w:rsid w:val="007E3E2B"/>
    <w:rsid w:val="007E457C"/>
    <w:rsid w:val="007E47F8"/>
    <w:rsid w:val="007E5116"/>
    <w:rsid w:val="007F01BF"/>
    <w:rsid w:val="007F6133"/>
    <w:rsid w:val="008020CF"/>
    <w:rsid w:val="00802255"/>
    <w:rsid w:val="0080237F"/>
    <w:rsid w:val="008106EE"/>
    <w:rsid w:val="008114FB"/>
    <w:rsid w:val="00813E30"/>
    <w:rsid w:val="008166F3"/>
    <w:rsid w:val="00820F13"/>
    <w:rsid w:val="0082144C"/>
    <w:rsid w:val="008226CC"/>
    <w:rsid w:val="0082414E"/>
    <w:rsid w:val="0082560E"/>
    <w:rsid w:val="00831896"/>
    <w:rsid w:val="00831979"/>
    <w:rsid w:val="00835312"/>
    <w:rsid w:val="00836084"/>
    <w:rsid w:val="0083744C"/>
    <w:rsid w:val="00840793"/>
    <w:rsid w:val="00841340"/>
    <w:rsid w:val="0084554D"/>
    <w:rsid w:val="00855A29"/>
    <w:rsid w:val="00856777"/>
    <w:rsid w:val="00857652"/>
    <w:rsid w:val="00857D09"/>
    <w:rsid w:val="00861C09"/>
    <w:rsid w:val="0086257F"/>
    <w:rsid w:val="00864929"/>
    <w:rsid w:val="00865650"/>
    <w:rsid w:val="008660A8"/>
    <w:rsid w:val="00867B6C"/>
    <w:rsid w:val="00872F39"/>
    <w:rsid w:val="0087530B"/>
    <w:rsid w:val="0087574E"/>
    <w:rsid w:val="00875E47"/>
    <w:rsid w:val="008822C6"/>
    <w:rsid w:val="0089071E"/>
    <w:rsid w:val="0089086D"/>
    <w:rsid w:val="00890E4B"/>
    <w:rsid w:val="008918B4"/>
    <w:rsid w:val="00891900"/>
    <w:rsid w:val="00893444"/>
    <w:rsid w:val="00894A9A"/>
    <w:rsid w:val="00896C25"/>
    <w:rsid w:val="008A3C2D"/>
    <w:rsid w:val="008A5617"/>
    <w:rsid w:val="008A572B"/>
    <w:rsid w:val="008A725A"/>
    <w:rsid w:val="008B0A34"/>
    <w:rsid w:val="008B0A74"/>
    <w:rsid w:val="008B1292"/>
    <w:rsid w:val="008C2A74"/>
    <w:rsid w:val="008C4490"/>
    <w:rsid w:val="008C4A65"/>
    <w:rsid w:val="008D7F91"/>
    <w:rsid w:val="008E19DD"/>
    <w:rsid w:val="008E2053"/>
    <w:rsid w:val="008E37E8"/>
    <w:rsid w:val="008E4C20"/>
    <w:rsid w:val="008F2F02"/>
    <w:rsid w:val="008F5143"/>
    <w:rsid w:val="009002F0"/>
    <w:rsid w:val="0090175B"/>
    <w:rsid w:val="009133DE"/>
    <w:rsid w:val="00913A36"/>
    <w:rsid w:val="00915EE0"/>
    <w:rsid w:val="00917C4F"/>
    <w:rsid w:val="00920DD7"/>
    <w:rsid w:val="00924E6F"/>
    <w:rsid w:val="00931E7D"/>
    <w:rsid w:val="00947D41"/>
    <w:rsid w:val="009501E6"/>
    <w:rsid w:val="00950EF5"/>
    <w:rsid w:val="009537A7"/>
    <w:rsid w:val="0095771D"/>
    <w:rsid w:val="009603C8"/>
    <w:rsid w:val="00961277"/>
    <w:rsid w:val="00961721"/>
    <w:rsid w:val="00962583"/>
    <w:rsid w:val="0097041C"/>
    <w:rsid w:val="009726F9"/>
    <w:rsid w:val="00976DD8"/>
    <w:rsid w:val="009777EE"/>
    <w:rsid w:val="009800DC"/>
    <w:rsid w:val="0098435E"/>
    <w:rsid w:val="00987E2B"/>
    <w:rsid w:val="00990B89"/>
    <w:rsid w:val="009A1462"/>
    <w:rsid w:val="009A2132"/>
    <w:rsid w:val="009A4883"/>
    <w:rsid w:val="009A5516"/>
    <w:rsid w:val="009A5EC7"/>
    <w:rsid w:val="009A7AF6"/>
    <w:rsid w:val="009A7C16"/>
    <w:rsid w:val="009B323F"/>
    <w:rsid w:val="009C1518"/>
    <w:rsid w:val="009C30C5"/>
    <w:rsid w:val="009C777C"/>
    <w:rsid w:val="009D2EA2"/>
    <w:rsid w:val="009D43AA"/>
    <w:rsid w:val="009D5422"/>
    <w:rsid w:val="009D54A3"/>
    <w:rsid w:val="009D7398"/>
    <w:rsid w:val="009E341B"/>
    <w:rsid w:val="009E53FC"/>
    <w:rsid w:val="009F2EEB"/>
    <w:rsid w:val="00A04F47"/>
    <w:rsid w:val="00A06A4E"/>
    <w:rsid w:val="00A06B7E"/>
    <w:rsid w:val="00A06D8D"/>
    <w:rsid w:val="00A06E13"/>
    <w:rsid w:val="00A23920"/>
    <w:rsid w:val="00A2645F"/>
    <w:rsid w:val="00A308AD"/>
    <w:rsid w:val="00A31C33"/>
    <w:rsid w:val="00A32520"/>
    <w:rsid w:val="00A370E2"/>
    <w:rsid w:val="00A44102"/>
    <w:rsid w:val="00A4550D"/>
    <w:rsid w:val="00A475E8"/>
    <w:rsid w:val="00A51524"/>
    <w:rsid w:val="00A522AC"/>
    <w:rsid w:val="00A604CA"/>
    <w:rsid w:val="00A60526"/>
    <w:rsid w:val="00A60F44"/>
    <w:rsid w:val="00A657FB"/>
    <w:rsid w:val="00A65BC3"/>
    <w:rsid w:val="00A65E06"/>
    <w:rsid w:val="00A66F70"/>
    <w:rsid w:val="00A77AA1"/>
    <w:rsid w:val="00A92FB2"/>
    <w:rsid w:val="00A94D19"/>
    <w:rsid w:val="00A96C69"/>
    <w:rsid w:val="00A972F2"/>
    <w:rsid w:val="00AA07FF"/>
    <w:rsid w:val="00AA34A8"/>
    <w:rsid w:val="00AC0F29"/>
    <w:rsid w:val="00AD00E6"/>
    <w:rsid w:val="00AD2F0E"/>
    <w:rsid w:val="00AE14C6"/>
    <w:rsid w:val="00AE236D"/>
    <w:rsid w:val="00AE56B4"/>
    <w:rsid w:val="00AE59D7"/>
    <w:rsid w:val="00AF6B28"/>
    <w:rsid w:val="00AF74EA"/>
    <w:rsid w:val="00B011E0"/>
    <w:rsid w:val="00B0301A"/>
    <w:rsid w:val="00B050B5"/>
    <w:rsid w:val="00B072B9"/>
    <w:rsid w:val="00B102D3"/>
    <w:rsid w:val="00B10A70"/>
    <w:rsid w:val="00B11DBE"/>
    <w:rsid w:val="00B13066"/>
    <w:rsid w:val="00B27387"/>
    <w:rsid w:val="00B344B2"/>
    <w:rsid w:val="00B35380"/>
    <w:rsid w:val="00B35EC1"/>
    <w:rsid w:val="00B44F6C"/>
    <w:rsid w:val="00B50273"/>
    <w:rsid w:val="00B5073D"/>
    <w:rsid w:val="00B521C6"/>
    <w:rsid w:val="00B5328C"/>
    <w:rsid w:val="00B55338"/>
    <w:rsid w:val="00B57FC3"/>
    <w:rsid w:val="00B6058A"/>
    <w:rsid w:val="00B65317"/>
    <w:rsid w:val="00B76A40"/>
    <w:rsid w:val="00B804C9"/>
    <w:rsid w:val="00B808B5"/>
    <w:rsid w:val="00B80A95"/>
    <w:rsid w:val="00B85CC9"/>
    <w:rsid w:val="00B86E53"/>
    <w:rsid w:val="00B92A92"/>
    <w:rsid w:val="00B9757D"/>
    <w:rsid w:val="00BB069A"/>
    <w:rsid w:val="00BC0CBA"/>
    <w:rsid w:val="00BC23EC"/>
    <w:rsid w:val="00BD19AE"/>
    <w:rsid w:val="00BD4D58"/>
    <w:rsid w:val="00BE183F"/>
    <w:rsid w:val="00BE6AFB"/>
    <w:rsid w:val="00BE70C4"/>
    <w:rsid w:val="00C00A52"/>
    <w:rsid w:val="00C12A06"/>
    <w:rsid w:val="00C16310"/>
    <w:rsid w:val="00C17E34"/>
    <w:rsid w:val="00C20490"/>
    <w:rsid w:val="00C21146"/>
    <w:rsid w:val="00C271CF"/>
    <w:rsid w:val="00C335B7"/>
    <w:rsid w:val="00C40689"/>
    <w:rsid w:val="00C41495"/>
    <w:rsid w:val="00C414D2"/>
    <w:rsid w:val="00C43E3D"/>
    <w:rsid w:val="00C46CD3"/>
    <w:rsid w:val="00C502D3"/>
    <w:rsid w:val="00C50994"/>
    <w:rsid w:val="00C53CFE"/>
    <w:rsid w:val="00C54541"/>
    <w:rsid w:val="00C56E81"/>
    <w:rsid w:val="00C67905"/>
    <w:rsid w:val="00C71BEB"/>
    <w:rsid w:val="00C740BD"/>
    <w:rsid w:val="00C75670"/>
    <w:rsid w:val="00C8043C"/>
    <w:rsid w:val="00C81377"/>
    <w:rsid w:val="00C83A67"/>
    <w:rsid w:val="00C84C9A"/>
    <w:rsid w:val="00C8725D"/>
    <w:rsid w:val="00C87314"/>
    <w:rsid w:val="00C92C46"/>
    <w:rsid w:val="00C941F9"/>
    <w:rsid w:val="00C978C0"/>
    <w:rsid w:val="00CA02EF"/>
    <w:rsid w:val="00CA357C"/>
    <w:rsid w:val="00CA7AE6"/>
    <w:rsid w:val="00CB1871"/>
    <w:rsid w:val="00CB20FB"/>
    <w:rsid w:val="00CB400A"/>
    <w:rsid w:val="00CB47DA"/>
    <w:rsid w:val="00CB490A"/>
    <w:rsid w:val="00CC01DF"/>
    <w:rsid w:val="00CC58A7"/>
    <w:rsid w:val="00CD0AC8"/>
    <w:rsid w:val="00CD6FDA"/>
    <w:rsid w:val="00CE40CD"/>
    <w:rsid w:val="00CF4F66"/>
    <w:rsid w:val="00D12A25"/>
    <w:rsid w:val="00D143E6"/>
    <w:rsid w:val="00D252C6"/>
    <w:rsid w:val="00D315C4"/>
    <w:rsid w:val="00D33508"/>
    <w:rsid w:val="00D36FB3"/>
    <w:rsid w:val="00D37DEE"/>
    <w:rsid w:val="00D43429"/>
    <w:rsid w:val="00D43DA9"/>
    <w:rsid w:val="00D47C52"/>
    <w:rsid w:val="00D55340"/>
    <w:rsid w:val="00D61017"/>
    <w:rsid w:val="00D61FCF"/>
    <w:rsid w:val="00D66CDA"/>
    <w:rsid w:val="00D673CB"/>
    <w:rsid w:val="00D67586"/>
    <w:rsid w:val="00D85236"/>
    <w:rsid w:val="00D87D3B"/>
    <w:rsid w:val="00D9512B"/>
    <w:rsid w:val="00D95E9E"/>
    <w:rsid w:val="00D977CA"/>
    <w:rsid w:val="00DA24B1"/>
    <w:rsid w:val="00DA2CCF"/>
    <w:rsid w:val="00DA447B"/>
    <w:rsid w:val="00DA4920"/>
    <w:rsid w:val="00DA50C9"/>
    <w:rsid w:val="00DD120B"/>
    <w:rsid w:val="00DE769C"/>
    <w:rsid w:val="00E01C63"/>
    <w:rsid w:val="00E12C01"/>
    <w:rsid w:val="00E12D16"/>
    <w:rsid w:val="00E24437"/>
    <w:rsid w:val="00E37121"/>
    <w:rsid w:val="00E47F3F"/>
    <w:rsid w:val="00E521D4"/>
    <w:rsid w:val="00E549F9"/>
    <w:rsid w:val="00E60706"/>
    <w:rsid w:val="00E61F02"/>
    <w:rsid w:val="00E625CE"/>
    <w:rsid w:val="00E64412"/>
    <w:rsid w:val="00E90D06"/>
    <w:rsid w:val="00E94FCF"/>
    <w:rsid w:val="00E9738D"/>
    <w:rsid w:val="00EA0C8E"/>
    <w:rsid w:val="00EA1215"/>
    <w:rsid w:val="00EA2406"/>
    <w:rsid w:val="00EA4921"/>
    <w:rsid w:val="00EA7953"/>
    <w:rsid w:val="00EB02E9"/>
    <w:rsid w:val="00EB12D1"/>
    <w:rsid w:val="00EB223D"/>
    <w:rsid w:val="00EB7267"/>
    <w:rsid w:val="00EB7B33"/>
    <w:rsid w:val="00ED0090"/>
    <w:rsid w:val="00ED1C33"/>
    <w:rsid w:val="00ED506E"/>
    <w:rsid w:val="00EE5836"/>
    <w:rsid w:val="00EE7FAB"/>
    <w:rsid w:val="00EF3897"/>
    <w:rsid w:val="00EF3933"/>
    <w:rsid w:val="00EF6341"/>
    <w:rsid w:val="00F0282B"/>
    <w:rsid w:val="00F079A1"/>
    <w:rsid w:val="00F11649"/>
    <w:rsid w:val="00F13001"/>
    <w:rsid w:val="00F15511"/>
    <w:rsid w:val="00F23EBD"/>
    <w:rsid w:val="00F2420A"/>
    <w:rsid w:val="00F2791E"/>
    <w:rsid w:val="00F303D5"/>
    <w:rsid w:val="00F33DDC"/>
    <w:rsid w:val="00F371B3"/>
    <w:rsid w:val="00F371B9"/>
    <w:rsid w:val="00F41926"/>
    <w:rsid w:val="00F459D9"/>
    <w:rsid w:val="00F469B1"/>
    <w:rsid w:val="00F46F7C"/>
    <w:rsid w:val="00F4781F"/>
    <w:rsid w:val="00F47F09"/>
    <w:rsid w:val="00F5224B"/>
    <w:rsid w:val="00F53571"/>
    <w:rsid w:val="00F53694"/>
    <w:rsid w:val="00F55710"/>
    <w:rsid w:val="00F57ACB"/>
    <w:rsid w:val="00F6445D"/>
    <w:rsid w:val="00F6497C"/>
    <w:rsid w:val="00F6612F"/>
    <w:rsid w:val="00F72A15"/>
    <w:rsid w:val="00F73F0B"/>
    <w:rsid w:val="00F7611F"/>
    <w:rsid w:val="00F7614D"/>
    <w:rsid w:val="00F804FD"/>
    <w:rsid w:val="00F844B8"/>
    <w:rsid w:val="00F877FF"/>
    <w:rsid w:val="00F90E8F"/>
    <w:rsid w:val="00F91644"/>
    <w:rsid w:val="00F92E53"/>
    <w:rsid w:val="00F93DEF"/>
    <w:rsid w:val="00FA13B5"/>
    <w:rsid w:val="00FA1592"/>
    <w:rsid w:val="00FA3BE6"/>
    <w:rsid w:val="00FA58D4"/>
    <w:rsid w:val="00FB260C"/>
    <w:rsid w:val="00FB5C9C"/>
    <w:rsid w:val="00FC465C"/>
    <w:rsid w:val="00FD23F4"/>
    <w:rsid w:val="00FD63A7"/>
    <w:rsid w:val="00FE0E1E"/>
    <w:rsid w:val="00FE3BD2"/>
    <w:rsid w:val="00FF015C"/>
    <w:rsid w:val="00FF73F2"/>
    <w:rsid w:val="020243D9"/>
    <w:rsid w:val="080047FC"/>
    <w:rsid w:val="18070A28"/>
    <w:rsid w:val="1DBF14D3"/>
    <w:rsid w:val="24E9301D"/>
    <w:rsid w:val="2C943AA7"/>
    <w:rsid w:val="2F860412"/>
    <w:rsid w:val="3351386E"/>
    <w:rsid w:val="3AE2309F"/>
    <w:rsid w:val="47391CAD"/>
    <w:rsid w:val="50EF3E21"/>
    <w:rsid w:val="591D1682"/>
    <w:rsid w:val="70E340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lin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3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E43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E43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E43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6E4320"/>
    <w:pPr>
      <w:autoSpaceDE w:val="0"/>
      <w:autoSpaceDN w:val="0"/>
      <w:adjustRightInd w:val="0"/>
      <w:ind w:left="39" w:right="104"/>
      <w:jc w:val="center"/>
    </w:pPr>
    <w:rPr>
      <w:rFonts w:ascii="Times New Roman" w:hAnsi="Times New Roman" w:cs="Times New Roman"/>
      <w:kern w:val="0"/>
      <w:sz w:val="19"/>
      <w:szCs w:val="19"/>
    </w:rPr>
  </w:style>
  <w:style w:type="paragraph" w:styleId="a4">
    <w:name w:val="Balloon Text"/>
    <w:basedOn w:val="a"/>
    <w:link w:val="Char0"/>
    <w:uiPriority w:val="99"/>
    <w:semiHidden/>
    <w:unhideWhenUsed/>
    <w:qFormat/>
    <w:rsid w:val="006E432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E4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E4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3"/>
    <w:uiPriority w:val="11"/>
    <w:qFormat/>
    <w:rsid w:val="006E4320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Normal (Web)"/>
    <w:basedOn w:val="a"/>
    <w:uiPriority w:val="99"/>
    <w:semiHidden/>
    <w:unhideWhenUsed/>
    <w:qFormat/>
    <w:rsid w:val="006E43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rsid w:val="006E43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6E4320"/>
    <w:rPr>
      <w:b/>
      <w:bCs/>
    </w:rPr>
  </w:style>
  <w:style w:type="character" w:styleId="ab">
    <w:name w:val="Emphasis"/>
    <w:basedOn w:val="a0"/>
    <w:uiPriority w:val="20"/>
    <w:qFormat/>
    <w:rsid w:val="006E4320"/>
    <w:rPr>
      <w:i/>
      <w:iCs/>
    </w:rPr>
  </w:style>
  <w:style w:type="character" w:styleId="ac">
    <w:name w:val="Hyperlink"/>
    <w:basedOn w:val="a0"/>
    <w:uiPriority w:val="99"/>
    <w:unhideWhenUsed/>
    <w:qFormat/>
    <w:rsid w:val="006E4320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6E4320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6E4320"/>
    <w:rPr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6E4320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11">
    <w:name w:val="fontstyle11"/>
    <w:basedOn w:val="a0"/>
    <w:qFormat/>
    <w:rsid w:val="006E4320"/>
    <w:rPr>
      <w:rFonts w:ascii="ArialMT" w:hAnsi="ArialMT" w:hint="default"/>
      <w:color w:val="000000"/>
      <w:sz w:val="22"/>
      <w:szCs w:val="22"/>
    </w:rPr>
  </w:style>
  <w:style w:type="character" w:customStyle="1" w:styleId="fontstyle31">
    <w:name w:val="fontstyle31"/>
    <w:basedOn w:val="a0"/>
    <w:qFormat/>
    <w:rsid w:val="006E4320"/>
    <w:rPr>
      <w:rFonts w:ascii="Arial-BoldMT" w:hAnsi="Arial-BoldMT" w:hint="default"/>
      <w:b/>
      <w:bCs/>
      <w:color w:val="FF0000"/>
      <w:sz w:val="22"/>
      <w:szCs w:val="22"/>
    </w:rPr>
  </w:style>
  <w:style w:type="character" w:customStyle="1" w:styleId="fontstyle41">
    <w:name w:val="fontstyle41"/>
    <w:basedOn w:val="a0"/>
    <w:qFormat/>
    <w:rsid w:val="006E4320"/>
    <w:rPr>
      <w:rFonts w:ascii="Arial-ItalicMT" w:hAnsi="Arial-ItalicMT" w:hint="default"/>
      <w:i/>
      <w:iCs/>
      <w:color w:val="000000"/>
      <w:sz w:val="22"/>
      <w:szCs w:val="22"/>
    </w:rPr>
  </w:style>
  <w:style w:type="paragraph" w:styleId="ad">
    <w:name w:val="List Paragraph"/>
    <w:basedOn w:val="a"/>
    <w:uiPriority w:val="34"/>
    <w:qFormat/>
    <w:rsid w:val="006E4320"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sid w:val="006E4320"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uiPriority w:val="9"/>
    <w:qFormat/>
    <w:rsid w:val="006E432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6E4320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E432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rsid w:val="006E432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6E4320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6E432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6E4320"/>
    <w:rPr>
      <w:rFonts w:ascii="等线" w:eastAsia="等线" w:hAnsi="等线"/>
      <w:sz w:val="20"/>
    </w:rPr>
  </w:style>
  <w:style w:type="character" w:customStyle="1" w:styleId="Char">
    <w:name w:val="正文文本 Char"/>
    <w:basedOn w:val="a0"/>
    <w:link w:val="a3"/>
    <w:uiPriority w:val="1"/>
    <w:qFormat/>
    <w:rsid w:val="006E4320"/>
    <w:rPr>
      <w:rFonts w:ascii="Times New Roman" w:hAnsi="Times New Roman" w:cs="Times New Roman"/>
      <w:kern w:val="0"/>
      <w:sz w:val="19"/>
      <w:szCs w:val="19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E4320"/>
    <w:rPr>
      <w:sz w:val="18"/>
      <w:szCs w:val="18"/>
    </w:rPr>
  </w:style>
  <w:style w:type="character" w:customStyle="1" w:styleId="Char3">
    <w:name w:val="副标题 Char"/>
    <w:basedOn w:val="a0"/>
    <w:link w:val="a7"/>
    <w:uiPriority w:val="11"/>
    <w:qFormat/>
    <w:rsid w:val="006E432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fontstyle21">
    <w:name w:val="fontstyle21"/>
    <w:basedOn w:val="a0"/>
    <w:qFormat/>
    <w:rsid w:val="006E4320"/>
    <w:rPr>
      <w:rFonts w:ascii="AdvOT5fcf1b24+20" w:hAnsi="AdvOT5fcf1b24+20" w:hint="default"/>
      <w:color w:val="000000"/>
      <w:sz w:val="16"/>
      <w:szCs w:val="16"/>
    </w:rPr>
  </w:style>
  <w:style w:type="paragraph" w:styleId="ae">
    <w:name w:val="Document Map"/>
    <w:basedOn w:val="a"/>
    <w:link w:val="Char4"/>
    <w:uiPriority w:val="99"/>
    <w:semiHidden/>
    <w:unhideWhenUsed/>
    <w:rsid w:val="00C67905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e"/>
    <w:uiPriority w:val="99"/>
    <w:semiHidden/>
    <w:rsid w:val="00C67905"/>
    <w:rPr>
      <w:rFonts w:ascii="宋体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customXml" Target="../customXml/item2.xml"/><Relationship Id="rId16" Type="http://schemas.openxmlformats.org/officeDocument/2006/relationships/image" Target="media/image9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60F73-6E06-4518-AA7A-54C97FB57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797</Words>
  <Characters>4545</Characters>
  <Application>Microsoft Office Word</Application>
  <DocSecurity>0</DocSecurity>
  <Lines>37</Lines>
  <Paragraphs>10</Paragraphs>
  <ScaleCrop>false</ScaleCrop>
  <Company>Hewlett-Packard Company</Company>
  <LinksUpToDate>false</LinksUpToDate>
  <CharactersWithSpaces>5332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office2016mac28861</dc:creator>
  <cp:lastModifiedBy>acer</cp:lastModifiedBy>
  <cp:revision>2</cp:revision>
  <dcterms:created xsi:type="dcterms:W3CDTF">2020-08-27T02:02:00Z</dcterms:created>
  <dcterms:modified xsi:type="dcterms:W3CDTF">2020-08-27T02:02:00Z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