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8CAC" w14:textId="05B393DB" w:rsidR="007417D8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Supplementary Information</w:t>
      </w:r>
    </w:p>
    <w:p w14:paraId="699E9B6F" w14:textId="3B9EC7FB" w:rsidR="007417D8" w:rsidRPr="006C5872" w:rsidRDefault="00CA6696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bCs/>
          <w:color w:val="000000" w:themeColor="text1"/>
          <w:sz w:val="22"/>
          <w:szCs w:val="22"/>
          <w:lang w:val="en-US"/>
        </w:rPr>
        <w:t xml:space="preserve">Article Title: </w:t>
      </w:r>
      <w:r w:rsidR="005005F3" w:rsidRPr="006C5872">
        <w:rPr>
          <w:bCs/>
          <w:color w:val="000000" w:themeColor="text1"/>
          <w:sz w:val="22"/>
          <w:szCs w:val="22"/>
          <w:lang w:val="en-US"/>
        </w:rPr>
        <w:t>Structural MRI Biomarkers of Intracranial Pressure in IIH: Linking Optic Nerve Sheath, Pituitary Morphology, and Hormonal Changes</w:t>
      </w:r>
      <w:r w:rsidRPr="006C5872">
        <w:rPr>
          <w:sz w:val="22"/>
          <w:szCs w:val="22"/>
          <w:lang w:val="en-US"/>
        </w:rPr>
        <w:t xml:space="preserve"> </w:t>
      </w:r>
    </w:p>
    <w:p w14:paraId="556AC2B2" w14:textId="6B01B4C5" w:rsidR="00F71021" w:rsidRPr="006C5872" w:rsidRDefault="00F71021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sz w:val="22"/>
          <w:szCs w:val="22"/>
          <w:lang w:val="en-US"/>
        </w:rPr>
        <w:t>Journal: Clinical Neuroradiology</w:t>
      </w:r>
    </w:p>
    <w:p w14:paraId="6D9AAC03" w14:textId="13E55BCD" w:rsidR="001315E0" w:rsidRPr="006C5872" w:rsidRDefault="001315E0" w:rsidP="001315E0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</w:rPr>
      </w:pPr>
      <w:r w:rsidRPr="006C5872">
        <w:rPr>
          <w:sz w:val="22"/>
          <w:szCs w:val="22"/>
          <w:lang w:val="en-US"/>
        </w:rPr>
        <w:t xml:space="preserve">Authors: </w:t>
      </w:r>
      <w:r w:rsidR="00D32D3A" w:rsidRPr="00E142F8">
        <w:rPr>
          <w:color w:val="000000" w:themeColor="text1"/>
          <w:sz w:val="22"/>
          <w:szCs w:val="22"/>
        </w:rPr>
        <w:t xml:space="preserve">Zeynep Bendella, Barbara Daria </w:t>
      </w:r>
      <w:proofErr w:type="spellStart"/>
      <w:r w:rsidR="00D32D3A" w:rsidRPr="00E142F8">
        <w:rPr>
          <w:color w:val="000000" w:themeColor="text1"/>
          <w:sz w:val="22"/>
          <w:szCs w:val="22"/>
        </w:rPr>
        <w:t>Wichtmann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Ralf </w:t>
      </w:r>
      <w:proofErr w:type="spellStart"/>
      <w:r w:rsidR="00D32D3A" w:rsidRPr="00E142F8">
        <w:rPr>
          <w:color w:val="000000" w:themeColor="text1"/>
          <w:sz w:val="22"/>
          <w:szCs w:val="22"/>
        </w:rPr>
        <w:t>Clauberg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Wiebke </w:t>
      </w:r>
      <w:proofErr w:type="spellStart"/>
      <w:r w:rsidR="00D32D3A" w:rsidRPr="00E142F8">
        <w:rPr>
          <w:color w:val="000000" w:themeColor="text1"/>
          <w:sz w:val="22"/>
          <w:szCs w:val="22"/>
        </w:rPr>
        <w:t>Fenske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Charlotte Fries, Monika </w:t>
      </w:r>
      <w:proofErr w:type="spellStart"/>
      <w:r w:rsidR="00D32D3A" w:rsidRPr="00E142F8">
        <w:rPr>
          <w:color w:val="000000" w:themeColor="text1"/>
          <w:sz w:val="22"/>
          <w:szCs w:val="22"/>
        </w:rPr>
        <w:t>Jeub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Martina </w:t>
      </w:r>
      <w:proofErr w:type="spellStart"/>
      <w:r w:rsidR="00D32D3A" w:rsidRPr="00E142F8">
        <w:rPr>
          <w:color w:val="000000" w:themeColor="text1"/>
          <w:sz w:val="22"/>
          <w:szCs w:val="22"/>
        </w:rPr>
        <w:t>Minnerop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Arndt-Hendrik </w:t>
      </w:r>
      <w:proofErr w:type="spellStart"/>
      <w:r w:rsidR="00D32D3A" w:rsidRPr="00E142F8">
        <w:rPr>
          <w:color w:val="000000" w:themeColor="text1"/>
          <w:sz w:val="22"/>
          <w:szCs w:val="22"/>
        </w:rPr>
        <w:t>Schievelkamp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Franziskus M. </w:t>
      </w:r>
      <w:proofErr w:type="spellStart"/>
      <w:r w:rsidR="00D32D3A" w:rsidRPr="00E142F8">
        <w:rPr>
          <w:color w:val="000000" w:themeColor="text1"/>
          <w:sz w:val="22"/>
          <w:szCs w:val="22"/>
        </w:rPr>
        <w:t>Schützeichel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Bettina </w:t>
      </w:r>
      <w:proofErr w:type="spellStart"/>
      <w:r w:rsidR="00D32D3A" w:rsidRPr="00E142F8">
        <w:rPr>
          <w:color w:val="000000" w:themeColor="text1"/>
          <w:sz w:val="22"/>
          <w:szCs w:val="22"/>
        </w:rPr>
        <w:t>Wabbels</w:t>
      </w:r>
      <w:proofErr w:type="spellEnd"/>
      <w:r w:rsidR="00D32D3A" w:rsidRPr="00E142F8">
        <w:rPr>
          <w:color w:val="000000" w:themeColor="text1"/>
          <w:sz w:val="22"/>
          <w:szCs w:val="22"/>
        </w:rPr>
        <w:t xml:space="preserve">, Christina Schaub, Max </w:t>
      </w:r>
      <w:proofErr w:type="spellStart"/>
      <w:r w:rsidR="00D32D3A" w:rsidRPr="00E142F8">
        <w:rPr>
          <w:color w:val="000000" w:themeColor="text1"/>
          <w:sz w:val="22"/>
          <w:szCs w:val="22"/>
        </w:rPr>
        <w:t>Witry</w:t>
      </w:r>
      <w:proofErr w:type="spellEnd"/>
      <w:r w:rsidR="00D32D3A">
        <w:rPr>
          <w:color w:val="000000" w:themeColor="text1"/>
          <w:sz w:val="22"/>
          <w:szCs w:val="22"/>
        </w:rPr>
        <w:t xml:space="preserve">, </w:t>
      </w:r>
      <w:r w:rsidR="00D32D3A" w:rsidRPr="00E142F8">
        <w:rPr>
          <w:color w:val="000000" w:themeColor="text1"/>
          <w:sz w:val="22"/>
          <w:szCs w:val="22"/>
        </w:rPr>
        <w:t xml:space="preserve">Berkan </w:t>
      </w:r>
      <w:proofErr w:type="spellStart"/>
      <w:r w:rsidR="00D32D3A" w:rsidRPr="00E142F8">
        <w:rPr>
          <w:color w:val="000000" w:themeColor="text1"/>
          <w:sz w:val="22"/>
          <w:szCs w:val="22"/>
        </w:rPr>
        <w:t>Koyak</w:t>
      </w:r>
      <w:proofErr w:type="spellEnd"/>
      <w:r w:rsidR="00D32D3A" w:rsidRPr="00E142F8">
        <w:rPr>
          <w:color w:val="000000" w:themeColor="text1"/>
          <w:sz w:val="22"/>
          <w:szCs w:val="22"/>
        </w:rPr>
        <w:t>, Alexander Radbruch, Jennifer Linder, Ullrich Wüllner, Christine Kindler</w:t>
      </w:r>
      <w:bookmarkStart w:id="0" w:name="_GoBack"/>
      <w:bookmarkEnd w:id="0"/>
    </w:p>
    <w:p w14:paraId="04BDD3C9" w14:textId="7245F8D7" w:rsidR="007417D8" w:rsidRPr="006C5872" w:rsidRDefault="007417D8" w:rsidP="007417D8">
      <w:pPr>
        <w:spacing w:line="480" w:lineRule="auto"/>
        <w:rPr>
          <w:color w:val="000000" w:themeColor="text1"/>
          <w:sz w:val="22"/>
          <w:szCs w:val="22"/>
          <w:lang w:val="en-US"/>
        </w:rPr>
      </w:pPr>
      <w:r w:rsidRPr="006C5872">
        <w:rPr>
          <w:color w:val="000000" w:themeColor="text1"/>
          <w:sz w:val="22"/>
          <w:szCs w:val="22"/>
          <w:lang w:val="en-US"/>
        </w:rPr>
        <w:t xml:space="preserve">Corresponding Author: </w:t>
      </w:r>
      <w:r w:rsidR="00802A8E" w:rsidRPr="006C5872">
        <w:rPr>
          <w:color w:val="000000" w:themeColor="text1"/>
          <w:sz w:val="22"/>
          <w:szCs w:val="22"/>
          <w:lang w:val="en-US"/>
        </w:rPr>
        <w:t>Zeynep Bendella</w:t>
      </w:r>
      <w:r w:rsidRPr="006C5872">
        <w:rPr>
          <w:color w:val="000000" w:themeColor="text1"/>
          <w:sz w:val="22"/>
          <w:szCs w:val="22"/>
          <w:lang w:val="en-US"/>
        </w:rPr>
        <w:t>, MD</w:t>
      </w:r>
    </w:p>
    <w:p w14:paraId="01726D10" w14:textId="19483F2C" w:rsidR="007417D8" w:rsidRPr="006C5872" w:rsidRDefault="007417D8" w:rsidP="007417D8">
      <w:pPr>
        <w:spacing w:line="480" w:lineRule="auto"/>
        <w:rPr>
          <w:color w:val="000000" w:themeColor="text1"/>
          <w:sz w:val="22"/>
          <w:szCs w:val="22"/>
          <w:lang w:val="en-US"/>
        </w:rPr>
      </w:pPr>
      <w:r w:rsidRPr="006C5872">
        <w:rPr>
          <w:color w:val="000000" w:themeColor="text1"/>
          <w:sz w:val="22"/>
          <w:szCs w:val="22"/>
          <w:lang w:val="en-US"/>
        </w:rPr>
        <w:t>Affiliation: Department of Neuro</w:t>
      </w:r>
      <w:r w:rsidR="00802A8E" w:rsidRPr="006C5872">
        <w:rPr>
          <w:color w:val="000000" w:themeColor="text1"/>
          <w:sz w:val="22"/>
          <w:szCs w:val="22"/>
          <w:lang w:val="en-US"/>
        </w:rPr>
        <w:t>radiolog</w:t>
      </w:r>
      <w:r w:rsidRPr="006C5872">
        <w:rPr>
          <w:color w:val="000000" w:themeColor="text1"/>
          <w:sz w:val="22"/>
          <w:szCs w:val="22"/>
          <w:lang w:val="en-US"/>
        </w:rPr>
        <w:t>y, University Hospital of Bonn, Bonn, Germany</w:t>
      </w:r>
    </w:p>
    <w:p w14:paraId="1DCEA447" w14:textId="5BAE1097" w:rsidR="007417D8" w:rsidRPr="006C5872" w:rsidRDefault="007417D8" w:rsidP="007417D8">
      <w:pPr>
        <w:pStyle w:val="StandardWeb"/>
        <w:tabs>
          <w:tab w:val="left" w:pos="993"/>
        </w:tabs>
        <w:spacing w:before="0" w:beforeAutospacing="0" w:after="0" w:afterAutospacing="0" w:line="480" w:lineRule="auto"/>
        <w:jc w:val="both"/>
        <w:rPr>
          <w:sz w:val="22"/>
          <w:szCs w:val="22"/>
          <w:lang w:val="en-US"/>
        </w:rPr>
      </w:pPr>
      <w:r w:rsidRPr="006C5872">
        <w:rPr>
          <w:sz w:val="22"/>
          <w:szCs w:val="22"/>
        </w:rPr>
        <w:t xml:space="preserve">E-Mail : </w:t>
      </w:r>
      <w:hyperlink r:id="rId4" w:history="1">
        <w:r w:rsidR="00802A8E" w:rsidRPr="006C5872">
          <w:rPr>
            <w:rStyle w:val="Hyperlink"/>
            <w:color w:val="auto"/>
            <w:sz w:val="22"/>
            <w:szCs w:val="22"/>
            <w:u w:val="none"/>
            <w:lang w:val="en-US"/>
          </w:rPr>
          <w:t>zeynep.bendella@ukbonn.de</w:t>
        </w:r>
      </w:hyperlink>
    </w:p>
    <w:p w14:paraId="7C71E84A" w14:textId="77777777" w:rsidR="007417D8" w:rsidRDefault="007417D8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7457D9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68379804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BC2AEE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A49751A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14DFEFB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77DD9B4D" w14:textId="77777777" w:rsidR="0050572F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E0D45BB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542B7AB5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7FD0DE6D" w14:textId="448332DD" w:rsidR="00F53D22" w:rsidRPr="00D14144" w:rsidRDefault="00F53D22" w:rsidP="00D834A9">
      <w:pPr>
        <w:spacing w:line="480" w:lineRule="auto"/>
        <w:jc w:val="both"/>
        <w:rPr>
          <w:sz w:val="22"/>
          <w:szCs w:val="22"/>
          <w:lang w:val="en-US"/>
        </w:rPr>
      </w:pPr>
      <w:bookmarkStart w:id="1" w:name="OLE_LINK44"/>
      <w:r w:rsidRPr="007417D8">
        <w:rPr>
          <w:b/>
          <w:iCs/>
          <w:sz w:val="22"/>
          <w:szCs w:val="22"/>
          <w:lang w:val="en-US"/>
        </w:rPr>
        <w:t xml:space="preserve">Table </w:t>
      </w:r>
      <w:r w:rsidR="00523C0E">
        <w:rPr>
          <w:b/>
          <w:iCs/>
          <w:sz w:val="22"/>
          <w:szCs w:val="22"/>
          <w:lang w:val="en-US"/>
        </w:rPr>
        <w:t>S</w:t>
      </w:r>
      <w:r w:rsidRPr="007417D8">
        <w:rPr>
          <w:b/>
          <w:iCs/>
          <w:sz w:val="22"/>
          <w:szCs w:val="22"/>
          <w:lang w:val="en-US"/>
        </w:rPr>
        <w:t>4</w:t>
      </w:r>
      <w:r w:rsidRPr="007417D8">
        <w:rPr>
          <w:iCs/>
          <w:sz w:val="22"/>
          <w:szCs w:val="22"/>
          <w:lang w:val="en-US"/>
        </w:rPr>
        <w:t xml:space="preserve"> </w:t>
      </w:r>
      <w:r w:rsidRPr="007417D8">
        <w:rPr>
          <w:iCs/>
          <w:color w:val="000000"/>
          <w:sz w:val="22"/>
          <w:szCs w:val="22"/>
          <w:lang w:val="en-US"/>
        </w:rPr>
        <w:t>Statistics</w:t>
      </w:r>
      <w:r w:rsidRPr="00D14144">
        <w:rPr>
          <w:color w:val="000000"/>
          <w:sz w:val="22"/>
          <w:szCs w:val="22"/>
          <w:lang w:val="en-US"/>
        </w:rPr>
        <w:t xml:space="preserve"> and group comparison of serum levels of laboratory parameters between normal and </w:t>
      </w:r>
      <w:r w:rsidR="00867799" w:rsidRPr="00D14144">
        <w:rPr>
          <w:color w:val="000000"/>
          <w:sz w:val="22"/>
          <w:szCs w:val="22"/>
          <w:lang w:val="en-US"/>
        </w:rPr>
        <w:t>increased</w:t>
      </w:r>
      <w:r w:rsidRPr="00D14144">
        <w:rPr>
          <w:color w:val="000000"/>
          <w:sz w:val="22"/>
          <w:szCs w:val="22"/>
          <w:lang w:val="en-US"/>
        </w:rPr>
        <w:t xml:space="preserve"> ICP</w:t>
      </w:r>
    </w:p>
    <w:tbl>
      <w:tblPr>
        <w:tblW w:w="14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2090"/>
        <w:gridCol w:w="2269"/>
        <w:gridCol w:w="1282"/>
        <w:gridCol w:w="1614"/>
        <w:gridCol w:w="1740"/>
        <w:gridCol w:w="1715"/>
      </w:tblGrid>
      <w:tr w:rsidR="00D834A9" w:rsidRPr="00F70A70" w14:paraId="563CF2EB" w14:textId="0B004AF1" w:rsidTr="00196BD8">
        <w:trPr>
          <w:trHeight w:val="405"/>
        </w:trPr>
        <w:tc>
          <w:tcPr>
            <w:tcW w:w="3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F205D8" w14:textId="745D3527" w:rsidR="00DF3254" w:rsidRPr="00044A03" w:rsidRDefault="00DF3254" w:rsidP="00D834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sz w:val="20"/>
                <w:szCs w:val="20"/>
                <w:lang w:eastAsia="en-US"/>
              </w:rPr>
              <w:t>Laboratory Parameter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D6E7E5" w14:textId="3C491741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ICP &lt; 25 cmH</w:t>
            </w:r>
            <w:r w:rsidRPr="00044A03">
              <w:rPr>
                <w:rFonts w:eastAsia="Calibri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AE70D" w14:textId="25569448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ICP ≥ 25 cmH</w:t>
            </w:r>
            <w:r w:rsidRPr="00044A03">
              <w:rPr>
                <w:rFonts w:eastAsia="Calibri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0CECE"/>
            <w:vAlign w:val="center"/>
          </w:tcPr>
          <w:p w14:paraId="4E589751" w14:textId="77777777" w:rsidR="00BD6DAB" w:rsidRPr="00802A8E" w:rsidRDefault="00DF3254" w:rsidP="00D834A9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802A8E">
              <w:rPr>
                <w:b/>
                <w:bCs/>
                <w:iCs/>
                <w:sz w:val="20"/>
                <w:szCs w:val="20"/>
                <w:lang w:val="en-US"/>
              </w:rPr>
              <w:t>Group Comparison</w:t>
            </w:r>
            <w:r w:rsidR="00BD6DAB" w:rsidRPr="00802A8E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2547C41D" w14:textId="3EBF5CD1" w:rsidR="00DF3254" w:rsidRPr="00D834A9" w:rsidRDefault="00BD6DAB" w:rsidP="00D834A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34A9">
              <w:rPr>
                <w:b/>
                <w:bCs/>
                <w:sz w:val="20"/>
                <w:szCs w:val="20"/>
                <w:lang w:val="en-US"/>
              </w:rPr>
              <w:t>Adjusted for Age, BMI &amp; Pituitary Gland Volume</w:t>
            </w:r>
          </w:p>
        </w:tc>
      </w:tr>
      <w:tr w:rsidR="00D834A9" w:rsidRPr="00D834A9" w14:paraId="3A22EA4F" w14:textId="77777777" w:rsidTr="00196BD8">
        <w:trPr>
          <w:trHeight w:val="405"/>
        </w:trPr>
        <w:tc>
          <w:tcPr>
            <w:tcW w:w="329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D0CECE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7EDB746" w14:textId="60E961E3" w:rsidR="00DF3254" w:rsidRPr="00044A03" w:rsidRDefault="00DF3254" w:rsidP="00D834A9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59CB7BF" w14:textId="46A82966" w:rsidR="00DF3254" w:rsidRPr="00044A03" w:rsidRDefault="00DF3254" w:rsidP="00D834A9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841E085" w14:textId="424327B1" w:rsidR="00DF3254" w:rsidRPr="00044A03" w:rsidRDefault="00DF3254" w:rsidP="00D834A9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24F28C1" w14:textId="626A0109" w:rsidR="00DF3254" w:rsidRPr="00D834A9" w:rsidRDefault="00DF3254" w:rsidP="00D834A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834A9">
              <w:rPr>
                <w:b/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1DB572B" w14:textId="17B6B1E7" w:rsidR="00DF3254" w:rsidRPr="00D834A9" w:rsidRDefault="00DF3254" w:rsidP="00D834A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834A9">
              <w:rPr>
                <w:b/>
                <w:bCs/>
                <w:i/>
                <w:sz w:val="20"/>
                <w:szCs w:val="20"/>
              </w:rPr>
              <w:t>P</w:t>
            </w:r>
            <w:r w:rsidRPr="00D834A9">
              <w:rPr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6ABEB69" w14:textId="56D3B984" w:rsidR="00DF3254" w:rsidRPr="00D834A9" w:rsidRDefault="00DF3254" w:rsidP="00D834A9">
            <w:pPr>
              <w:jc w:val="center"/>
              <w:rPr>
                <w:b/>
                <w:bCs/>
                <w:sz w:val="20"/>
                <w:szCs w:val="20"/>
              </w:rPr>
            </w:pPr>
            <w:r w:rsidRPr="00D834A9">
              <w:rPr>
                <w:b/>
                <w:bCs/>
                <w:sz w:val="20"/>
                <w:szCs w:val="20"/>
              </w:rPr>
              <w:t xml:space="preserve">Test </w:t>
            </w:r>
            <w:proofErr w:type="spellStart"/>
            <w:r w:rsidRPr="00D834A9">
              <w:rPr>
                <w:b/>
                <w:bCs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1715" w:type="dxa"/>
            <w:tcBorders>
              <w:bottom w:val="single" w:sz="4" w:space="0" w:color="auto"/>
              <w:right w:val="nil"/>
            </w:tcBorders>
            <w:shd w:val="clear" w:color="auto" w:fill="D0CECE"/>
            <w:vAlign w:val="center"/>
          </w:tcPr>
          <w:p w14:paraId="5C72C601" w14:textId="39A6772D" w:rsidR="00DF3254" w:rsidRPr="00D834A9" w:rsidRDefault="00DF3254" w:rsidP="00D834A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834A9">
              <w:rPr>
                <w:b/>
                <w:bCs/>
                <w:sz w:val="20"/>
                <w:szCs w:val="20"/>
              </w:rPr>
              <w:t>Effect</w:t>
            </w:r>
            <w:proofErr w:type="spellEnd"/>
            <w:r w:rsidRPr="00D834A9">
              <w:rPr>
                <w:b/>
                <w:bCs/>
                <w:sz w:val="20"/>
                <w:szCs w:val="20"/>
              </w:rPr>
              <w:t xml:space="preserve"> Size</w:t>
            </w:r>
          </w:p>
        </w:tc>
      </w:tr>
      <w:tr w:rsidR="00D834A9" w:rsidRPr="00D834A9" w14:paraId="73EB67E4" w14:textId="4D3B47BA" w:rsidTr="00196BD8">
        <w:trPr>
          <w:trHeight w:val="292"/>
        </w:trPr>
        <w:tc>
          <w:tcPr>
            <w:tcW w:w="3296" w:type="dxa"/>
            <w:tcBorders>
              <w:top w:val="single" w:sz="8" w:space="0" w:color="000000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40034D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TSH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μU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single" w:sz="8" w:space="0" w:color="000000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CB8A52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1.2 ± 0.7 (n = 8)</w:t>
            </w:r>
          </w:p>
        </w:tc>
        <w:tc>
          <w:tcPr>
            <w:tcW w:w="2269" w:type="dxa"/>
            <w:tcBorders>
              <w:top w:val="single" w:sz="8" w:space="0" w:color="000000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865476" w14:textId="06C902E3" w:rsidR="00DF3254" w:rsidRPr="00044A03" w:rsidRDefault="00C52EC1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2.0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 xml:space="preserve"> ± 0.5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14:paraId="5BD40E9B" w14:textId="6544672C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  <w:vAlign w:val="center"/>
          </w:tcPr>
          <w:p w14:paraId="3463298E" w14:textId="7A3F93F3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0.1</w:t>
            </w:r>
            <w:r w:rsidR="003A3971" w:rsidRPr="00D834A9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3DFBA2" w14:textId="6CE92C0A" w:rsidR="00DF3254" w:rsidRPr="00D834A9" w:rsidRDefault="00DF3254" w:rsidP="00D834A9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2.021</w:t>
            </w:r>
          </w:p>
        </w:tc>
        <w:tc>
          <w:tcPr>
            <w:tcW w:w="17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63B9770" w14:textId="2F1745B1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</w:rPr>
              <w:t>0.</w:t>
            </w:r>
            <w:r w:rsidR="003A3971" w:rsidRPr="00D834A9">
              <w:rPr>
                <w:sz w:val="20"/>
                <w:szCs w:val="20"/>
              </w:rPr>
              <w:t>403</w:t>
            </w:r>
          </w:p>
        </w:tc>
      </w:tr>
      <w:tr w:rsidR="00D834A9" w:rsidRPr="00D834A9" w14:paraId="7351E9C9" w14:textId="672DA0F7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FD8134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fT3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2669C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3.0 ± 0.5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37236D" w14:textId="25157FE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2.7 ± 0.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6E33EBDE" w14:textId="045088AB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256BB48" w14:textId="0A862981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3A3971" w:rsidRPr="00D834A9">
              <w:rPr>
                <w:rFonts w:eastAsia="Calibri"/>
                <w:sz w:val="20"/>
                <w:szCs w:val="20"/>
                <w:lang w:eastAsia="en-US"/>
              </w:rPr>
              <w:t>821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745B72D9" w14:textId="4816923E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>F(4) =0.</w:t>
            </w:r>
            <w:r w:rsidR="003A3971" w:rsidRPr="00D834A9">
              <w:rPr>
                <w:sz w:val="20"/>
                <w:szCs w:val="20"/>
              </w:rPr>
              <w:t>377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5C85188B" w14:textId="66004FE7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</w:rPr>
              <w:t>0.1</w:t>
            </w:r>
            <w:r w:rsidR="003A3971" w:rsidRPr="00D834A9">
              <w:rPr>
                <w:sz w:val="20"/>
                <w:szCs w:val="20"/>
              </w:rPr>
              <w:t>21</w:t>
            </w:r>
          </w:p>
        </w:tc>
      </w:tr>
      <w:tr w:rsidR="00D834A9" w:rsidRPr="00D834A9" w14:paraId="04123F98" w14:textId="790B6D27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82C712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fT4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/dl]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1BCB8A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1.2 ± 0.2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5C4A59" w14:textId="419F59B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1.1 ± 0.1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07B8C692" w14:textId="34150A89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C9CEA50" w14:textId="2C2B1EE8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0.0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4AD5B875" w14:textId="10BF508B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2.886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46675725" w14:textId="6CA99148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  <w:lang w:eastAsia="en-US"/>
              </w:rPr>
              <w:t>0.</w:t>
            </w:r>
            <w:r w:rsidR="00BD401D" w:rsidRPr="00D834A9">
              <w:rPr>
                <w:sz w:val="20"/>
                <w:szCs w:val="20"/>
                <w:lang w:eastAsia="en-US"/>
              </w:rPr>
              <w:t>490</w:t>
            </w:r>
          </w:p>
        </w:tc>
      </w:tr>
      <w:tr w:rsidR="00D834A9" w:rsidRPr="00D834A9" w14:paraId="7866C5A6" w14:textId="05870887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1E4A96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LH [U/l]</w:t>
            </w:r>
            <w:r w:rsidRPr="00044A03">
              <w:rPr>
                <w:rFonts w:eastAsia="Calibri"/>
                <w:b/>
                <w:bCs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204850" w14:textId="6F8BA700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8.3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[6.</w:t>
            </w:r>
            <w:r w:rsidR="00C52EC1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, 18.7]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30D83" w14:textId="023BA9A2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6.0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[3.</w:t>
            </w:r>
            <w:r w:rsidR="00056143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, 11.4]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4AD60B8D" w14:textId="4B7201C9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4FAA3C5F" w14:textId="091C37DF" w:rsidR="00DF3254" w:rsidRPr="00D834A9" w:rsidRDefault="00DF3254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0.1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50DAE3EC" w14:textId="5F40A256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bCs/>
                <w:sz w:val="20"/>
                <w:szCs w:val="20"/>
              </w:rPr>
              <w:t>z(4) = -1.</w:t>
            </w:r>
            <w:r w:rsidR="003A3971" w:rsidRPr="00D834A9">
              <w:rPr>
                <w:bCs/>
                <w:sz w:val="20"/>
                <w:szCs w:val="20"/>
              </w:rPr>
              <w:t>331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285ECD9B" w14:textId="5517F97E" w:rsidR="00DF3254" w:rsidRPr="00D834A9" w:rsidRDefault="00BD401D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bCs/>
                <w:sz w:val="20"/>
                <w:szCs w:val="20"/>
              </w:rPr>
              <w:t>4.538</w:t>
            </w:r>
          </w:p>
        </w:tc>
      </w:tr>
      <w:tr w:rsidR="00D834A9" w:rsidRPr="00D834A9" w14:paraId="4707B42C" w14:textId="58026D60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B9673F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FSH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mIU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BA8B9D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5.0 ± 1.9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8AFAED" w14:textId="578BD356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color w:val="000000"/>
                <w:sz w:val="20"/>
                <w:szCs w:val="20"/>
              </w:rPr>
              <w:t xml:space="preserve">6.0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[4.</w:t>
            </w:r>
            <w:r w:rsidR="00056143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, 7.</w:t>
            </w:r>
            <w:r w:rsidR="00056143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E0AF2AA" w14:textId="0285F754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9C9175D" w14:textId="2778E4AA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52920647" w14:textId="43716FDD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bCs/>
                <w:sz w:val="20"/>
                <w:szCs w:val="20"/>
              </w:rPr>
              <w:t xml:space="preserve">z(4) = </w:t>
            </w:r>
            <w:r w:rsidR="003A3971" w:rsidRPr="00D834A9">
              <w:rPr>
                <w:bCs/>
                <w:sz w:val="20"/>
                <w:szCs w:val="20"/>
              </w:rPr>
              <w:t>0.928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702AF34F" w14:textId="36344922" w:rsidR="00DF3254" w:rsidRPr="00D834A9" w:rsidRDefault="00BD401D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bCs/>
                <w:sz w:val="20"/>
                <w:szCs w:val="20"/>
              </w:rPr>
              <w:t>3.869</w:t>
            </w:r>
          </w:p>
        </w:tc>
      </w:tr>
      <w:tr w:rsidR="00D834A9" w:rsidRPr="00D834A9" w14:paraId="696DFCAC" w14:textId="3AC50C12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97E8C9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DHEAS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μg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/ml</w:t>
            </w: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A109C" w14:textId="0B8B0A14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2.1 ± 0.1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EBDCE1" w14:textId="2C1273C4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1.2 ± 0.7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452D5F84" w14:textId="5FAB56FB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C858406" w14:textId="14453F0D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49269D51" w14:textId="28158CBE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1626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346CD772" w14:textId="58CA317E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</w:rPr>
              <w:t>0.</w:t>
            </w:r>
            <w:r w:rsidR="00BD401D" w:rsidRPr="00D834A9">
              <w:rPr>
                <w:sz w:val="20"/>
                <w:szCs w:val="20"/>
              </w:rPr>
              <w:t>351</w:t>
            </w:r>
          </w:p>
        </w:tc>
      </w:tr>
      <w:tr w:rsidR="00D834A9" w:rsidRPr="00D834A9" w14:paraId="439CD11E" w14:textId="4E920023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340EE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Testosterone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5EBA43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0.4 ± 0.2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C60FA" w14:textId="41029CEA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0.2 ± 0.1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F8BA775" w14:textId="42A3BB3C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1C118FB" w14:textId="6F03007D" w:rsidR="00DF3254" w:rsidRPr="00D834A9" w:rsidRDefault="00DF3254" w:rsidP="00D834A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027*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17E83DF0" w14:textId="495B66A0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4.007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521C22BE" w14:textId="01202CA9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  <w:lang w:eastAsia="en-US"/>
              </w:rPr>
              <w:t>0.</w:t>
            </w:r>
            <w:r w:rsidR="00BD401D" w:rsidRPr="00D834A9">
              <w:rPr>
                <w:sz w:val="20"/>
                <w:szCs w:val="20"/>
                <w:lang w:eastAsia="en-US"/>
              </w:rPr>
              <w:t>572</w:t>
            </w:r>
          </w:p>
        </w:tc>
      </w:tr>
      <w:tr w:rsidR="00D834A9" w:rsidRPr="00D834A9" w14:paraId="4BFA9ECC" w14:textId="1C6DBFAC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0F36D3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Estradiol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B72F11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97.0 ± 59.0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5871A" w14:textId="741C996A" w:rsidR="00DF3254" w:rsidRPr="00044A03" w:rsidRDefault="00056143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 xml:space="preserve"> ± 5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 xml:space="preserve"> (n = 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DF3254"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53C28B1F" w14:textId="6AD73326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456CC7D0" w14:textId="18667FDD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742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793A4875" w14:textId="66F9C7A6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0.492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395EEB7F" w14:textId="08623D32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</w:rPr>
              <w:t>0.</w:t>
            </w:r>
            <w:r w:rsidR="00BD401D" w:rsidRPr="00D834A9">
              <w:rPr>
                <w:sz w:val="20"/>
                <w:szCs w:val="20"/>
              </w:rPr>
              <w:t>141</w:t>
            </w:r>
          </w:p>
        </w:tc>
      </w:tr>
      <w:tr w:rsidR="00D834A9" w:rsidRPr="00D834A9" w14:paraId="56D15EE5" w14:textId="097D41F4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AAE055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Androstenedione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6D101D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2.1 ± 1.1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1036AD" w14:textId="2D02CE36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± 0.8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264FF2D4" w14:textId="05A5CD23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E0E545A" w14:textId="10D2B897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46C6E1CD" w14:textId="0322C9B2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1.918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2557E6D0" w14:textId="3E85909F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  <w:lang w:eastAsia="en-US"/>
              </w:rPr>
              <w:t>0.</w:t>
            </w:r>
            <w:r w:rsidR="00BD401D" w:rsidRPr="00D834A9">
              <w:rPr>
                <w:sz w:val="20"/>
                <w:szCs w:val="20"/>
                <w:lang w:eastAsia="en-US"/>
              </w:rPr>
              <w:t>390</w:t>
            </w:r>
            <w:r w:rsidRPr="00D834A9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834A9" w:rsidRPr="00D834A9" w14:paraId="2C20E730" w14:textId="383E83BE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3266D6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Prolactin [ng/ml]</w:t>
            </w:r>
            <w:r w:rsidRPr="00044A03">
              <w:rPr>
                <w:rFonts w:eastAsia="Calibri"/>
                <w:b/>
                <w:bCs/>
                <w:sz w:val="20"/>
                <w:szCs w:val="20"/>
                <w:vertAlign w:val="superscript"/>
                <w:lang w:val="en-US" w:eastAsia="en-US"/>
              </w:rPr>
              <w:t>a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9FEBF1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22.5 ± 7.2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2B7256" w14:textId="24C77359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color w:val="000000"/>
                <w:sz w:val="20"/>
                <w:szCs w:val="20"/>
              </w:rPr>
              <w:t>1</w:t>
            </w:r>
            <w:r w:rsidR="00056143">
              <w:rPr>
                <w:color w:val="000000"/>
                <w:sz w:val="20"/>
                <w:szCs w:val="20"/>
              </w:rPr>
              <w:t>6</w:t>
            </w:r>
            <w:r w:rsidRPr="00044A03">
              <w:rPr>
                <w:color w:val="000000"/>
                <w:sz w:val="20"/>
                <w:szCs w:val="20"/>
              </w:rPr>
              <w:t xml:space="preserve">.3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[14.</w:t>
            </w:r>
            <w:r w:rsidR="00056143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, 2</w:t>
            </w:r>
            <w:r w:rsidR="00056143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  <w:r w:rsidR="00056143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4179F46A" w14:textId="67259049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CCE3BC3" w14:textId="5E893646" w:rsidR="00DF3254" w:rsidRPr="00D834A9" w:rsidRDefault="00DF3254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7ED77E9A" w14:textId="774FE7D7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bCs/>
                <w:sz w:val="20"/>
                <w:szCs w:val="20"/>
              </w:rPr>
              <w:t xml:space="preserve">z(4) = </w:t>
            </w:r>
            <w:r w:rsidR="003A3971" w:rsidRPr="00D834A9">
              <w:rPr>
                <w:bCs/>
                <w:sz w:val="20"/>
                <w:szCs w:val="20"/>
              </w:rPr>
              <w:t>1.323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5150E31E" w14:textId="1AAA43D7" w:rsidR="00DF3254" w:rsidRPr="00D834A9" w:rsidRDefault="00BD401D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bCs/>
                <w:sz w:val="20"/>
                <w:szCs w:val="20"/>
              </w:rPr>
              <w:t>7.942</w:t>
            </w:r>
          </w:p>
        </w:tc>
      </w:tr>
      <w:tr w:rsidR="00D834A9" w:rsidRPr="00D834A9" w14:paraId="3A8613BD" w14:textId="2725E099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51DF0D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ACTH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  <w:r w:rsidRPr="00044A03">
              <w:rPr>
                <w:rFonts w:eastAsia="Calibri"/>
                <w:b/>
                <w:bCs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E6BB8F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17.8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[15.4, 26.4]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B61B84" w14:textId="4068B07F" w:rsidR="00DF3254" w:rsidRPr="00044A03" w:rsidRDefault="00056143" w:rsidP="00D834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42.2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± </w:t>
            </w:r>
            <w:r>
              <w:rPr>
                <w:rFonts w:eastAsia="Calibri"/>
                <w:sz w:val="20"/>
                <w:szCs w:val="20"/>
                <w:lang w:eastAsia="en-US"/>
              </w:rPr>
              <w:t>37.1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(n = 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3420C17B" w14:textId="0191A6A0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4B4A6421" w14:textId="5E69A510" w:rsidR="00DF3254" w:rsidRPr="00D834A9" w:rsidRDefault="00DF3254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7FF02345" w14:textId="3CAB9B22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bCs/>
                <w:sz w:val="20"/>
                <w:szCs w:val="20"/>
              </w:rPr>
              <w:t xml:space="preserve">z(4) = </w:t>
            </w:r>
            <w:r w:rsidR="003A3971" w:rsidRPr="00D834A9">
              <w:rPr>
                <w:bCs/>
                <w:sz w:val="20"/>
                <w:szCs w:val="20"/>
              </w:rPr>
              <w:t>1.587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73261A3B" w14:textId="374A04F2" w:rsidR="00DF3254" w:rsidRPr="00D834A9" w:rsidRDefault="00BD401D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bCs/>
                <w:sz w:val="20"/>
                <w:szCs w:val="20"/>
              </w:rPr>
              <w:t>8.019</w:t>
            </w:r>
          </w:p>
        </w:tc>
      </w:tr>
      <w:tr w:rsidR="00D834A9" w:rsidRPr="00D834A9" w14:paraId="4D464842" w14:textId="17C942AC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B0154C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Cortisol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μg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/dl]</w:t>
            </w:r>
          </w:p>
        </w:tc>
        <w:tc>
          <w:tcPr>
            <w:tcW w:w="2090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2DE412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13.0 ± 5.0 (n = 8)</w:t>
            </w:r>
          </w:p>
        </w:tc>
        <w:tc>
          <w:tcPr>
            <w:tcW w:w="2269" w:type="dxa"/>
            <w:tcBorders>
              <w:top w:val="nil"/>
              <w:bottom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9349C0" w14:textId="5FA23AB8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±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3642CD44" w14:textId="27B6317A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1E8121F8" w14:textId="03049D99" w:rsidR="00DF3254" w:rsidRPr="00D834A9" w:rsidRDefault="00DF3254" w:rsidP="00D834A9">
            <w:pPr>
              <w:jc w:val="center"/>
              <w:rPr>
                <w:i/>
                <w:sz w:val="20"/>
                <w:szCs w:val="20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0.9</w:t>
            </w:r>
            <w:r w:rsidR="00D60AF9" w:rsidRPr="00D834A9">
              <w:rPr>
                <w:rFonts w:eastAsia="Calibr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  <w:vAlign w:val="center"/>
          </w:tcPr>
          <w:p w14:paraId="5B00EB0D" w14:textId="0E52A5F3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>F(4) = 0.</w:t>
            </w:r>
            <w:r w:rsidR="003A3971" w:rsidRPr="00D834A9">
              <w:rPr>
                <w:sz w:val="20"/>
                <w:szCs w:val="20"/>
              </w:rPr>
              <w:t>144</w:t>
            </w: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  <w:vAlign w:val="center"/>
          </w:tcPr>
          <w:p w14:paraId="1F0F7011" w14:textId="61EE8472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</w:rPr>
              <w:t>0.04</w:t>
            </w:r>
            <w:r w:rsidR="00BD401D" w:rsidRPr="00D834A9">
              <w:rPr>
                <w:sz w:val="20"/>
                <w:szCs w:val="20"/>
              </w:rPr>
              <w:t>6</w:t>
            </w:r>
          </w:p>
        </w:tc>
      </w:tr>
      <w:tr w:rsidR="00D834A9" w:rsidRPr="00D834A9" w14:paraId="40EDC477" w14:textId="2E4AFCC4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EF374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GH [ng/ml]</w:t>
            </w:r>
            <w:r w:rsidRPr="00044A03">
              <w:rPr>
                <w:rFonts w:eastAsia="Calibri"/>
                <w:b/>
                <w:bCs/>
                <w:sz w:val="20"/>
                <w:szCs w:val="20"/>
                <w:vertAlign w:val="superscript"/>
                <w:lang w:val="en-US" w:eastAsia="en-US"/>
              </w:rPr>
              <w:t>a</w:t>
            </w:r>
          </w:p>
        </w:tc>
        <w:tc>
          <w:tcPr>
            <w:tcW w:w="2090" w:type="dxa"/>
            <w:tcBorders>
              <w:top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DE7D10" w14:textId="693E9A2C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0.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[0.1, 0.6]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(n = 8)</w:t>
            </w:r>
          </w:p>
        </w:tc>
        <w:tc>
          <w:tcPr>
            <w:tcW w:w="2269" w:type="dxa"/>
            <w:tcBorders>
              <w:top w:val="nil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709313" w14:textId="1E627F75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color w:val="000000"/>
                <w:sz w:val="20"/>
                <w:szCs w:val="20"/>
              </w:rPr>
              <w:t>0.</w:t>
            </w:r>
            <w:r w:rsidR="00C3370C">
              <w:rPr>
                <w:color w:val="000000"/>
                <w:sz w:val="20"/>
                <w:szCs w:val="20"/>
              </w:rPr>
              <w:t>1</w:t>
            </w:r>
            <w:r w:rsidRPr="00044A03">
              <w:rPr>
                <w:color w:val="000000"/>
                <w:sz w:val="20"/>
                <w:szCs w:val="20"/>
              </w:rPr>
              <w:t xml:space="preserve"> </w:t>
            </w:r>
            <w:r w:rsidRPr="00044A03">
              <w:rPr>
                <w:bCs/>
                <w:color w:val="000000"/>
                <w:sz w:val="20"/>
                <w:szCs w:val="20"/>
                <w:lang w:val="en-US"/>
              </w:rPr>
              <w:t xml:space="preserve">[0.0, 0.1] 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</w:tcBorders>
          </w:tcPr>
          <w:p w14:paraId="3A895709" w14:textId="50970CDF" w:rsidR="00DF3254" w:rsidRPr="00D834A9" w:rsidRDefault="00DF3254" w:rsidP="00D834A9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16C70597" w14:textId="36539F4C" w:rsidR="00DF3254" w:rsidRPr="00D834A9" w:rsidRDefault="00DF3254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1740" w:type="dxa"/>
            <w:tcBorders>
              <w:top w:val="nil"/>
              <w:right w:val="nil"/>
            </w:tcBorders>
            <w:vAlign w:val="center"/>
          </w:tcPr>
          <w:p w14:paraId="6C2E227B" w14:textId="6E412B29" w:rsidR="00DF3254" w:rsidRPr="00D834A9" w:rsidRDefault="00DF3254" w:rsidP="00D834A9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834A9">
              <w:rPr>
                <w:bCs/>
                <w:sz w:val="20"/>
                <w:szCs w:val="20"/>
              </w:rPr>
              <w:t>z(4) = -</w:t>
            </w:r>
            <w:r w:rsidR="003A3971" w:rsidRPr="00D834A9">
              <w:rPr>
                <w:bCs/>
                <w:sz w:val="20"/>
                <w:szCs w:val="20"/>
              </w:rPr>
              <w:t>0.552</w:t>
            </w:r>
          </w:p>
        </w:tc>
        <w:tc>
          <w:tcPr>
            <w:tcW w:w="1715" w:type="dxa"/>
            <w:tcBorders>
              <w:top w:val="nil"/>
              <w:right w:val="nil"/>
            </w:tcBorders>
            <w:vAlign w:val="center"/>
          </w:tcPr>
          <w:p w14:paraId="0DCFB4B6" w14:textId="3A298621" w:rsidR="00DF3254" w:rsidRPr="00D834A9" w:rsidRDefault="00BD401D" w:rsidP="00D834A9">
            <w:pPr>
              <w:jc w:val="center"/>
              <w:rPr>
                <w:bCs/>
                <w:sz w:val="20"/>
                <w:szCs w:val="20"/>
              </w:rPr>
            </w:pPr>
            <w:r w:rsidRPr="00D834A9">
              <w:rPr>
                <w:bCs/>
                <w:sz w:val="20"/>
                <w:szCs w:val="20"/>
              </w:rPr>
              <w:t>0.942</w:t>
            </w:r>
          </w:p>
        </w:tc>
      </w:tr>
      <w:tr w:rsidR="00D834A9" w:rsidRPr="00D834A9" w14:paraId="1A6ACD4E" w14:textId="745464DC" w:rsidTr="00196BD8">
        <w:trPr>
          <w:trHeight w:val="292"/>
        </w:trPr>
        <w:tc>
          <w:tcPr>
            <w:tcW w:w="3296" w:type="dxa"/>
            <w:tcBorders>
              <w:top w:val="nil"/>
              <w:left w:val="nil"/>
              <w:bottom w:val="single" w:sz="12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96E5C3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IGF1 [</w:t>
            </w:r>
            <w:proofErr w:type="spellStart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ng</w:t>
            </w:r>
            <w:proofErr w:type="spellEnd"/>
            <w:r w:rsidRPr="00044A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/ml]</w:t>
            </w:r>
          </w:p>
        </w:tc>
        <w:tc>
          <w:tcPr>
            <w:tcW w:w="2090" w:type="dxa"/>
            <w:tcBorders>
              <w:top w:val="nil"/>
              <w:bottom w:val="single" w:sz="12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F9768E" w14:textId="77777777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205.8 ± 62.4 (n = 6)</w:t>
            </w:r>
          </w:p>
        </w:tc>
        <w:tc>
          <w:tcPr>
            <w:tcW w:w="2269" w:type="dxa"/>
            <w:tcBorders>
              <w:top w:val="nil"/>
              <w:bottom w:val="single" w:sz="12" w:space="0" w:color="auto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60412" w14:textId="49ABEAF4" w:rsidR="00DF3254" w:rsidRPr="00044A03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4A03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bookmarkStart w:id="2" w:name="OLE_LINK41"/>
            <w:r w:rsidRPr="00044A03">
              <w:rPr>
                <w:rFonts w:eastAsia="Calibri"/>
                <w:sz w:val="20"/>
                <w:szCs w:val="20"/>
                <w:lang w:eastAsia="en-US"/>
              </w:rPr>
              <w:t>±</w:t>
            </w:r>
            <w:bookmarkEnd w:id="2"/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4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 xml:space="preserve"> (n = </w:t>
            </w:r>
            <w:r w:rsidR="0005614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044A0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tcBorders>
              <w:top w:val="nil"/>
              <w:bottom w:val="single" w:sz="12" w:space="0" w:color="auto"/>
            </w:tcBorders>
          </w:tcPr>
          <w:p w14:paraId="4BD3BCC3" w14:textId="77A8B264" w:rsidR="00DF3254" w:rsidRPr="00D834A9" w:rsidRDefault="00DF3254" w:rsidP="00D834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34A9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14" w:type="dxa"/>
            <w:tcBorders>
              <w:top w:val="nil"/>
              <w:bottom w:val="single" w:sz="12" w:space="0" w:color="auto"/>
            </w:tcBorders>
            <w:vAlign w:val="center"/>
          </w:tcPr>
          <w:p w14:paraId="1D170241" w14:textId="6F212532" w:rsidR="00DF3254" w:rsidRPr="00D834A9" w:rsidRDefault="00DF3254" w:rsidP="00D834A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0.</w:t>
            </w:r>
            <w:r w:rsidR="00D60AF9" w:rsidRPr="00D834A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039*</w:t>
            </w:r>
          </w:p>
        </w:tc>
        <w:tc>
          <w:tcPr>
            <w:tcW w:w="174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6BE37AE" w14:textId="67FE2E67" w:rsidR="00DF3254" w:rsidRPr="00D834A9" w:rsidRDefault="00DF3254" w:rsidP="00D834A9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834A9">
              <w:rPr>
                <w:sz w:val="20"/>
                <w:szCs w:val="20"/>
              </w:rPr>
              <w:t xml:space="preserve">F(4) = </w:t>
            </w:r>
            <w:r w:rsidR="003A3971" w:rsidRPr="00D834A9">
              <w:rPr>
                <w:sz w:val="20"/>
                <w:szCs w:val="20"/>
              </w:rPr>
              <w:t>3.828</w:t>
            </w:r>
          </w:p>
        </w:tc>
        <w:tc>
          <w:tcPr>
            <w:tcW w:w="171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4AE3558" w14:textId="3BEA1108" w:rsidR="00DF3254" w:rsidRPr="00D834A9" w:rsidRDefault="00DF3254" w:rsidP="00D834A9">
            <w:pPr>
              <w:jc w:val="center"/>
              <w:rPr>
                <w:sz w:val="20"/>
                <w:szCs w:val="20"/>
              </w:rPr>
            </w:pPr>
            <w:r w:rsidRPr="00D834A9">
              <w:rPr>
                <w:sz w:val="20"/>
                <w:szCs w:val="20"/>
              </w:rPr>
              <w:t>0.</w:t>
            </w:r>
            <w:r w:rsidR="00BD401D" w:rsidRPr="00D834A9">
              <w:rPr>
                <w:sz w:val="20"/>
                <w:szCs w:val="20"/>
              </w:rPr>
              <w:t>605</w:t>
            </w:r>
          </w:p>
        </w:tc>
      </w:tr>
    </w:tbl>
    <w:p w14:paraId="06F89E9E" w14:textId="080C67FC" w:rsidR="00D14144" w:rsidRDefault="00F23BCB" w:rsidP="00D834A9">
      <w:pPr>
        <w:spacing w:line="480" w:lineRule="auto"/>
        <w:ind w:right="-6"/>
        <w:jc w:val="both"/>
        <w:rPr>
          <w:color w:val="000000"/>
          <w:sz w:val="22"/>
          <w:szCs w:val="22"/>
          <w:lang w:val="en-US"/>
        </w:rPr>
      </w:pPr>
      <w:r w:rsidRPr="00D14144">
        <w:rPr>
          <w:color w:val="000000"/>
          <w:sz w:val="22"/>
          <w:szCs w:val="22"/>
          <w:lang w:val="en-US"/>
        </w:rPr>
        <w:t xml:space="preserve">Serum levels of laboratory parameters are presented as mean ± standard deviation (SD) for normally distributed data or as median [interquartile range (IQR)] for non-normally distributed data. Depending on the distribution, either analysis of covariance (ANCOVA) or a generalized linear model (GLM) was performed, with R² or </w:t>
      </w:r>
      <w:r w:rsidR="004F13CC" w:rsidRPr="00D14144">
        <w:rPr>
          <w:sz w:val="22"/>
          <w:szCs w:val="22"/>
          <w:lang w:val="en-US"/>
        </w:rPr>
        <w:t>McFadden's</w:t>
      </w:r>
      <w:r w:rsidR="004F13CC" w:rsidRPr="00D14144">
        <w:rPr>
          <w:color w:val="000000"/>
          <w:sz w:val="22"/>
          <w:szCs w:val="22"/>
          <w:lang w:val="en-US"/>
        </w:rPr>
        <w:t xml:space="preserve"> </w:t>
      </w:r>
      <w:r w:rsidRPr="00D14144">
        <w:rPr>
          <w:color w:val="000000"/>
          <w:sz w:val="22"/>
          <w:szCs w:val="22"/>
          <w:lang w:val="en-US"/>
        </w:rPr>
        <w:t xml:space="preserve">pseudo R², respectively, as the corresponding effect sizes. Statistical significance was determined using a two-sided p-value of &lt; 0.05. </w:t>
      </w:r>
      <w:r w:rsidR="00F53D22" w:rsidRPr="00D14144">
        <w:rPr>
          <w:color w:val="000000"/>
          <w:sz w:val="22"/>
          <w:szCs w:val="22"/>
          <w:lang w:val="en-US"/>
        </w:rPr>
        <w:t>ACTH = adrenocorticotropic hormone; cmH</w:t>
      </w:r>
      <w:r w:rsidR="00F53D22" w:rsidRPr="00D14144">
        <w:rPr>
          <w:color w:val="000000"/>
          <w:sz w:val="22"/>
          <w:szCs w:val="22"/>
          <w:vertAlign w:val="subscript"/>
          <w:lang w:val="en-US"/>
        </w:rPr>
        <w:t>2</w:t>
      </w:r>
      <w:r w:rsidR="00F53D22" w:rsidRPr="00D14144">
        <w:rPr>
          <w:color w:val="000000"/>
          <w:sz w:val="22"/>
          <w:szCs w:val="22"/>
          <w:lang w:val="en-US"/>
        </w:rPr>
        <w:t xml:space="preserve">O = centimeter water column; DHEAS = </w:t>
      </w:r>
      <w:proofErr w:type="spellStart"/>
      <w:r w:rsidR="00F53D22" w:rsidRPr="00D14144">
        <w:rPr>
          <w:color w:val="000000"/>
          <w:sz w:val="22"/>
          <w:szCs w:val="22"/>
          <w:lang w:val="en-US"/>
        </w:rPr>
        <w:t>dehydroepiandrosterone</w:t>
      </w:r>
      <w:proofErr w:type="spellEnd"/>
      <w:r w:rsidR="00F53D22" w:rsidRPr="00D14144">
        <w:rPr>
          <w:color w:val="000000"/>
          <w:sz w:val="22"/>
          <w:szCs w:val="22"/>
          <w:lang w:val="en-US"/>
        </w:rPr>
        <w:t xml:space="preserve"> sulfate; FSH = follicle-stimulating hormone; fT3 = triiodothyronine; fT4 = free thyroxine; GH = growth hormone; ICP = intracranial pressure; IGF-1 = insulin-like growth factor 1; LH = luteinizing hormone; TSH = thyroid-stimulating hormone.</w:t>
      </w:r>
      <w:bookmarkEnd w:id="1"/>
    </w:p>
    <w:sectPr w:rsidR="00D14144" w:rsidSect="00671D58">
      <w:pgSz w:w="16840" w:h="11900" w:orient="landscape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F3133" w16cex:dateUtc="2025-07-17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1CC50" w16cid:durableId="5B91CC50"/>
  <w16cid:commentId w16cid:paraId="0DBF777A" w16cid:durableId="28BF3133"/>
  <w16cid:commentId w16cid:paraId="7C013E45" w16cid:durableId="7C013E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5B"/>
    <w:rsid w:val="00005235"/>
    <w:rsid w:val="0003058E"/>
    <w:rsid w:val="0003307F"/>
    <w:rsid w:val="000330C1"/>
    <w:rsid w:val="000363E3"/>
    <w:rsid w:val="000371CE"/>
    <w:rsid w:val="00040773"/>
    <w:rsid w:val="0004349F"/>
    <w:rsid w:val="00044A03"/>
    <w:rsid w:val="00053CB1"/>
    <w:rsid w:val="00053FB1"/>
    <w:rsid w:val="00056143"/>
    <w:rsid w:val="00056C32"/>
    <w:rsid w:val="00072CE7"/>
    <w:rsid w:val="00085D1D"/>
    <w:rsid w:val="000960CF"/>
    <w:rsid w:val="000A0A04"/>
    <w:rsid w:val="000A1ADB"/>
    <w:rsid w:val="000E2AF3"/>
    <w:rsid w:val="000E6EF5"/>
    <w:rsid w:val="000F028D"/>
    <w:rsid w:val="00102813"/>
    <w:rsid w:val="0010381D"/>
    <w:rsid w:val="001123B9"/>
    <w:rsid w:val="0011791F"/>
    <w:rsid w:val="001315E0"/>
    <w:rsid w:val="001419F8"/>
    <w:rsid w:val="00144C4B"/>
    <w:rsid w:val="0014729D"/>
    <w:rsid w:val="001555A7"/>
    <w:rsid w:val="001560EB"/>
    <w:rsid w:val="001778BA"/>
    <w:rsid w:val="001960EF"/>
    <w:rsid w:val="00196BD8"/>
    <w:rsid w:val="001A3A30"/>
    <w:rsid w:val="001A5223"/>
    <w:rsid w:val="001A7E08"/>
    <w:rsid w:val="001B0380"/>
    <w:rsid w:val="001B1340"/>
    <w:rsid w:val="001B1846"/>
    <w:rsid w:val="001B7422"/>
    <w:rsid w:val="001C7D42"/>
    <w:rsid w:val="001F0306"/>
    <w:rsid w:val="001F21AB"/>
    <w:rsid w:val="0020199B"/>
    <w:rsid w:val="00216DC3"/>
    <w:rsid w:val="0023079A"/>
    <w:rsid w:val="00256469"/>
    <w:rsid w:val="00284600"/>
    <w:rsid w:val="0028779A"/>
    <w:rsid w:val="00295CCF"/>
    <w:rsid w:val="002E750D"/>
    <w:rsid w:val="002F030D"/>
    <w:rsid w:val="002F3E6E"/>
    <w:rsid w:val="003105A6"/>
    <w:rsid w:val="0031247E"/>
    <w:rsid w:val="003202C4"/>
    <w:rsid w:val="00322922"/>
    <w:rsid w:val="00326B11"/>
    <w:rsid w:val="003425B4"/>
    <w:rsid w:val="00343C06"/>
    <w:rsid w:val="003574F1"/>
    <w:rsid w:val="00361DF9"/>
    <w:rsid w:val="0038186A"/>
    <w:rsid w:val="0039515C"/>
    <w:rsid w:val="003A14AC"/>
    <w:rsid w:val="003A3971"/>
    <w:rsid w:val="003E1117"/>
    <w:rsid w:val="003F4C20"/>
    <w:rsid w:val="00401F25"/>
    <w:rsid w:val="00402898"/>
    <w:rsid w:val="00405A74"/>
    <w:rsid w:val="00422336"/>
    <w:rsid w:val="00425CDD"/>
    <w:rsid w:val="0043170F"/>
    <w:rsid w:val="00440496"/>
    <w:rsid w:val="00460301"/>
    <w:rsid w:val="00464D89"/>
    <w:rsid w:val="0046671B"/>
    <w:rsid w:val="00471D28"/>
    <w:rsid w:val="00476D04"/>
    <w:rsid w:val="00485E23"/>
    <w:rsid w:val="004A53CA"/>
    <w:rsid w:val="004C309C"/>
    <w:rsid w:val="004C3BD1"/>
    <w:rsid w:val="004C4D61"/>
    <w:rsid w:val="004C6842"/>
    <w:rsid w:val="004C6A05"/>
    <w:rsid w:val="004D4E8A"/>
    <w:rsid w:val="004F13CC"/>
    <w:rsid w:val="004F1C1A"/>
    <w:rsid w:val="004F4EEA"/>
    <w:rsid w:val="005005F3"/>
    <w:rsid w:val="0050572F"/>
    <w:rsid w:val="0052056E"/>
    <w:rsid w:val="00522B08"/>
    <w:rsid w:val="00523C0E"/>
    <w:rsid w:val="00523C4D"/>
    <w:rsid w:val="00534830"/>
    <w:rsid w:val="00544F14"/>
    <w:rsid w:val="0054529C"/>
    <w:rsid w:val="005541DD"/>
    <w:rsid w:val="005563D7"/>
    <w:rsid w:val="00557C0F"/>
    <w:rsid w:val="005638D9"/>
    <w:rsid w:val="005658F6"/>
    <w:rsid w:val="00570876"/>
    <w:rsid w:val="005A419D"/>
    <w:rsid w:val="005C4505"/>
    <w:rsid w:val="005D20CA"/>
    <w:rsid w:val="005D6126"/>
    <w:rsid w:val="005E4740"/>
    <w:rsid w:val="005F74A7"/>
    <w:rsid w:val="0060010C"/>
    <w:rsid w:val="006115F7"/>
    <w:rsid w:val="006141BC"/>
    <w:rsid w:val="00645FB2"/>
    <w:rsid w:val="00646510"/>
    <w:rsid w:val="006610AB"/>
    <w:rsid w:val="00671D58"/>
    <w:rsid w:val="0067543C"/>
    <w:rsid w:val="00680B77"/>
    <w:rsid w:val="0069302C"/>
    <w:rsid w:val="006A0CBF"/>
    <w:rsid w:val="006A2537"/>
    <w:rsid w:val="006A3211"/>
    <w:rsid w:val="006B4A82"/>
    <w:rsid w:val="006C2968"/>
    <w:rsid w:val="006C5872"/>
    <w:rsid w:val="006D0630"/>
    <w:rsid w:val="006D2A82"/>
    <w:rsid w:val="006E4707"/>
    <w:rsid w:val="007103DF"/>
    <w:rsid w:val="00710B56"/>
    <w:rsid w:val="00714338"/>
    <w:rsid w:val="007306C7"/>
    <w:rsid w:val="007417D8"/>
    <w:rsid w:val="007430C3"/>
    <w:rsid w:val="0075094B"/>
    <w:rsid w:val="007561C0"/>
    <w:rsid w:val="00760F0F"/>
    <w:rsid w:val="00780734"/>
    <w:rsid w:val="00784B85"/>
    <w:rsid w:val="00791138"/>
    <w:rsid w:val="007B27E9"/>
    <w:rsid w:val="007E0026"/>
    <w:rsid w:val="007E343B"/>
    <w:rsid w:val="007E647E"/>
    <w:rsid w:val="007F0B89"/>
    <w:rsid w:val="007F7E6E"/>
    <w:rsid w:val="00802A8E"/>
    <w:rsid w:val="00811571"/>
    <w:rsid w:val="00817E8C"/>
    <w:rsid w:val="00825EC4"/>
    <w:rsid w:val="008343B8"/>
    <w:rsid w:val="0083582E"/>
    <w:rsid w:val="0086145B"/>
    <w:rsid w:val="0086310F"/>
    <w:rsid w:val="008646AA"/>
    <w:rsid w:val="00867799"/>
    <w:rsid w:val="0088122A"/>
    <w:rsid w:val="008A4C15"/>
    <w:rsid w:val="008B02EC"/>
    <w:rsid w:val="008B14FE"/>
    <w:rsid w:val="008C1B2D"/>
    <w:rsid w:val="008C3C1D"/>
    <w:rsid w:val="008F40E1"/>
    <w:rsid w:val="008F42D4"/>
    <w:rsid w:val="009025CC"/>
    <w:rsid w:val="00925BD6"/>
    <w:rsid w:val="00930B95"/>
    <w:rsid w:val="0093567F"/>
    <w:rsid w:val="00936DD2"/>
    <w:rsid w:val="009372DC"/>
    <w:rsid w:val="00941F9E"/>
    <w:rsid w:val="00945792"/>
    <w:rsid w:val="00964140"/>
    <w:rsid w:val="00964FA6"/>
    <w:rsid w:val="009769FE"/>
    <w:rsid w:val="00991876"/>
    <w:rsid w:val="0099616C"/>
    <w:rsid w:val="009A0334"/>
    <w:rsid w:val="009A6C96"/>
    <w:rsid w:val="009A7947"/>
    <w:rsid w:val="009C4973"/>
    <w:rsid w:val="009D4536"/>
    <w:rsid w:val="009D5FAE"/>
    <w:rsid w:val="009E7919"/>
    <w:rsid w:val="009F05F1"/>
    <w:rsid w:val="009F79A0"/>
    <w:rsid w:val="00A11E72"/>
    <w:rsid w:val="00A1310D"/>
    <w:rsid w:val="00A1316A"/>
    <w:rsid w:val="00A14D22"/>
    <w:rsid w:val="00A4225A"/>
    <w:rsid w:val="00A8689A"/>
    <w:rsid w:val="00A86F0E"/>
    <w:rsid w:val="00AA3967"/>
    <w:rsid w:val="00AD14A8"/>
    <w:rsid w:val="00AD6650"/>
    <w:rsid w:val="00AE6CFB"/>
    <w:rsid w:val="00AF42DB"/>
    <w:rsid w:val="00B0605F"/>
    <w:rsid w:val="00B15E5B"/>
    <w:rsid w:val="00B24EAC"/>
    <w:rsid w:val="00B3434D"/>
    <w:rsid w:val="00B43339"/>
    <w:rsid w:val="00B469D3"/>
    <w:rsid w:val="00B638EC"/>
    <w:rsid w:val="00B64C5A"/>
    <w:rsid w:val="00B971A1"/>
    <w:rsid w:val="00BA7F03"/>
    <w:rsid w:val="00BB7E78"/>
    <w:rsid w:val="00BD2AAB"/>
    <w:rsid w:val="00BD401D"/>
    <w:rsid w:val="00BD6DAB"/>
    <w:rsid w:val="00BE0E82"/>
    <w:rsid w:val="00BE44B3"/>
    <w:rsid w:val="00BF01CE"/>
    <w:rsid w:val="00C06BBB"/>
    <w:rsid w:val="00C17792"/>
    <w:rsid w:val="00C2591B"/>
    <w:rsid w:val="00C2772D"/>
    <w:rsid w:val="00C335CC"/>
    <w:rsid w:val="00C3370C"/>
    <w:rsid w:val="00C52EC1"/>
    <w:rsid w:val="00C54E52"/>
    <w:rsid w:val="00C55E7A"/>
    <w:rsid w:val="00C62088"/>
    <w:rsid w:val="00C62BFE"/>
    <w:rsid w:val="00C646E0"/>
    <w:rsid w:val="00C76F2B"/>
    <w:rsid w:val="00C943F5"/>
    <w:rsid w:val="00CA6696"/>
    <w:rsid w:val="00CA6755"/>
    <w:rsid w:val="00CB3C25"/>
    <w:rsid w:val="00CB698C"/>
    <w:rsid w:val="00CB72EF"/>
    <w:rsid w:val="00CD3D40"/>
    <w:rsid w:val="00CE5473"/>
    <w:rsid w:val="00CE6EFF"/>
    <w:rsid w:val="00CE744D"/>
    <w:rsid w:val="00CF5B03"/>
    <w:rsid w:val="00D06503"/>
    <w:rsid w:val="00D06554"/>
    <w:rsid w:val="00D14144"/>
    <w:rsid w:val="00D159BA"/>
    <w:rsid w:val="00D2658E"/>
    <w:rsid w:val="00D27E43"/>
    <w:rsid w:val="00D32D3A"/>
    <w:rsid w:val="00D443FB"/>
    <w:rsid w:val="00D60342"/>
    <w:rsid w:val="00D60AF9"/>
    <w:rsid w:val="00D62DAB"/>
    <w:rsid w:val="00D6501D"/>
    <w:rsid w:val="00D811F4"/>
    <w:rsid w:val="00D834A9"/>
    <w:rsid w:val="00D93D81"/>
    <w:rsid w:val="00D96392"/>
    <w:rsid w:val="00DA7C57"/>
    <w:rsid w:val="00DB6E6D"/>
    <w:rsid w:val="00DE3C70"/>
    <w:rsid w:val="00DE61B9"/>
    <w:rsid w:val="00DF3254"/>
    <w:rsid w:val="00DF4B80"/>
    <w:rsid w:val="00E06A60"/>
    <w:rsid w:val="00E15141"/>
    <w:rsid w:val="00E30941"/>
    <w:rsid w:val="00E31DDE"/>
    <w:rsid w:val="00E329EB"/>
    <w:rsid w:val="00E34A64"/>
    <w:rsid w:val="00E40C39"/>
    <w:rsid w:val="00E45C62"/>
    <w:rsid w:val="00E47EF5"/>
    <w:rsid w:val="00E50944"/>
    <w:rsid w:val="00E52B67"/>
    <w:rsid w:val="00E5697A"/>
    <w:rsid w:val="00E56C79"/>
    <w:rsid w:val="00E56D26"/>
    <w:rsid w:val="00E5785E"/>
    <w:rsid w:val="00E735C8"/>
    <w:rsid w:val="00E86CDB"/>
    <w:rsid w:val="00E907A9"/>
    <w:rsid w:val="00E91970"/>
    <w:rsid w:val="00E9217F"/>
    <w:rsid w:val="00E95C03"/>
    <w:rsid w:val="00EA5CA9"/>
    <w:rsid w:val="00EA773A"/>
    <w:rsid w:val="00EC0EC6"/>
    <w:rsid w:val="00ED25F7"/>
    <w:rsid w:val="00ED66F6"/>
    <w:rsid w:val="00EE3F05"/>
    <w:rsid w:val="00EE5A73"/>
    <w:rsid w:val="00EF1A99"/>
    <w:rsid w:val="00F14083"/>
    <w:rsid w:val="00F23BCB"/>
    <w:rsid w:val="00F24D45"/>
    <w:rsid w:val="00F32929"/>
    <w:rsid w:val="00F40B28"/>
    <w:rsid w:val="00F42E20"/>
    <w:rsid w:val="00F431D1"/>
    <w:rsid w:val="00F45F2A"/>
    <w:rsid w:val="00F50E07"/>
    <w:rsid w:val="00F53D22"/>
    <w:rsid w:val="00F54F63"/>
    <w:rsid w:val="00F70A70"/>
    <w:rsid w:val="00F71021"/>
    <w:rsid w:val="00F770CB"/>
    <w:rsid w:val="00F77B19"/>
    <w:rsid w:val="00F91CED"/>
    <w:rsid w:val="00FA7594"/>
    <w:rsid w:val="00FB00A7"/>
    <w:rsid w:val="00FD76E6"/>
    <w:rsid w:val="00FE0CDE"/>
    <w:rsid w:val="00FE3638"/>
    <w:rsid w:val="00FF0CE9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2371"/>
  <w15:chartTrackingRefBased/>
  <w15:docId w15:val="{3AC5855B-2A2B-0D4D-BE20-6873A17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030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9EB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329EB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544F14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14D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D2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D22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D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D22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Standard"/>
    <w:uiPriority w:val="99"/>
    <w:unhideWhenUsed/>
    <w:rsid w:val="0028779A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8779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2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16/09/relationships/commentsIds" Target="commentsIds.xml"/><Relationship Id="rId4" Type="http://schemas.openxmlformats.org/officeDocument/2006/relationships/hyperlink" Target="mailto:zeynep.bendella@ukbonn.de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Kindler</dc:creator>
  <cp:keywords/>
  <dc:description/>
  <cp:lastModifiedBy>Bendella Zeynep</cp:lastModifiedBy>
  <cp:revision>10</cp:revision>
  <dcterms:created xsi:type="dcterms:W3CDTF">2025-07-17T17:13:00Z</dcterms:created>
  <dcterms:modified xsi:type="dcterms:W3CDTF">2025-07-21T20:45:00Z</dcterms:modified>
</cp:coreProperties>
</file>